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4F" w:rsidRPr="00EC6382" w:rsidRDefault="00DA4D4F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F10257A" wp14:editId="197A7F75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1228725" cy="1133475"/>
            <wp:effectExtent l="0" t="0" r="9525" b="9525"/>
            <wp:wrapSquare wrapText="bothSides"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sz w:val="44"/>
          <w:szCs w:val="44"/>
        </w:rPr>
        <w:t xml:space="preserve">  </w:t>
      </w: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DA4D4F" w:rsidRPr="00EC6382" w:rsidRDefault="00506B7D" w:rsidP="000C2E9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Add</w:t>
      </w:r>
      <w:r w:rsidR="006D5906">
        <w:rPr>
          <w:sz w:val="44"/>
          <w:szCs w:val="44"/>
        </w:rPr>
        <w:t>-</w:t>
      </w:r>
      <w:r>
        <w:rPr>
          <w:sz w:val="44"/>
          <w:szCs w:val="44"/>
        </w:rPr>
        <w:t xml:space="preserve">on </w:t>
      </w:r>
      <w:r w:rsidR="00C36BEF">
        <w:rPr>
          <w:sz w:val="44"/>
          <w:szCs w:val="44"/>
        </w:rPr>
        <w:t xml:space="preserve">Importação de Folha de Pagamento </w:t>
      </w:r>
      <w:r w:rsidR="00044E27"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C36BE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28</w:t>
            </w:r>
            <w:r w:rsidR="00DA4D4F" w:rsidRPr="00EC6382">
              <w:rPr>
                <w:rFonts w:asciiTheme="minorHAnsi" w:hAnsiTheme="minorHAnsi"/>
                <w:sz w:val="22"/>
              </w:rPr>
              <w:t>/11/2016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Atlantic Energias Renováveis S.A.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Ventos Futuros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1C335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Felipe </w:t>
            </w:r>
            <w:proofErr w:type="spellStart"/>
            <w:r>
              <w:rPr>
                <w:rFonts w:asciiTheme="minorHAnsi" w:hAnsiTheme="minorHAnsi"/>
                <w:i/>
              </w:rPr>
              <w:t>Hosomi</w:t>
            </w:r>
            <w:proofErr w:type="spellEnd"/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Eduardo Gonçalves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Lourenço Almeida Lunardelli</w:t>
            </w:r>
          </w:p>
        </w:tc>
        <w:tc>
          <w:tcPr>
            <w:tcW w:w="224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Tester</w:t>
            </w:r>
          </w:p>
        </w:tc>
        <w:tc>
          <w:tcPr>
            <w:tcW w:w="13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Pr="0048492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0" w:name="_Toc468109917"/>
      <w:r w:rsidRPr="00EC6382">
        <w:rPr>
          <w:rFonts w:asciiTheme="minorHAnsi" w:hAnsiTheme="minorHAnsi"/>
          <w:b/>
        </w:rPr>
        <w:t>SUMÁRIO</w:t>
      </w:r>
      <w:bookmarkEnd w:id="0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48492F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68109917" w:history="1">
        <w:r w:rsidR="0048492F" w:rsidRPr="0022591C">
          <w:rPr>
            <w:rStyle w:val="Hyperlink"/>
            <w:noProof/>
          </w:rPr>
          <w:t>SUMÁRIO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_Toc468109917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2</w:t>
        </w:r>
        <w:r w:rsidR="0048492F">
          <w:rPr>
            <w:noProof/>
          </w:rPr>
          <w:fldChar w:fldCharType="end"/>
        </w:r>
      </w:hyperlink>
    </w:p>
    <w:p w:rsidR="0048492F" w:rsidRDefault="003E059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8109918" w:history="1">
        <w:r w:rsidR="0048492F" w:rsidRPr="0022591C">
          <w:rPr>
            <w:rStyle w:val="Hyperlink"/>
            <w:noProof/>
          </w:rPr>
          <w:t>SOBRE O DOCUMENTO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_Toc468109918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3</w:t>
        </w:r>
        <w:r w:rsidR="0048492F">
          <w:rPr>
            <w:noProof/>
          </w:rPr>
          <w:fldChar w:fldCharType="end"/>
        </w:r>
      </w:hyperlink>
    </w:p>
    <w:p w:rsidR="0048492F" w:rsidRDefault="003E059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8109919" w:history="1">
        <w:r w:rsidR="0048492F" w:rsidRPr="0022591C">
          <w:rPr>
            <w:rStyle w:val="Hyperlink"/>
            <w:noProof/>
          </w:rPr>
          <w:t>UTILIZAÇÃO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_Toc468109919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4</w:t>
        </w:r>
        <w:r w:rsidR="0048492F">
          <w:rPr>
            <w:noProof/>
          </w:rPr>
          <w:fldChar w:fldCharType="end"/>
        </w:r>
      </w:hyperlink>
    </w:p>
    <w:p w:rsidR="0048492F" w:rsidRDefault="003E059F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8109920" w:history="1">
        <w:r w:rsidR="0048492F" w:rsidRPr="0022591C">
          <w:rPr>
            <w:rStyle w:val="Hyperlink"/>
            <w:noProof/>
          </w:rPr>
          <w:t>1.</w:t>
        </w:r>
        <w:r w:rsidR="0048492F">
          <w:rPr>
            <w:rFonts w:eastAsiaTheme="minorEastAsia"/>
            <w:noProof/>
            <w:lang w:eastAsia="pt-BR"/>
          </w:rPr>
          <w:tab/>
        </w:r>
        <w:r w:rsidR="0048492F" w:rsidRPr="0022591C">
          <w:rPr>
            <w:rStyle w:val="Hyperlink"/>
            <w:noProof/>
          </w:rPr>
          <w:t>Inicialização do Add-on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_Toc468109920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4</w:t>
        </w:r>
        <w:r w:rsidR="0048492F">
          <w:rPr>
            <w:noProof/>
          </w:rPr>
          <w:fldChar w:fldCharType="end"/>
        </w:r>
      </w:hyperlink>
    </w:p>
    <w:p w:rsidR="0048492F" w:rsidRDefault="003E059F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8109921" w:history="1">
        <w:r w:rsidR="0048492F" w:rsidRPr="0022591C">
          <w:rPr>
            <w:rStyle w:val="Hyperlink"/>
            <w:noProof/>
          </w:rPr>
          <w:t>2.</w:t>
        </w:r>
        <w:r w:rsidR="0048492F">
          <w:rPr>
            <w:rFonts w:eastAsiaTheme="minorEastAsia"/>
            <w:noProof/>
            <w:lang w:eastAsia="pt-BR"/>
          </w:rPr>
          <w:tab/>
        </w:r>
        <w:r w:rsidR="0048492F" w:rsidRPr="0022591C">
          <w:rPr>
            <w:rStyle w:val="Hyperlink"/>
            <w:noProof/>
          </w:rPr>
          <w:t>Acessando a tela de Importação de Folha de Pagamento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_Toc468109921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6</w:t>
        </w:r>
        <w:r w:rsidR="0048492F">
          <w:rPr>
            <w:noProof/>
          </w:rPr>
          <w:fldChar w:fldCharType="end"/>
        </w:r>
      </w:hyperlink>
    </w:p>
    <w:p w:rsidR="0048492F" w:rsidRDefault="003E059F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8109922" w:history="1">
        <w:r w:rsidR="0048492F" w:rsidRPr="0022591C">
          <w:rPr>
            <w:rStyle w:val="Hyperlink"/>
            <w:noProof/>
          </w:rPr>
          <w:t>3.</w:t>
        </w:r>
        <w:r w:rsidR="0048492F">
          <w:rPr>
            <w:rFonts w:eastAsiaTheme="minorEastAsia"/>
            <w:noProof/>
            <w:lang w:eastAsia="pt-BR"/>
          </w:rPr>
          <w:tab/>
        </w:r>
        <w:r w:rsidR="0048492F" w:rsidRPr="0022591C">
          <w:rPr>
            <w:rStyle w:val="Hyperlink"/>
            <w:noProof/>
          </w:rPr>
          <w:t>Realizando a Importação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_Toc468109922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7</w:t>
        </w:r>
        <w:r w:rsidR="0048492F">
          <w:rPr>
            <w:noProof/>
          </w:rPr>
          <w:fldChar w:fldCharType="end"/>
        </w:r>
      </w:hyperlink>
    </w:p>
    <w:p w:rsidR="0048492F" w:rsidRDefault="003E059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68109923" w:history="1">
        <w:r w:rsidR="0048492F" w:rsidRPr="0022591C">
          <w:rPr>
            <w:rStyle w:val="Hyperlink"/>
            <w:rFonts w:cstheme="minorHAnsi"/>
            <w:noProof/>
          </w:rPr>
          <w:t>SUPORTE</w:t>
        </w:r>
        <w:r w:rsidR="0048492F">
          <w:rPr>
            <w:noProof/>
          </w:rPr>
          <w:tab/>
        </w:r>
        <w:r w:rsidR="0048492F">
          <w:rPr>
            <w:noProof/>
          </w:rPr>
          <w:fldChar w:fldCharType="begin"/>
        </w:r>
        <w:r w:rsidR="0048492F">
          <w:rPr>
            <w:noProof/>
          </w:rPr>
          <w:instrText xml:space="preserve"> PAGEREF _Toc468109923 \h </w:instrText>
        </w:r>
        <w:r w:rsidR="0048492F">
          <w:rPr>
            <w:noProof/>
          </w:rPr>
        </w:r>
        <w:r w:rsidR="0048492F">
          <w:rPr>
            <w:noProof/>
          </w:rPr>
          <w:fldChar w:fldCharType="separate"/>
        </w:r>
        <w:r w:rsidR="00072F32">
          <w:rPr>
            <w:noProof/>
          </w:rPr>
          <w:t>8</w:t>
        </w:r>
        <w:r w:rsidR="0048492F"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1" w:name="_Toc468109918"/>
      <w:r w:rsidRPr="00EC6382">
        <w:rPr>
          <w:rFonts w:asciiTheme="minorHAnsi" w:hAnsiTheme="minorHAnsi"/>
          <w:b/>
        </w:rPr>
        <w:t>SOBRE O DOCUMENTO</w:t>
      </w:r>
      <w:bookmarkEnd w:id="1"/>
    </w:p>
    <w:p w:rsidR="008D33D6" w:rsidRPr="00EC6382" w:rsidRDefault="008D33D6" w:rsidP="000C2E9F">
      <w:pPr>
        <w:spacing w:after="0"/>
      </w:pPr>
      <w:r w:rsidRPr="00EC6382">
        <w:tab/>
      </w:r>
    </w:p>
    <w:p w:rsidR="009E3F36" w:rsidRPr="00EC6382" w:rsidRDefault="008D33D6" w:rsidP="000C2E9F">
      <w:pPr>
        <w:spacing w:after="0"/>
      </w:pPr>
      <w:r w:rsidRPr="00EC6382">
        <w:tab/>
        <w:t xml:space="preserve">Este manual tem como objetivo explanar sobre </w:t>
      </w:r>
      <w:r w:rsidR="00EA4775">
        <w:t>o funcionamento do</w:t>
      </w:r>
      <w:r w:rsidR="00EA4775" w:rsidRPr="00EA4775">
        <w:rPr>
          <w:b/>
        </w:rPr>
        <w:t xml:space="preserve"> Add</w:t>
      </w:r>
      <w:r w:rsidR="006D5906">
        <w:rPr>
          <w:b/>
        </w:rPr>
        <w:t>-</w:t>
      </w:r>
      <w:r w:rsidR="00EA4775" w:rsidRPr="00EA4775">
        <w:rPr>
          <w:b/>
        </w:rPr>
        <w:t xml:space="preserve">on </w:t>
      </w:r>
      <w:r w:rsidR="00C36BEF">
        <w:rPr>
          <w:b/>
        </w:rPr>
        <w:t>de Importação de Folha de Pagamento</w:t>
      </w:r>
      <w:r w:rsidRPr="00EC6382">
        <w:t xml:space="preserve">, dando ao usuário total apoio na hora da utilização do mesmo. Abrange todas as telas do </w:t>
      </w:r>
      <w:r w:rsidR="00EA4775">
        <w:t>Add</w:t>
      </w:r>
      <w:r w:rsidR="00F01F71">
        <w:t>-</w:t>
      </w:r>
      <w:r w:rsidR="00EA4775">
        <w:t>on</w:t>
      </w:r>
      <w:r w:rsidRPr="00EC6382">
        <w:t xml:space="preserve">, o fluxo </w:t>
      </w:r>
      <w:r w:rsidR="00EA4775">
        <w:t xml:space="preserve">a ser seguido </w:t>
      </w:r>
      <w:r w:rsidRPr="00EC6382">
        <w:t>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5635F4" w:rsidP="000C2E9F">
      <w:pPr>
        <w:pStyle w:val="Ttulo1"/>
        <w:spacing w:before="0"/>
      </w:pPr>
      <w:bookmarkStart w:id="2" w:name="_Toc468109919"/>
      <w:r w:rsidRPr="00EC6382">
        <w:rPr>
          <w:rFonts w:asciiTheme="minorHAnsi" w:hAnsiTheme="minorHAnsi"/>
          <w:b/>
        </w:rPr>
        <w:t>UTILIZAÇÃO</w:t>
      </w:r>
      <w:bookmarkEnd w:id="2"/>
    </w:p>
    <w:p w:rsidR="00D55011" w:rsidRDefault="00D55011" w:rsidP="0048492F">
      <w:pPr>
        <w:pStyle w:val="Ttulo1"/>
        <w:numPr>
          <w:ilvl w:val="0"/>
          <w:numId w:val="11"/>
        </w:numPr>
        <w:spacing w:before="0"/>
        <w:ind w:left="426" w:firstLine="0"/>
      </w:pPr>
      <w:bookmarkStart w:id="3" w:name="_Toc468109920"/>
      <w:r>
        <w:t>Inicialização do Add</w:t>
      </w:r>
      <w:r w:rsidR="006D5906">
        <w:t>-</w:t>
      </w:r>
      <w:r>
        <w:t>on</w:t>
      </w:r>
      <w:bookmarkEnd w:id="3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  <w:rPr>
          <w:color w:val="000000" w:themeColor="text1"/>
        </w:rPr>
      </w:pPr>
      <w:r>
        <w:t xml:space="preserve">Para inicializar 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C36BEF" w:rsidRPr="00EA4775">
        <w:rPr>
          <w:b/>
        </w:rPr>
        <w:t xml:space="preserve">on </w:t>
      </w:r>
      <w:r w:rsidR="00C36BEF">
        <w:rPr>
          <w:b/>
        </w:rPr>
        <w:t>de Importação de Folha de Pagamento</w:t>
      </w:r>
      <w:r w:rsidR="00D55011">
        <w:t>, o usuário dever</w:t>
      </w:r>
      <w:r w:rsidR="006D5906">
        <w:t xml:space="preserve">á acessar o menu </w:t>
      </w:r>
      <w:r w:rsidR="006D5906">
        <w:rPr>
          <w:b/>
        </w:rPr>
        <w:t>Administrador add-on</w:t>
      </w:r>
      <w:r>
        <w:t xml:space="preserve"> através da tela a seguir. Este </w:t>
      </w:r>
      <w:r w:rsidR="006D5906">
        <w:t xml:space="preserve">pode ser acessado clicando em </w:t>
      </w:r>
      <w:r w:rsidR="006D5906">
        <w:rPr>
          <w:b/>
        </w:rPr>
        <w:t xml:space="preserve">Administração </w:t>
      </w:r>
      <w:r w:rsidR="006D5906" w:rsidRPr="006D5906">
        <w:rPr>
          <w:b/>
          <w:color w:val="FF0000"/>
        </w:rPr>
        <w:t>(1)</w:t>
      </w:r>
      <w:r w:rsidR="006D5906">
        <w:t xml:space="preserve"> &gt; </w:t>
      </w:r>
      <w:r w:rsidR="006D5906">
        <w:rPr>
          <w:b/>
        </w:rPr>
        <w:t xml:space="preserve">Add-Ons </w:t>
      </w:r>
      <w:r w:rsidR="006D5906" w:rsidRPr="006D5906">
        <w:rPr>
          <w:b/>
          <w:color w:val="FF0000"/>
        </w:rPr>
        <w:t>(2)</w:t>
      </w:r>
      <w:r w:rsidR="006D5906">
        <w:rPr>
          <w:b/>
        </w:rPr>
        <w:t xml:space="preserve"> </w:t>
      </w:r>
      <w:r w:rsidR="006D5906">
        <w:t xml:space="preserve">&gt; </w:t>
      </w:r>
      <w:r w:rsidR="006D5906">
        <w:rPr>
          <w:b/>
        </w:rPr>
        <w:t xml:space="preserve">Administrador add-on </w:t>
      </w:r>
      <w:r w:rsidR="006D5906" w:rsidRPr="006D5906">
        <w:rPr>
          <w:b/>
          <w:color w:val="FF0000"/>
        </w:rPr>
        <w:t>(3)</w:t>
      </w:r>
      <w:r w:rsidR="002A4D22" w:rsidRPr="002A4D22">
        <w:rPr>
          <w:color w:val="000000" w:themeColor="text1"/>
        </w:rPr>
        <w:t>.</w:t>
      </w:r>
    </w:p>
    <w:p w:rsidR="00603C8B" w:rsidRDefault="00603C8B" w:rsidP="000C2E9F">
      <w:pPr>
        <w:spacing w:after="0"/>
        <w:ind w:firstLine="360"/>
      </w:pPr>
    </w:p>
    <w:p w:rsidR="002A4D22" w:rsidRDefault="002A4D22" w:rsidP="000C2E9F">
      <w:pPr>
        <w:spacing w:after="0"/>
      </w:pPr>
    </w:p>
    <w:p w:rsidR="00D55011" w:rsidRDefault="00F6095E" w:rsidP="000C2E9F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351pt">
            <v:imagedata r:id="rId10" o:title="1"/>
          </v:shape>
        </w:pict>
      </w:r>
    </w:p>
    <w:p w:rsidR="00603C8B" w:rsidRDefault="00603C8B" w:rsidP="000C2E9F">
      <w:pPr>
        <w:spacing w:after="0"/>
        <w:jc w:val="center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1F6BD9" w:rsidRDefault="001F6BD9" w:rsidP="000C2E9F">
      <w:pPr>
        <w:spacing w:after="0"/>
      </w:pPr>
    </w:p>
    <w:p w:rsidR="001F6BD9" w:rsidRDefault="001F6BD9" w:rsidP="000C2E9F">
      <w:pPr>
        <w:spacing w:after="0"/>
        <w:jc w:val="both"/>
      </w:pPr>
    </w:p>
    <w:p w:rsidR="001F6BD9" w:rsidRDefault="00603C8B" w:rsidP="000C2E9F">
      <w:pPr>
        <w:spacing w:after="0"/>
        <w:jc w:val="both"/>
      </w:pPr>
      <w:r>
        <w:t>Após seguir estes passos, a seguinte tela é apresentada:</w:t>
      </w:r>
    </w:p>
    <w:p w:rsidR="000C2E9F" w:rsidRDefault="000C2E9F" w:rsidP="000C2E9F">
      <w:pPr>
        <w:spacing w:after="0"/>
        <w:jc w:val="both"/>
      </w:pPr>
    </w:p>
    <w:p w:rsidR="001F6BD9" w:rsidRDefault="001F6BD9" w:rsidP="000C2E9F">
      <w:pPr>
        <w:spacing w:after="0"/>
      </w:pPr>
    </w:p>
    <w:p w:rsidR="001F6BD9" w:rsidRDefault="00F6095E" w:rsidP="000C2E9F">
      <w:pPr>
        <w:spacing w:after="0"/>
        <w:jc w:val="center"/>
      </w:pPr>
      <w:r>
        <w:pict>
          <v:shape id="_x0000_i1026" type="#_x0000_t75" style="width:425.25pt;height:284.25pt">
            <v:imagedata r:id="rId11" o:title="2"/>
          </v:shape>
        </w:pict>
      </w:r>
    </w:p>
    <w:p w:rsidR="001F6BD9" w:rsidRDefault="001F6BD9" w:rsidP="000C2E9F">
      <w:pPr>
        <w:spacing w:after="0"/>
        <w:jc w:val="center"/>
      </w:pPr>
    </w:p>
    <w:p w:rsidR="001F6BD9" w:rsidRDefault="00603C8B" w:rsidP="000C2E9F">
      <w:pPr>
        <w:spacing w:after="0"/>
        <w:ind w:firstLine="360"/>
        <w:jc w:val="both"/>
      </w:pPr>
      <w:r>
        <w:t xml:space="preserve">Nesta tela, o usuário deverá verificar o status do </w:t>
      </w:r>
      <w:r w:rsidRPr="00603C8B">
        <w:rPr>
          <w:b/>
        </w:rPr>
        <w:t>Add-on Dover</w:t>
      </w:r>
      <w:r>
        <w:t xml:space="preserve">, responsável pelo gerenciamento do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C36BEF" w:rsidRPr="00EA4775">
        <w:rPr>
          <w:b/>
        </w:rPr>
        <w:t xml:space="preserve">on </w:t>
      </w:r>
      <w:r w:rsidR="00C36BEF">
        <w:rPr>
          <w:b/>
        </w:rPr>
        <w:t>de Importação de Folha de Pagamento</w:t>
      </w:r>
      <w:r>
        <w:t xml:space="preserve">. Caso o mesmo esteja “Desconectado”, como na imagem, deve-se selecionar a linha e clicar no botão </w:t>
      </w:r>
      <w:r>
        <w:rPr>
          <w:b/>
        </w:rPr>
        <w:t xml:space="preserve">Início </w:t>
      </w:r>
      <w:r w:rsidRPr="00603C8B">
        <w:rPr>
          <w:b/>
          <w:color w:val="FF0000"/>
        </w:rPr>
        <w:t>(1)</w:t>
      </w:r>
      <w:r>
        <w:t>.</w:t>
      </w:r>
    </w:p>
    <w:p w:rsidR="001F6BD9" w:rsidRDefault="001F6BD9" w:rsidP="000C2E9F">
      <w:pPr>
        <w:spacing w:after="0"/>
        <w:ind w:firstLine="360"/>
        <w:jc w:val="both"/>
        <w:rPr>
          <w:color w:val="000000" w:themeColor="text1"/>
        </w:rPr>
      </w:pPr>
      <w:r>
        <w:t xml:space="preserve">Após este processo, o Status deverá mudar para “Conectado”, o que indica que o </w:t>
      </w:r>
      <w:r>
        <w:rPr>
          <w:b/>
        </w:rPr>
        <w:t>Add-on Dover</w:t>
      </w:r>
      <w:r>
        <w:t xml:space="preserve"> está funcionando corretamente. Com isso, o usuário deverá acessar o menu </w:t>
      </w:r>
      <w:r>
        <w:rPr>
          <w:b/>
        </w:rPr>
        <w:t>Administrador add-on</w:t>
      </w:r>
      <w:r>
        <w:t xml:space="preserve"> através da tela a seguir. Este pode ser acessado clicando em A</w:t>
      </w:r>
      <w:r>
        <w:rPr>
          <w:b/>
        </w:rPr>
        <w:t xml:space="preserve">dministração </w:t>
      </w:r>
      <w:r w:rsidRPr="006D5906">
        <w:rPr>
          <w:b/>
          <w:color w:val="FF0000"/>
        </w:rPr>
        <w:t>1)</w:t>
      </w:r>
      <w:r>
        <w:t xml:space="preserve"> &gt; </w:t>
      </w:r>
      <w:r>
        <w:rPr>
          <w:b/>
        </w:rPr>
        <w:t xml:space="preserve">Add-Ons </w:t>
      </w:r>
      <w:r w:rsidRPr="006D5906">
        <w:rPr>
          <w:b/>
          <w:color w:val="FF0000"/>
        </w:rPr>
        <w:t>(2)</w:t>
      </w:r>
      <w:r>
        <w:rPr>
          <w:b/>
        </w:rPr>
        <w:t xml:space="preserve"> </w:t>
      </w:r>
      <w:r>
        <w:t xml:space="preserve">&gt; </w:t>
      </w:r>
      <w:r>
        <w:rPr>
          <w:b/>
        </w:rPr>
        <w:t xml:space="preserve">Configuração e instalação de Addin </w:t>
      </w:r>
      <w:r w:rsidRPr="006D5906">
        <w:rPr>
          <w:b/>
          <w:color w:val="FF0000"/>
        </w:rPr>
        <w:t>(3)</w:t>
      </w:r>
      <w:r w:rsidRPr="002A4D22">
        <w:rPr>
          <w:color w:val="000000" w:themeColor="text1"/>
        </w:rPr>
        <w:t>.</w:t>
      </w:r>
    </w:p>
    <w:p w:rsidR="0048492F" w:rsidRDefault="0048492F" w:rsidP="000C2E9F">
      <w:pPr>
        <w:spacing w:after="0"/>
        <w:ind w:firstLine="360"/>
        <w:jc w:val="both"/>
        <w:rPr>
          <w:color w:val="000000" w:themeColor="text1"/>
        </w:rPr>
      </w:pPr>
    </w:p>
    <w:p w:rsidR="000C2E9F" w:rsidRDefault="000C2E9F" w:rsidP="000C2E9F">
      <w:pPr>
        <w:spacing w:after="0"/>
        <w:ind w:firstLine="360"/>
        <w:jc w:val="both"/>
        <w:rPr>
          <w:color w:val="000000" w:themeColor="text1"/>
        </w:rPr>
      </w:pPr>
    </w:p>
    <w:p w:rsidR="00CE32D7" w:rsidRDefault="00F6095E" w:rsidP="000C2E9F">
      <w:pPr>
        <w:spacing w:after="0"/>
        <w:ind w:firstLine="360"/>
        <w:jc w:val="center"/>
      </w:pPr>
      <w:r>
        <w:pict>
          <v:shape id="_x0000_i1027" type="#_x0000_t75" style="width:236.25pt;height:267.75pt">
            <v:imagedata r:id="rId12" o:title="3"/>
          </v:shape>
        </w:pict>
      </w:r>
    </w:p>
    <w:p w:rsidR="000C2E9F" w:rsidRDefault="000C2E9F" w:rsidP="000C2E9F">
      <w:pPr>
        <w:spacing w:after="0"/>
        <w:ind w:firstLine="360"/>
        <w:jc w:val="center"/>
      </w:pPr>
    </w:p>
    <w:p w:rsidR="000C2E9F" w:rsidRDefault="000C2E9F" w:rsidP="000C2E9F">
      <w:pPr>
        <w:spacing w:after="0"/>
        <w:ind w:firstLine="360"/>
        <w:jc w:val="center"/>
      </w:pPr>
    </w:p>
    <w:p w:rsidR="00D55011" w:rsidRDefault="001F6BD9" w:rsidP="000C2E9F">
      <w:pPr>
        <w:spacing w:after="0"/>
        <w:jc w:val="both"/>
      </w:pPr>
      <w:r>
        <w:t>Após seguir estes passos, a seguinte tela é apresentada:</w:t>
      </w:r>
    </w:p>
    <w:p w:rsidR="0048492F" w:rsidRDefault="0048492F" w:rsidP="00C36BEF">
      <w:pPr>
        <w:rPr>
          <w:lang w:eastAsia="pt-BR"/>
        </w:rPr>
      </w:pPr>
    </w:p>
    <w:p w:rsidR="00C36BEF" w:rsidRPr="00C36BEF" w:rsidRDefault="00F6095E" w:rsidP="00C36BEF">
      <w:pPr>
        <w:rPr>
          <w:lang w:eastAsia="pt-BR"/>
        </w:rPr>
      </w:pPr>
      <w:r>
        <w:rPr>
          <w:lang w:eastAsia="pt-BR"/>
        </w:rPr>
        <w:pict>
          <v:shape id="_x0000_i1028" type="#_x0000_t75" style="width:424.5pt;height:198pt">
            <v:imagedata r:id="rId13" o:title="4"/>
          </v:shape>
        </w:pict>
      </w:r>
    </w:p>
    <w:p w:rsidR="0048492F" w:rsidRDefault="0048492F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0C2E9F" w:rsidRDefault="00CE32D7" w:rsidP="000C2E9F">
      <w:pPr>
        <w:spacing w:after="0"/>
        <w:ind w:firstLine="360"/>
        <w:jc w:val="both"/>
        <w:rPr>
          <w:rFonts w:asciiTheme="majorHAnsi" w:hAnsiTheme="majorHAnsi"/>
        </w:rPr>
      </w:pPr>
      <w:r w:rsidRPr="008D265E">
        <w:rPr>
          <w:rFonts w:asciiTheme="majorHAnsi" w:hAnsiTheme="majorHAnsi"/>
        </w:rPr>
        <w:t xml:space="preserve">Nesta tela, o usuário deverá verificar o status do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C36BEF" w:rsidRPr="00EA4775">
        <w:rPr>
          <w:b/>
        </w:rPr>
        <w:t xml:space="preserve">on </w:t>
      </w:r>
      <w:r w:rsidR="00C36BEF">
        <w:rPr>
          <w:b/>
        </w:rPr>
        <w:t>de Importação de Folha de Pagamento</w:t>
      </w:r>
      <w:r w:rsidRPr="008D265E">
        <w:rPr>
          <w:rFonts w:asciiTheme="majorHAnsi" w:hAnsiTheme="majorHAnsi"/>
        </w:rPr>
        <w:t xml:space="preserve">. Caso o mesmo esteja “Parado”, deve-se selecionar a linha e clicar no botão </w:t>
      </w:r>
      <w:r w:rsidR="00072F32">
        <w:rPr>
          <w:rFonts w:asciiTheme="majorHAnsi" w:hAnsiTheme="majorHAnsi"/>
          <w:b/>
        </w:rPr>
        <w:t>Iniciar</w:t>
      </w:r>
      <w:r w:rsidRPr="008D265E">
        <w:rPr>
          <w:rFonts w:asciiTheme="majorHAnsi" w:hAnsiTheme="majorHAnsi"/>
        </w:rPr>
        <w:t xml:space="preserve">. Após este processo, o Status deverá mudar para “Executando”, o que indica que 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C36BEF" w:rsidRPr="00EA4775">
        <w:rPr>
          <w:b/>
        </w:rPr>
        <w:t xml:space="preserve">on </w:t>
      </w:r>
      <w:r w:rsidR="00C36BEF">
        <w:rPr>
          <w:b/>
        </w:rPr>
        <w:t>de Importação de Folha de Pagamento</w:t>
      </w:r>
      <w:r w:rsidRPr="008D265E">
        <w:rPr>
          <w:rFonts w:asciiTheme="majorHAnsi" w:hAnsiTheme="majorHAnsi"/>
        </w:rPr>
        <w:t xml:space="preserve"> está funcionando corretamente. </w:t>
      </w:r>
    </w:p>
    <w:p w:rsidR="000C2E9F" w:rsidRDefault="000C2E9F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C36BEF" w:rsidRDefault="00C36BEF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8D265E" w:rsidRDefault="008D265E" w:rsidP="0048492F">
      <w:pPr>
        <w:pStyle w:val="Ttulo1"/>
        <w:numPr>
          <w:ilvl w:val="0"/>
          <w:numId w:val="11"/>
        </w:numPr>
        <w:spacing w:before="0"/>
        <w:ind w:left="426" w:firstLine="0"/>
      </w:pPr>
      <w:bookmarkStart w:id="4" w:name="_Toc468109921"/>
      <w:r>
        <w:t xml:space="preserve">Acessando a tela de </w:t>
      </w:r>
      <w:r w:rsidR="00C36BEF">
        <w:t>Importação de Folha de Pagamento</w:t>
      </w:r>
      <w:bookmarkEnd w:id="4"/>
    </w:p>
    <w:p w:rsidR="008D265E" w:rsidRDefault="008D265E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CE32D7" w:rsidRDefault="008D265E" w:rsidP="00C36BEF">
      <w:pPr>
        <w:spacing w:after="0"/>
        <w:ind w:firstLine="360"/>
        <w:jc w:val="both"/>
        <w:rPr>
          <w:noProof/>
          <w:lang w:eastAsia="pt-BR"/>
        </w:rPr>
      </w:pPr>
      <w:r>
        <w:rPr>
          <w:rFonts w:asciiTheme="majorHAnsi" w:hAnsiTheme="majorHAnsi"/>
        </w:rPr>
        <w:t>Após a inicialização dos Add-ons</w:t>
      </w:r>
      <w:r w:rsidR="00CE32D7" w:rsidRPr="008D265E">
        <w:rPr>
          <w:rFonts w:asciiTheme="majorHAnsi" w:hAnsiTheme="majorHAnsi"/>
        </w:rPr>
        <w:t xml:space="preserve">, o usuário deverá acessar a tela de </w:t>
      </w:r>
      <w:r w:rsidR="00C36BEF" w:rsidRPr="00C36BEF">
        <w:rPr>
          <w:b/>
        </w:rPr>
        <w:t>Importação de Folha de Pagamento</w:t>
      </w:r>
      <w:r>
        <w:rPr>
          <w:rFonts w:asciiTheme="majorHAnsi" w:hAnsiTheme="majorHAnsi"/>
        </w:rPr>
        <w:t>. Esta</w:t>
      </w:r>
      <w:r w:rsidR="00CE32D7" w:rsidRPr="008D265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pode ser acessada </w:t>
      </w:r>
      <w:r w:rsidR="00CE32D7" w:rsidRPr="008D265E">
        <w:rPr>
          <w:rFonts w:asciiTheme="majorHAnsi" w:hAnsiTheme="majorHAnsi"/>
        </w:rPr>
        <w:t>clicando em</w:t>
      </w:r>
      <w:r w:rsidR="00CE32D7" w:rsidRPr="008D265E">
        <w:rPr>
          <w:rFonts w:asciiTheme="majorHAnsi" w:hAnsiTheme="majorHAnsi"/>
          <w:b/>
        </w:rPr>
        <w:t xml:space="preserve"> Finanças </w:t>
      </w:r>
      <w:r w:rsidR="00CE32D7" w:rsidRPr="008D265E">
        <w:rPr>
          <w:rFonts w:asciiTheme="majorHAnsi" w:hAnsiTheme="majorHAnsi"/>
          <w:b/>
          <w:color w:val="FF0000"/>
        </w:rPr>
        <w:t>(1)</w:t>
      </w:r>
      <w:r w:rsidR="00CE32D7" w:rsidRPr="008D265E">
        <w:rPr>
          <w:rFonts w:asciiTheme="majorHAnsi" w:hAnsiTheme="majorHAnsi"/>
        </w:rPr>
        <w:t xml:space="preserve"> &gt; </w:t>
      </w:r>
      <w:r w:rsidR="00C36BEF">
        <w:rPr>
          <w:rFonts w:asciiTheme="majorHAnsi" w:hAnsiTheme="majorHAnsi"/>
          <w:b/>
        </w:rPr>
        <w:t>CVA – Folha de Pagamento</w:t>
      </w:r>
      <w:r w:rsidR="00CE32D7" w:rsidRPr="008D265E">
        <w:rPr>
          <w:rFonts w:asciiTheme="majorHAnsi" w:hAnsiTheme="majorHAnsi"/>
          <w:b/>
        </w:rPr>
        <w:t xml:space="preserve"> </w:t>
      </w:r>
      <w:r w:rsidR="00CE32D7" w:rsidRPr="008D265E">
        <w:rPr>
          <w:rFonts w:asciiTheme="majorHAnsi" w:hAnsiTheme="majorHAnsi"/>
          <w:b/>
          <w:color w:val="FF0000"/>
        </w:rPr>
        <w:t>(2)</w:t>
      </w:r>
      <w:r w:rsidR="00CE32D7" w:rsidRPr="008D265E">
        <w:rPr>
          <w:rFonts w:asciiTheme="majorHAnsi" w:hAnsiTheme="majorHAnsi"/>
          <w:color w:val="000000" w:themeColor="text1"/>
        </w:rPr>
        <w:t>.</w:t>
      </w:r>
    </w:p>
    <w:p w:rsidR="00C36BEF" w:rsidRDefault="00C36BEF" w:rsidP="000C2E9F">
      <w:pPr>
        <w:spacing w:after="0"/>
        <w:ind w:firstLine="360"/>
        <w:jc w:val="center"/>
        <w:rPr>
          <w:noProof/>
          <w:lang w:eastAsia="pt-BR"/>
        </w:rPr>
      </w:pPr>
    </w:p>
    <w:p w:rsidR="00C36BEF" w:rsidRDefault="00C36BEF" w:rsidP="000C2E9F">
      <w:pPr>
        <w:spacing w:after="0"/>
        <w:ind w:firstLine="360"/>
        <w:jc w:val="center"/>
        <w:rPr>
          <w:noProof/>
          <w:lang w:eastAsia="pt-BR"/>
        </w:rPr>
      </w:pPr>
    </w:p>
    <w:p w:rsidR="00C36BEF" w:rsidRDefault="00F6095E" w:rsidP="000C2E9F">
      <w:pPr>
        <w:spacing w:after="0"/>
        <w:ind w:firstLine="360"/>
        <w:jc w:val="center"/>
        <w:rPr>
          <w:color w:val="000000" w:themeColor="text1"/>
        </w:rPr>
      </w:pPr>
      <w:r>
        <w:rPr>
          <w:noProof/>
          <w:lang w:eastAsia="pt-BR"/>
        </w:rPr>
        <w:pict>
          <v:shape id="_x0000_i1029" type="#_x0000_t75" style="width:236.25pt;height:281.25pt">
            <v:imagedata r:id="rId14" o:title="5"/>
          </v:shape>
        </w:pict>
      </w:r>
    </w:p>
    <w:p w:rsidR="00CE32D7" w:rsidRDefault="00CE32D7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207396" w:rsidRDefault="00207396" w:rsidP="0048492F">
      <w:pPr>
        <w:pStyle w:val="Ttulo1"/>
        <w:numPr>
          <w:ilvl w:val="0"/>
          <w:numId w:val="11"/>
        </w:numPr>
        <w:spacing w:before="0"/>
        <w:ind w:left="426" w:firstLine="0"/>
      </w:pPr>
      <w:bookmarkStart w:id="5" w:name="_Toc468109922"/>
      <w:r>
        <w:t xml:space="preserve">Realizando </w:t>
      </w:r>
      <w:r w:rsidR="00C36BEF">
        <w:t>a Importação</w:t>
      </w:r>
      <w:bookmarkEnd w:id="5"/>
    </w:p>
    <w:p w:rsidR="008D265E" w:rsidRDefault="008D265E" w:rsidP="000C2E9F">
      <w:pPr>
        <w:spacing w:after="0"/>
        <w:jc w:val="center"/>
      </w:pPr>
    </w:p>
    <w:p w:rsidR="000F3D60" w:rsidRDefault="00207396" w:rsidP="000F3D60">
      <w:pPr>
        <w:spacing w:after="0"/>
        <w:ind w:firstLine="360"/>
        <w:jc w:val="both"/>
        <w:rPr>
          <w:noProof/>
          <w:lang w:eastAsia="pt-BR"/>
        </w:rPr>
      </w:pPr>
      <w:r>
        <w:t xml:space="preserve">A tela apresentada a seguir é onde o usuário fará </w:t>
      </w:r>
      <w:r w:rsidR="00C36BEF">
        <w:t>a importação da folha de pagamento</w:t>
      </w:r>
      <w:r>
        <w:t>.</w:t>
      </w:r>
    </w:p>
    <w:p w:rsidR="000F3D60" w:rsidRDefault="000F3D60" w:rsidP="000F3D60">
      <w:pPr>
        <w:spacing w:after="0"/>
        <w:jc w:val="center"/>
        <w:rPr>
          <w:noProof/>
          <w:lang w:eastAsia="pt-BR"/>
        </w:rPr>
      </w:pPr>
    </w:p>
    <w:p w:rsidR="000F3D60" w:rsidRDefault="00F6095E" w:rsidP="000F3D60">
      <w:pPr>
        <w:spacing w:after="0"/>
        <w:jc w:val="center"/>
      </w:pPr>
      <w:r>
        <w:rPr>
          <w:noProof/>
          <w:lang w:eastAsia="pt-BR"/>
        </w:rPr>
        <w:pict>
          <v:shape id="_x0000_i1030" type="#_x0000_t75" style="width:357pt;height:145.5pt">
            <v:imagedata r:id="rId15" o:title="6"/>
          </v:shape>
        </w:pict>
      </w:r>
    </w:p>
    <w:p w:rsidR="00D55011" w:rsidRDefault="00D55011" w:rsidP="000C2E9F">
      <w:pPr>
        <w:spacing w:after="0"/>
      </w:pPr>
    </w:p>
    <w:p w:rsidR="00D55011" w:rsidRDefault="004C3237" w:rsidP="0048492F">
      <w:pPr>
        <w:spacing w:after="0"/>
        <w:ind w:firstLine="426"/>
        <w:jc w:val="both"/>
      </w:pPr>
      <w:r>
        <w:t>Depois de</w:t>
      </w:r>
      <w:r w:rsidR="00207396">
        <w:t xml:space="preserve"> </w:t>
      </w:r>
      <w:r w:rsidR="000F3D60">
        <w:t>informar a filial que receberá os dados importados</w:t>
      </w:r>
      <w:r w:rsidR="00207396">
        <w:t xml:space="preserve">, </w:t>
      </w:r>
      <w:r w:rsidR="000F3D60">
        <w:t xml:space="preserve">a data de lançamento e de vencimento da folha de pagamento, </w:t>
      </w:r>
      <w:r w:rsidR="00207396">
        <w:t xml:space="preserve">o usuário deverá </w:t>
      </w:r>
      <w:r w:rsidR="000F3D60">
        <w:t xml:space="preserve">selecionar o arquivo em formato </w:t>
      </w:r>
      <w:r w:rsidR="000F3D60">
        <w:rPr>
          <w:b/>
        </w:rPr>
        <w:t>.</w:t>
      </w:r>
      <w:proofErr w:type="spellStart"/>
      <w:r w:rsidR="000F3D60">
        <w:rPr>
          <w:b/>
        </w:rPr>
        <w:t>csv</w:t>
      </w:r>
      <w:proofErr w:type="spellEnd"/>
      <w:r w:rsidR="000F3D60">
        <w:t xml:space="preserve"> a ser importado. Por fim, deve-se clicar no botão </w:t>
      </w:r>
      <w:r w:rsidR="000F3D60">
        <w:rPr>
          <w:b/>
        </w:rPr>
        <w:t xml:space="preserve">Importar </w:t>
      </w:r>
      <w:r w:rsidR="000F3D60" w:rsidRPr="000F3D60">
        <w:rPr>
          <w:b/>
          <w:color w:val="FF0000"/>
        </w:rPr>
        <w:t>(1)</w:t>
      </w:r>
      <w:r w:rsidR="000F3D60">
        <w:t>.</w:t>
      </w:r>
    </w:p>
    <w:p w:rsidR="00D55011" w:rsidRDefault="00D55011" w:rsidP="000C2E9F">
      <w:pPr>
        <w:spacing w:after="0"/>
      </w:pPr>
    </w:p>
    <w:p w:rsidR="00F6095E" w:rsidRDefault="00A706B0" w:rsidP="0048492F">
      <w:pPr>
        <w:spacing w:after="0"/>
        <w:ind w:firstLine="426"/>
        <w:jc w:val="both"/>
      </w:pPr>
      <w:r>
        <w:t xml:space="preserve">Após </w:t>
      </w:r>
      <w:r w:rsidR="00FF3F41">
        <w:t xml:space="preserve">realizar </w:t>
      </w:r>
      <w:r>
        <w:t xml:space="preserve">os passos acima, o </w:t>
      </w:r>
      <w:r w:rsidR="000F3D60">
        <w:t>sistema apresentará a</w:t>
      </w:r>
      <w:r w:rsidR="00F6095E">
        <w:t xml:space="preserve"> seguinte mensagem no rodapé da aplicação:</w:t>
      </w:r>
    </w:p>
    <w:p w:rsidR="00F6095E" w:rsidRDefault="00F6095E" w:rsidP="00F6095E">
      <w:pPr>
        <w:spacing w:after="0"/>
        <w:ind w:firstLine="426"/>
        <w:jc w:val="center"/>
      </w:pPr>
      <w:r>
        <w:rPr>
          <w:noProof/>
          <w:lang w:eastAsia="pt-BR"/>
        </w:rPr>
        <w:drawing>
          <wp:inline distT="0" distB="0" distL="0" distR="0">
            <wp:extent cx="3009900" cy="361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5E" w:rsidRDefault="00F6095E" w:rsidP="0048492F">
      <w:pPr>
        <w:spacing w:after="0"/>
        <w:ind w:firstLine="426"/>
        <w:jc w:val="both"/>
      </w:pPr>
    </w:p>
    <w:p w:rsidR="000F3D60" w:rsidRDefault="000F3D60" w:rsidP="0048492F">
      <w:pPr>
        <w:spacing w:after="0"/>
        <w:ind w:firstLine="426"/>
        <w:jc w:val="both"/>
      </w:pPr>
      <w:r>
        <w:t xml:space="preserve">O resultado da importação pode ser conferido na tela de </w:t>
      </w:r>
      <w:r>
        <w:rPr>
          <w:b/>
        </w:rPr>
        <w:t>Lançamento contábil manual</w:t>
      </w:r>
      <w:r w:rsidR="00FF3F41">
        <w:t>, mostrada a seguir.</w:t>
      </w:r>
    </w:p>
    <w:p w:rsidR="000F3D60" w:rsidRDefault="000F3D60" w:rsidP="000C2E9F">
      <w:pPr>
        <w:spacing w:after="0"/>
        <w:ind w:firstLine="708"/>
        <w:jc w:val="both"/>
      </w:pPr>
    </w:p>
    <w:p w:rsidR="000C2E9F" w:rsidRDefault="00F6095E" w:rsidP="000F3D60">
      <w:pPr>
        <w:spacing w:after="0"/>
        <w:jc w:val="center"/>
      </w:pPr>
      <w:r>
        <w:pict>
          <v:shape id="_x0000_i1031" type="#_x0000_t75" style="width:424.5pt;height:235.5pt">
            <v:imagedata r:id="rId17" o:title="Sem título"/>
          </v:shape>
        </w:pict>
      </w:r>
    </w:p>
    <w:p w:rsidR="000C2E9F" w:rsidRDefault="000C2E9F" w:rsidP="000C2E9F">
      <w:pPr>
        <w:spacing w:after="0"/>
        <w:ind w:firstLine="708"/>
        <w:jc w:val="both"/>
      </w:pPr>
    </w:p>
    <w:p w:rsidR="000C2E9F" w:rsidRPr="00A706B0" w:rsidRDefault="000C2E9F" w:rsidP="000C2E9F">
      <w:pPr>
        <w:spacing w:after="0"/>
        <w:ind w:firstLine="708"/>
        <w:jc w:val="both"/>
      </w:pPr>
    </w:p>
    <w:p w:rsidR="00A706B0" w:rsidRPr="00A706B0" w:rsidRDefault="00A706B0" w:rsidP="000C2E9F">
      <w:pPr>
        <w:spacing w:after="0"/>
      </w:pPr>
    </w:p>
    <w:p w:rsidR="00D55011" w:rsidRDefault="00D55011" w:rsidP="000C2E9F">
      <w:pPr>
        <w:spacing w:after="0"/>
        <w:jc w:val="center"/>
      </w:pPr>
    </w:p>
    <w:p w:rsidR="00C71AE5" w:rsidRDefault="00C71AE5" w:rsidP="000C2E9F">
      <w:pPr>
        <w:spacing w:after="0"/>
      </w:pPr>
    </w:p>
    <w:p w:rsidR="004C3237" w:rsidRDefault="004C3237" w:rsidP="000C2E9F">
      <w:pPr>
        <w:spacing w:after="0"/>
      </w:pPr>
    </w:p>
    <w:p w:rsidR="004C3237" w:rsidRDefault="004C3237" w:rsidP="000C2E9F">
      <w:pPr>
        <w:spacing w:after="0"/>
      </w:pPr>
    </w:p>
    <w:p w:rsidR="004C3237" w:rsidRPr="004C3237" w:rsidRDefault="004C3237" w:rsidP="000C2E9F">
      <w:pPr>
        <w:spacing w:after="0"/>
      </w:pPr>
    </w:p>
    <w:p w:rsidR="004C3237" w:rsidRPr="004C3237" w:rsidRDefault="004C3237" w:rsidP="00267BF7">
      <w:pPr>
        <w:pStyle w:val="Ttulo1"/>
        <w:rPr>
          <w:rFonts w:asciiTheme="minorHAnsi" w:hAnsiTheme="minorHAnsi" w:cstheme="minorHAnsi"/>
          <w:b/>
          <w:sz w:val="22"/>
          <w:szCs w:val="22"/>
        </w:rPr>
      </w:pPr>
    </w:p>
    <w:p w:rsidR="004C3237" w:rsidRPr="004C3237" w:rsidRDefault="004C3237" w:rsidP="00267BF7">
      <w:pPr>
        <w:pStyle w:val="Ttulo1"/>
        <w:rPr>
          <w:rFonts w:asciiTheme="minorHAnsi" w:hAnsiTheme="minorHAnsi" w:cstheme="minorHAnsi"/>
          <w:b/>
          <w:sz w:val="22"/>
          <w:szCs w:val="22"/>
        </w:rPr>
      </w:pPr>
    </w:p>
    <w:p w:rsidR="0048492F" w:rsidRDefault="0048492F" w:rsidP="00267BF7">
      <w:pPr>
        <w:pStyle w:val="Ttulo1"/>
        <w:rPr>
          <w:rFonts w:asciiTheme="minorHAnsi" w:hAnsiTheme="minorHAnsi" w:cstheme="minorHAnsi"/>
          <w:b/>
          <w:sz w:val="22"/>
          <w:szCs w:val="22"/>
        </w:rPr>
      </w:pPr>
      <w:bookmarkStart w:id="6" w:name="_Toc468109923"/>
    </w:p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bookmarkStart w:id="7" w:name="_GoBack"/>
      <w:bookmarkEnd w:id="7"/>
      <w:r w:rsidRPr="00267BF7">
        <w:rPr>
          <w:rFonts w:asciiTheme="minorHAnsi" w:hAnsiTheme="minorHAnsi" w:cstheme="minorHAnsi"/>
          <w:b/>
        </w:rPr>
        <w:t>SUPORTE</w:t>
      </w:r>
      <w:bookmarkEnd w:id="6"/>
    </w:p>
    <w:p w:rsidR="00C71AE5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4820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3966FD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3966FD">
        <w:trPr>
          <w:trHeight w:val="291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3E059F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18" w:history="1">
              <w:r w:rsidR="00267BF7"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Luis Neves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E059F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19" w:history="1">
              <w:r w:rsidR="003966FD" w:rsidRPr="00890334">
                <w:rPr>
                  <w:rStyle w:val="Hyperlink"/>
                  <w:rFonts w:ascii="Open Sans" w:hAnsi="Open Sans"/>
                </w:rPr>
                <w:t>luis.neves@cvaconsultoria.com.br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Negócio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Elder </w:t>
            </w:r>
            <w:proofErr w:type="spellStart"/>
            <w:r>
              <w:rPr>
                <w:rFonts w:asciiTheme="minorHAnsi" w:hAnsiTheme="minorHAnsi"/>
                <w:sz w:val="22"/>
              </w:rPr>
              <w:t>Hara</w:t>
            </w:r>
            <w:proofErr w:type="spellEnd"/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E059F" w:rsidP="003966FD">
            <w:pPr>
              <w:spacing w:after="0"/>
              <w:jc w:val="center"/>
            </w:pPr>
            <w:hyperlink r:id="rId20" w:history="1">
              <w:r w:rsidR="003966FD" w:rsidRPr="00890334">
                <w:rPr>
                  <w:rStyle w:val="Hyperlink"/>
                  <w:rFonts w:ascii="Open Sans" w:hAnsi="Open Sans"/>
                </w:rPr>
                <w:t>elder.hara@cvaconsultoria.com.br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Utilização</w:t>
            </w:r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21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9F" w:rsidRDefault="003E059F" w:rsidP="008D33D6">
      <w:pPr>
        <w:spacing w:after="0" w:line="240" w:lineRule="auto"/>
      </w:pPr>
      <w:r>
        <w:separator/>
      </w:r>
    </w:p>
  </w:endnote>
  <w:endnote w:type="continuationSeparator" w:id="0">
    <w:p w:rsidR="003E059F" w:rsidRDefault="003E059F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panose1 w:val="020B0606030504020204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95E">
          <w:rPr>
            <w:noProof/>
          </w:rPr>
          <w:t>8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9F" w:rsidRDefault="003E059F" w:rsidP="008D33D6">
      <w:pPr>
        <w:spacing w:after="0" w:line="240" w:lineRule="auto"/>
      </w:pPr>
      <w:r>
        <w:separator/>
      </w:r>
    </w:p>
  </w:footnote>
  <w:footnote w:type="continuationSeparator" w:id="0">
    <w:p w:rsidR="003E059F" w:rsidRDefault="003E059F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41AAD"/>
    <w:rsid w:val="00044E27"/>
    <w:rsid w:val="00072F32"/>
    <w:rsid w:val="00080AA9"/>
    <w:rsid w:val="00090B25"/>
    <w:rsid w:val="000C2E9F"/>
    <w:rsid w:val="000C72F7"/>
    <w:rsid w:val="000F3D60"/>
    <w:rsid w:val="00116E8D"/>
    <w:rsid w:val="00145CFF"/>
    <w:rsid w:val="001C335F"/>
    <w:rsid w:val="001F6BD9"/>
    <w:rsid w:val="00207396"/>
    <w:rsid w:val="00230873"/>
    <w:rsid w:val="00267BF7"/>
    <w:rsid w:val="002A4D22"/>
    <w:rsid w:val="002B2C0A"/>
    <w:rsid w:val="002B5872"/>
    <w:rsid w:val="002B7C46"/>
    <w:rsid w:val="00360290"/>
    <w:rsid w:val="003753D6"/>
    <w:rsid w:val="00394FFC"/>
    <w:rsid w:val="003966FD"/>
    <w:rsid w:val="003A4A7B"/>
    <w:rsid w:val="003A690A"/>
    <w:rsid w:val="003C6804"/>
    <w:rsid w:val="003D2261"/>
    <w:rsid w:val="003D6659"/>
    <w:rsid w:val="003E059F"/>
    <w:rsid w:val="00410FC0"/>
    <w:rsid w:val="0048224E"/>
    <w:rsid w:val="0048492F"/>
    <w:rsid w:val="004C3237"/>
    <w:rsid w:val="004D3FB8"/>
    <w:rsid w:val="00502062"/>
    <w:rsid w:val="00506B7D"/>
    <w:rsid w:val="00513584"/>
    <w:rsid w:val="00557F9C"/>
    <w:rsid w:val="005635F4"/>
    <w:rsid w:val="005A1BF1"/>
    <w:rsid w:val="005B6321"/>
    <w:rsid w:val="005C63D0"/>
    <w:rsid w:val="00603C8B"/>
    <w:rsid w:val="00684490"/>
    <w:rsid w:val="006C3EA6"/>
    <w:rsid w:val="006D4FCC"/>
    <w:rsid w:val="006D5906"/>
    <w:rsid w:val="00742901"/>
    <w:rsid w:val="00764356"/>
    <w:rsid w:val="00781A8C"/>
    <w:rsid w:val="00812582"/>
    <w:rsid w:val="00840561"/>
    <w:rsid w:val="00852B46"/>
    <w:rsid w:val="00873CC5"/>
    <w:rsid w:val="008A3CC2"/>
    <w:rsid w:val="008B758E"/>
    <w:rsid w:val="008D265E"/>
    <w:rsid w:val="008D33D6"/>
    <w:rsid w:val="00937B5E"/>
    <w:rsid w:val="009761CF"/>
    <w:rsid w:val="0098110C"/>
    <w:rsid w:val="009D421F"/>
    <w:rsid w:val="009E3F36"/>
    <w:rsid w:val="00A359F3"/>
    <w:rsid w:val="00A40A21"/>
    <w:rsid w:val="00A44995"/>
    <w:rsid w:val="00A706B0"/>
    <w:rsid w:val="00AA1594"/>
    <w:rsid w:val="00AB06F3"/>
    <w:rsid w:val="00AB3D78"/>
    <w:rsid w:val="00AC0029"/>
    <w:rsid w:val="00B32B29"/>
    <w:rsid w:val="00B9279A"/>
    <w:rsid w:val="00BA418C"/>
    <w:rsid w:val="00C169E5"/>
    <w:rsid w:val="00C36BEF"/>
    <w:rsid w:val="00C54FEC"/>
    <w:rsid w:val="00C56618"/>
    <w:rsid w:val="00C6265D"/>
    <w:rsid w:val="00C71AE5"/>
    <w:rsid w:val="00CB2A93"/>
    <w:rsid w:val="00CB7F21"/>
    <w:rsid w:val="00CE32D7"/>
    <w:rsid w:val="00CF423A"/>
    <w:rsid w:val="00D55011"/>
    <w:rsid w:val="00D8053E"/>
    <w:rsid w:val="00DA4D4F"/>
    <w:rsid w:val="00DC5A45"/>
    <w:rsid w:val="00E07D20"/>
    <w:rsid w:val="00E10DA1"/>
    <w:rsid w:val="00E520F3"/>
    <w:rsid w:val="00E54DA5"/>
    <w:rsid w:val="00E65BB4"/>
    <w:rsid w:val="00EA4775"/>
    <w:rsid w:val="00EC6382"/>
    <w:rsid w:val="00EF2E45"/>
    <w:rsid w:val="00EF492B"/>
    <w:rsid w:val="00F01F71"/>
    <w:rsid w:val="00F020AD"/>
    <w:rsid w:val="00F0231B"/>
    <w:rsid w:val="00F27382"/>
    <w:rsid w:val="00F6095E"/>
    <w:rsid w:val="00F82255"/>
    <w:rsid w:val="00FB66BF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E82BD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giuliano.costa@cvaconsultoria.com.b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elder.hara@cvaconsultoria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luis.neves@cvaconsultoria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790C-3027-4266-90CC-30CE65C5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8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Giuliano Henrique Costa</cp:lastModifiedBy>
  <cp:revision>47</cp:revision>
  <dcterms:created xsi:type="dcterms:W3CDTF">2016-11-17T10:54:00Z</dcterms:created>
  <dcterms:modified xsi:type="dcterms:W3CDTF">2016-11-29T11:08:00Z</dcterms:modified>
</cp:coreProperties>
</file>