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4F" w:rsidRPr="00EC6382" w:rsidRDefault="00DA4D4F" w:rsidP="000C2E9F">
      <w:pPr>
        <w:spacing w:after="0"/>
        <w:rPr>
          <w:sz w:val="44"/>
          <w:szCs w:val="44"/>
        </w:rPr>
      </w:pPr>
    </w:p>
    <w:p w:rsidR="00044E27" w:rsidRPr="00EC6382" w:rsidRDefault="00044E27" w:rsidP="000C2E9F">
      <w:pPr>
        <w:spacing w:after="0"/>
        <w:rPr>
          <w:sz w:val="44"/>
          <w:szCs w:val="44"/>
        </w:rPr>
      </w:pPr>
      <w:r w:rsidRPr="00EC6382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F10257A" wp14:editId="197A7F75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1228725" cy="1133475"/>
            <wp:effectExtent l="0" t="0" r="9525" b="9525"/>
            <wp:wrapSquare wrapText="bothSides"/>
            <wp:docPr id="3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E27" w:rsidRPr="00EC6382" w:rsidRDefault="00044E27" w:rsidP="000C2E9F">
      <w:pPr>
        <w:spacing w:after="0"/>
        <w:rPr>
          <w:sz w:val="44"/>
          <w:szCs w:val="44"/>
        </w:rPr>
      </w:pPr>
      <w:r w:rsidRPr="00EC6382">
        <w:rPr>
          <w:sz w:val="44"/>
          <w:szCs w:val="44"/>
        </w:rPr>
        <w:t xml:space="preserve">  </w:t>
      </w:r>
      <w:r w:rsidRPr="00EC6382">
        <w:rPr>
          <w:rFonts w:eastAsia="Times New Roman" w:cs="Times New Roman"/>
          <w:noProof/>
          <w:szCs w:val="20"/>
          <w:lang w:eastAsia="pt-BR"/>
        </w:rPr>
        <w:drawing>
          <wp:inline distT="0" distB="0" distL="0" distR="0" wp14:anchorId="106974D6" wp14:editId="38B3EB18">
            <wp:extent cx="1190625" cy="1343025"/>
            <wp:effectExtent l="0" t="0" r="9525" b="9525"/>
            <wp:docPr id="2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238" cy="1343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044E27" w:rsidRPr="00EC6382" w:rsidRDefault="00506B7D" w:rsidP="000C2E9F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Add</w:t>
      </w:r>
      <w:r w:rsidR="006D5906">
        <w:rPr>
          <w:sz w:val="44"/>
          <w:szCs w:val="44"/>
        </w:rPr>
        <w:t>-</w:t>
      </w:r>
      <w:r>
        <w:rPr>
          <w:sz w:val="44"/>
          <w:szCs w:val="44"/>
        </w:rPr>
        <w:t>on Transferência LCM</w:t>
      </w:r>
    </w:p>
    <w:p w:rsidR="00DA4D4F" w:rsidRPr="00EC6382" w:rsidRDefault="00044E27" w:rsidP="000C2E9F">
      <w:pPr>
        <w:spacing w:after="0"/>
        <w:jc w:val="center"/>
        <w:rPr>
          <w:sz w:val="44"/>
          <w:szCs w:val="44"/>
        </w:rPr>
      </w:pPr>
      <w:r w:rsidRPr="00EC6382">
        <w:rPr>
          <w:sz w:val="44"/>
          <w:szCs w:val="44"/>
        </w:rPr>
        <w:t>Manual de utilização</w:t>
      </w: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</w:pPr>
    </w:p>
    <w:p w:rsidR="00DA4D4F" w:rsidRPr="00EC6382" w:rsidRDefault="00DA4D4F" w:rsidP="000C2E9F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392"/>
        <w:gridCol w:w="2352"/>
        <w:gridCol w:w="5045"/>
      </w:tblGrid>
      <w:tr w:rsidR="00DA4D4F" w:rsidRPr="00EC6382" w:rsidTr="00044E27">
        <w:trPr>
          <w:trHeight w:val="377"/>
        </w:trPr>
        <w:tc>
          <w:tcPr>
            <w:tcW w:w="1034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Controle de Versões</w:t>
            </w:r>
          </w:p>
        </w:tc>
      </w:tr>
      <w:tr w:rsidR="00DA4D4F" w:rsidRPr="00EC6382" w:rsidTr="00044E27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Versão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Data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Autor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Notas da Revisão</w:t>
            </w:r>
          </w:p>
        </w:tc>
      </w:tr>
      <w:tr w:rsidR="00DA4D4F" w:rsidRPr="00EC6382" w:rsidTr="00044E27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1.0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506B7D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24</w:t>
            </w:r>
            <w:r w:rsidR="00DA4D4F" w:rsidRPr="00EC6382">
              <w:rPr>
                <w:rFonts w:asciiTheme="minorHAnsi" w:hAnsiTheme="minorHAnsi"/>
                <w:sz w:val="22"/>
              </w:rPr>
              <w:t>/11/2016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Lourenço A. Lunardelli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Criação do Documento</w:t>
            </w:r>
          </w:p>
        </w:tc>
      </w:tr>
    </w:tbl>
    <w:p w:rsidR="00DA4D4F" w:rsidRPr="00EC6382" w:rsidRDefault="00DA4D4F" w:rsidP="000C2E9F">
      <w:pPr>
        <w:pStyle w:val="Standard"/>
        <w:rPr>
          <w:rFonts w:asciiTheme="minorHAnsi" w:hAnsiTheme="minorHAnsi"/>
          <w:sz w:val="22"/>
        </w:rPr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9"/>
        <w:gridCol w:w="2209"/>
        <w:gridCol w:w="2245"/>
        <w:gridCol w:w="1376"/>
      </w:tblGrid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Projeto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Atlantic Energias Renováveis S.A.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Ventos Futuros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Responsável Técnico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Gerente de Projeto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Data entrega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N/A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Lista de Participantes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Cargo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Empresa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Responsável Técnico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Gerente de Projeto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1C335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Felipe </w:t>
            </w:r>
            <w:proofErr w:type="spellStart"/>
            <w:r>
              <w:rPr>
                <w:rFonts w:asciiTheme="minorHAnsi" w:hAnsiTheme="minorHAnsi"/>
                <w:i/>
              </w:rPr>
              <w:t>Hosomi</w:t>
            </w:r>
            <w:proofErr w:type="spellEnd"/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Desenvolvedor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Eduardo Gonçalves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Desenvolvedor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Lourenço Almeida Lunardelli</w:t>
            </w:r>
          </w:p>
        </w:tc>
        <w:tc>
          <w:tcPr>
            <w:tcW w:w="224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Tester</w:t>
            </w:r>
          </w:p>
        </w:tc>
        <w:tc>
          <w:tcPr>
            <w:tcW w:w="13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CVA</w:t>
            </w:r>
          </w:p>
        </w:tc>
      </w:tr>
    </w:tbl>
    <w:p w:rsidR="00DA4D4F" w:rsidRPr="00EC6382" w:rsidRDefault="00DA4D4F" w:rsidP="000C2E9F">
      <w:pPr>
        <w:spacing w:after="0"/>
      </w:pPr>
    </w:p>
    <w:p w:rsidR="00DA4D4F" w:rsidRPr="00EC6382" w:rsidRDefault="00DA4D4F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C2E9F" w:rsidRDefault="000C2E9F" w:rsidP="000C2E9F">
      <w:pPr>
        <w:pStyle w:val="Ttulo1"/>
        <w:spacing w:before="0"/>
        <w:rPr>
          <w:rFonts w:asciiTheme="minorHAnsi" w:hAnsiTheme="minorHAnsi"/>
          <w:b/>
        </w:rPr>
      </w:pPr>
      <w:bookmarkStart w:id="0" w:name="_Toc467748629"/>
    </w:p>
    <w:p w:rsidR="00044E27" w:rsidRPr="00EC6382" w:rsidRDefault="005635F4" w:rsidP="000C2E9F">
      <w:pPr>
        <w:pStyle w:val="Ttulo1"/>
        <w:spacing w:before="0"/>
        <w:rPr>
          <w:rFonts w:asciiTheme="minorHAnsi" w:hAnsiTheme="minorHAnsi"/>
          <w:b/>
        </w:rPr>
      </w:pPr>
      <w:r w:rsidRPr="00EC6382">
        <w:rPr>
          <w:rFonts w:asciiTheme="minorHAnsi" w:hAnsiTheme="minorHAnsi"/>
          <w:b/>
        </w:rPr>
        <w:t>SUMÁRIO</w:t>
      </w:r>
      <w:bookmarkEnd w:id="0"/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D55011" w:rsidRDefault="00044E27" w:rsidP="000C2E9F">
      <w:pPr>
        <w:pStyle w:val="Sumrio1"/>
        <w:tabs>
          <w:tab w:val="right" w:leader="dot" w:pos="8494"/>
        </w:tabs>
        <w:spacing w:after="0"/>
        <w:rPr>
          <w:rFonts w:eastAsiaTheme="minorEastAsia"/>
          <w:noProof/>
          <w:lang w:eastAsia="pt-BR"/>
        </w:rPr>
      </w:pPr>
      <w:r w:rsidRPr="00EC6382">
        <w:rPr>
          <w:rFonts w:eastAsia="Times New Roman" w:cs="Open Sans"/>
          <w:bCs/>
          <w:sz w:val="32"/>
          <w:szCs w:val="32"/>
        </w:rPr>
        <w:fldChar w:fldCharType="begin"/>
      </w:r>
      <w:r w:rsidRPr="00EC6382">
        <w:instrText xml:space="preserve"> TOC \o "1-3" \h </w:instrText>
      </w:r>
      <w:r w:rsidRPr="00EC6382">
        <w:rPr>
          <w:rFonts w:eastAsia="Times New Roman" w:cs="Open Sans"/>
          <w:bCs/>
          <w:sz w:val="32"/>
          <w:szCs w:val="32"/>
        </w:rPr>
        <w:fldChar w:fldCharType="separate"/>
      </w:r>
      <w:hyperlink w:anchor="_Toc467748629" w:history="1">
        <w:r w:rsidR="00D55011" w:rsidRPr="00262236">
          <w:rPr>
            <w:rStyle w:val="Hyperlink"/>
            <w:noProof/>
          </w:rPr>
          <w:t>SUMÁRIO</w:t>
        </w:r>
        <w:r w:rsidR="00D55011">
          <w:rPr>
            <w:noProof/>
          </w:rPr>
          <w:tab/>
        </w:r>
        <w:r w:rsidR="00D55011">
          <w:rPr>
            <w:noProof/>
          </w:rPr>
          <w:fldChar w:fldCharType="begin"/>
        </w:r>
        <w:r w:rsidR="00D55011">
          <w:rPr>
            <w:noProof/>
          </w:rPr>
          <w:instrText xml:space="preserve"> PAGEREF _Toc467748629 \h </w:instrText>
        </w:r>
        <w:r w:rsidR="00D55011">
          <w:rPr>
            <w:noProof/>
          </w:rPr>
        </w:r>
        <w:r w:rsidR="00D55011">
          <w:rPr>
            <w:noProof/>
          </w:rPr>
          <w:fldChar w:fldCharType="separate"/>
        </w:r>
        <w:r w:rsidR="00267BF7">
          <w:rPr>
            <w:noProof/>
          </w:rPr>
          <w:t>2</w:t>
        </w:r>
        <w:r w:rsidR="00D55011">
          <w:rPr>
            <w:noProof/>
          </w:rPr>
          <w:fldChar w:fldCharType="end"/>
        </w:r>
      </w:hyperlink>
    </w:p>
    <w:p w:rsidR="00D55011" w:rsidRDefault="00557F9C" w:rsidP="000C2E9F">
      <w:pPr>
        <w:pStyle w:val="Sumrio1"/>
        <w:tabs>
          <w:tab w:val="right" w:leader="dot" w:pos="8494"/>
        </w:tabs>
        <w:spacing w:after="0"/>
        <w:rPr>
          <w:rFonts w:eastAsiaTheme="minorEastAsia"/>
          <w:noProof/>
          <w:lang w:eastAsia="pt-BR"/>
        </w:rPr>
      </w:pPr>
      <w:hyperlink w:anchor="_Toc467748630" w:history="1">
        <w:r w:rsidR="00D55011" w:rsidRPr="00262236">
          <w:rPr>
            <w:rStyle w:val="Hyperlink"/>
            <w:noProof/>
          </w:rPr>
          <w:t>SOBRE O DOCUMENTO</w:t>
        </w:r>
        <w:r w:rsidR="00D55011">
          <w:rPr>
            <w:noProof/>
          </w:rPr>
          <w:tab/>
        </w:r>
        <w:r w:rsidR="00D55011">
          <w:rPr>
            <w:noProof/>
          </w:rPr>
          <w:fldChar w:fldCharType="begin"/>
        </w:r>
        <w:r w:rsidR="00D55011">
          <w:rPr>
            <w:noProof/>
          </w:rPr>
          <w:instrText xml:space="preserve"> PAGEREF _Toc467748630 \h </w:instrText>
        </w:r>
        <w:r w:rsidR="00D55011">
          <w:rPr>
            <w:noProof/>
          </w:rPr>
        </w:r>
        <w:r w:rsidR="00D55011">
          <w:rPr>
            <w:noProof/>
          </w:rPr>
          <w:fldChar w:fldCharType="separate"/>
        </w:r>
        <w:r w:rsidR="00267BF7">
          <w:rPr>
            <w:noProof/>
          </w:rPr>
          <w:t>3</w:t>
        </w:r>
        <w:r w:rsidR="00D55011">
          <w:rPr>
            <w:noProof/>
          </w:rPr>
          <w:fldChar w:fldCharType="end"/>
        </w:r>
      </w:hyperlink>
    </w:p>
    <w:p w:rsidR="00D55011" w:rsidRDefault="00557F9C" w:rsidP="000C2E9F">
      <w:pPr>
        <w:pStyle w:val="Sumrio1"/>
        <w:tabs>
          <w:tab w:val="right" w:leader="dot" w:pos="8494"/>
        </w:tabs>
        <w:spacing w:after="0"/>
        <w:rPr>
          <w:rFonts w:eastAsiaTheme="minorEastAsia"/>
          <w:noProof/>
          <w:lang w:eastAsia="pt-BR"/>
        </w:rPr>
      </w:pPr>
      <w:hyperlink w:anchor="_Toc467748631" w:history="1">
        <w:r w:rsidR="00D55011" w:rsidRPr="00262236">
          <w:rPr>
            <w:rStyle w:val="Hyperlink"/>
            <w:noProof/>
          </w:rPr>
          <w:t>UTILIZAÇÃO</w:t>
        </w:r>
        <w:r w:rsidR="00D55011">
          <w:rPr>
            <w:noProof/>
          </w:rPr>
          <w:tab/>
        </w:r>
        <w:r w:rsidR="00D55011">
          <w:rPr>
            <w:noProof/>
          </w:rPr>
          <w:fldChar w:fldCharType="begin"/>
        </w:r>
        <w:r w:rsidR="00D55011">
          <w:rPr>
            <w:noProof/>
          </w:rPr>
          <w:instrText xml:space="preserve"> PAGEREF _Toc467748631 \h </w:instrText>
        </w:r>
        <w:r w:rsidR="00D55011">
          <w:rPr>
            <w:noProof/>
          </w:rPr>
        </w:r>
        <w:r w:rsidR="00D55011">
          <w:rPr>
            <w:noProof/>
          </w:rPr>
          <w:fldChar w:fldCharType="separate"/>
        </w:r>
        <w:r w:rsidR="00267BF7">
          <w:rPr>
            <w:noProof/>
          </w:rPr>
          <w:t>4</w:t>
        </w:r>
        <w:r w:rsidR="00D55011">
          <w:rPr>
            <w:noProof/>
          </w:rPr>
          <w:fldChar w:fldCharType="end"/>
        </w:r>
      </w:hyperlink>
    </w:p>
    <w:p w:rsidR="00D55011" w:rsidRDefault="00557F9C" w:rsidP="000C2E9F">
      <w:pPr>
        <w:pStyle w:val="Sumrio1"/>
        <w:tabs>
          <w:tab w:val="left" w:pos="440"/>
          <w:tab w:val="right" w:leader="dot" w:pos="8494"/>
        </w:tabs>
        <w:spacing w:after="0"/>
        <w:rPr>
          <w:rFonts w:eastAsiaTheme="minorEastAsia"/>
          <w:noProof/>
          <w:lang w:eastAsia="pt-BR"/>
        </w:rPr>
      </w:pPr>
      <w:hyperlink w:anchor="_Toc467748632" w:history="1">
        <w:r w:rsidR="00D55011" w:rsidRPr="00262236">
          <w:rPr>
            <w:rStyle w:val="Hyperlink"/>
            <w:noProof/>
          </w:rPr>
          <w:t>1.</w:t>
        </w:r>
        <w:r w:rsidR="00D55011">
          <w:rPr>
            <w:rFonts w:eastAsiaTheme="minorEastAsia"/>
            <w:noProof/>
            <w:lang w:eastAsia="pt-BR"/>
          </w:rPr>
          <w:tab/>
        </w:r>
        <w:r w:rsidR="00D55011" w:rsidRPr="00262236">
          <w:rPr>
            <w:rStyle w:val="Hyperlink"/>
            <w:noProof/>
          </w:rPr>
          <w:t>Inicialização do Addon</w:t>
        </w:r>
        <w:r w:rsidR="00D55011">
          <w:rPr>
            <w:noProof/>
          </w:rPr>
          <w:tab/>
        </w:r>
        <w:r w:rsidR="00D55011">
          <w:rPr>
            <w:noProof/>
          </w:rPr>
          <w:fldChar w:fldCharType="begin"/>
        </w:r>
        <w:r w:rsidR="00D55011">
          <w:rPr>
            <w:noProof/>
          </w:rPr>
          <w:instrText xml:space="preserve"> PAGEREF _Toc467748632 \h </w:instrText>
        </w:r>
        <w:r w:rsidR="00D55011">
          <w:rPr>
            <w:noProof/>
          </w:rPr>
        </w:r>
        <w:r w:rsidR="00D55011">
          <w:rPr>
            <w:noProof/>
          </w:rPr>
          <w:fldChar w:fldCharType="separate"/>
        </w:r>
        <w:r w:rsidR="00267BF7">
          <w:rPr>
            <w:noProof/>
          </w:rPr>
          <w:t>4</w:t>
        </w:r>
        <w:r w:rsidR="00D55011">
          <w:rPr>
            <w:noProof/>
          </w:rPr>
          <w:fldChar w:fldCharType="end"/>
        </w:r>
      </w:hyperlink>
    </w:p>
    <w:p w:rsidR="00D55011" w:rsidRDefault="00557F9C" w:rsidP="000C2E9F">
      <w:pPr>
        <w:pStyle w:val="Sumrio1"/>
        <w:tabs>
          <w:tab w:val="left" w:pos="440"/>
          <w:tab w:val="right" w:leader="dot" w:pos="8494"/>
        </w:tabs>
        <w:spacing w:after="0"/>
        <w:rPr>
          <w:rFonts w:eastAsiaTheme="minorEastAsia"/>
          <w:noProof/>
          <w:lang w:eastAsia="pt-BR"/>
        </w:rPr>
      </w:pPr>
      <w:hyperlink w:anchor="_Toc467748633" w:history="1">
        <w:r w:rsidR="00D55011" w:rsidRPr="00262236">
          <w:rPr>
            <w:rStyle w:val="Hyperlink"/>
            <w:noProof/>
          </w:rPr>
          <w:t>2.</w:t>
        </w:r>
        <w:r w:rsidR="00D55011">
          <w:rPr>
            <w:rFonts w:eastAsiaTheme="minorEastAsia"/>
            <w:noProof/>
            <w:lang w:eastAsia="pt-BR"/>
          </w:rPr>
          <w:tab/>
        </w:r>
        <w:r w:rsidR="00D55011" w:rsidRPr="00262236">
          <w:rPr>
            <w:rStyle w:val="Hyperlink"/>
            <w:noProof/>
          </w:rPr>
          <w:t>Acessando a tela de Lançamento Contábil Manual</w:t>
        </w:r>
        <w:r w:rsidR="00D55011">
          <w:rPr>
            <w:noProof/>
          </w:rPr>
          <w:tab/>
        </w:r>
        <w:r w:rsidR="00D55011">
          <w:rPr>
            <w:noProof/>
          </w:rPr>
          <w:fldChar w:fldCharType="begin"/>
        </w:r>
        <w:r w:rsidR="00D55011">
          <w:rPr>
            <w:noProof/>
          </w:rPr>
          <w:instrText xml:space="preserve"> PAGEREF _Toc467748633 \h </w:instrText>
        </w:r>
        <w:r w:rsidR="00D55011">
          <w:rPr>
            <w:noProof/>
          </w:rPr>
        </w:r>
        <w:r w:rsidR="00D55011">
          <w:rPr>
            <w:noProof/>
          </w:rPr>
          <w:fldChar w:fldCharType="separate"/>
        </w:r>
        <w:r w:rsidR="00267BF7">
          <w:rPr>
            <w:noProof/>
          </w:rPr>
          <w:t>6</w:t>
        </w:r>
        <w:r w:rsidR="00D55011">
          <w:rPr>
            <w:noProof/>
          </w:rPr>
          <w:fldChar w:fldCharType="end"/>
        </w:r>
      </w:hyperlink>
    </w:p>
    <w:p w:rsidR="00D55011" w:rsidRDefault="00557F9C" w:rsidP="000C2E9F">
      <w:pPr>
        <w:pStyle w:val="Sumrio1"/>
        <w:tabs>
          <w:tab w:val="left" w:pos="440"/>
          <w:tab w:val="right" w:leader="dot" w:pos="8494"/>
        </w:tabs>
        <w:spacing w:after="0"/>
        <w:rPr>
          <w:rFonts w:eastAsiaTheme="minorEastAsia"/>
          <w:noProof/>
          <w:lang w:eastAsia="pt-BR"/>
        </w:rPr>
      </w:pPr>
      <w:hyperlink w:anchor="_Toc467748634" w:history="1">
        <w:r w:rsidR="00D55011" w:rsidRPr="00262236">
          <w:rPr>
            <w:rStyle w:val="Hyperlink"/>
            <w:noProof/>
          </w:rPr>
          <w:t>3.</w:t>
        </w:r>
        <w:r w:rsidR="00D55011">
          <w:rPr>
            <w:rFonts w:eastAsiaTheme="minorEastAsia"/>
            <w:noProof/>
            <w:lang w:eastAsia="pt-BR"/>
          </w:rPr>
          <w:tab/>
        </w:r>
        <w:r w:rsidR="00D55011" w:rsidRPr="00262236">
          <w:rPr>
            <w:rStyle w:val="Hyperlink"/>
            <w:noProof/>
          </w:rPr>
          <w:t>Fazendo um Lançamento Contábil Manual</w:t>
        </w:r>
        <w:r w:rsidR="00D55011">
          <w:rPr>
            <w:noProof/>
          </w:rPr>
          <w:tab/>
        </w:r>
        <w:r w:rsidR="00D55011">
          <w:rPr>
            <w:noProof/>
          </w:rPr>
          <w:fldChar w:fldCharType="begin"/>
        </w:r>
        <w:r w:rsidR="00D55011">
          <w:rPr>
            <w:noProof/>
          </w:rPr>
          <w:instrText xml:space="preserve"> PAGEREF _Toc467748634 \h </w:instrText>
        </w:r>
        <w:r w:rsidR="00D55011">
          <w:rPr>
            <w:noProof/>
          </w:rPr>
        </w:r>
        <w:r w:rsidR="00D55011">
          <w:rPr>
            <w:noProof/>
          </w:rPr>
          <w:fldChar w:fldCharType="separate"/>
        </w:r>
        <w:r w:rsidR="00267BF7">
          <w:rPr>
            <w:noProof/>
          </w:rPr>
          <w:t>7</w:t>
        </w:r>
        <w:r w:rsidR="00D55011">
          <w:rPr>
            <w:noProof/>
          </w:rPr>
          <w:fldChar w:fldCharType="end"/>
        </w:r>
      </w:hyperlink>
    </w:p>
    <w:p w:rsidR="00D55011" w:rsidRDefault="00557F9C" w:rsidP="000C2E9F">
      <w:pPr>
        <w:pStyle w:val="Sumrio1"/>
        <w:tabs>
          <w:tab w:val="left" w:pos="440"/>
          <w:tab w:val="right" w:leader="dot" w:pos="8494"/>
        </w:tabs>
        <w:spacing w:after="0"/>
        <w:rPr>
          <w:rFonts w:eastAsiaTheme="minorEastAsia"/>
          <w:noProof/>
          <w:lang w:eastAsia="pt-BR"/>
        </w:rPr>
      </w:pPr>
      <w:hyperlink w:anchor="_Toc467748635" w:history="1">
        <w:r w:rsidR="00D55011" w:rsidRPr="00262236">
          <w:rPr>
            <w:rStyle w:val="Hyperlink"/>
            <w:noProof/>
          </w:rPr>
          <w:t>4.</w:t>
        </w:r>
        <w:r w:rsidR="00D55011">
          <w:rPr>
            <w:rFonts w:eastAsiaTheme="minorEastAsia"/>
            <w:noProof/>
            <w:lang w:eastAsia="pt-BR"/>
          </w:rPr>
          <w:tab/>
        </w:r>
        <w:r w:rsidR="00D55011" w:rsidRPr="00262236">
          <w:rPr>
            <w:rStyle w:val="Hyperlink"/>
            <w:noProof/>
          </w:rPr>
          <w:t>Replicando o Lançamento Contábil Manual</w:t>
        </w:r>
        <w:r w:rsidR="00D55011">
          <w:rPr>
            <w:noProof/>
          </w:rPr>
          <w:tab/>
        </w:r>
        <w:r w:rsidR="00D55011">
          <w:rPr>
            <w:noProof/>
          </w:rPr>
          <w:fldChar w:fldCharType="begin"/>
        </w:r>
        <w:r w:rsidR="00D55011">
          <w:rPr>
            <w:noProof/>
          </w:rPr>
          <w:instrText xml:space="preserve"> PAGEREF _Toc467748635 \h </w:instrText>
        </w:r>
        <w:r w:rsidR="00D55011">
          <w:rPr>
            <w:noProof/>
          </w:rPr>
        </w:r>
        <w:r w:rsidR="00D55011">
          <w:rPr>
            <w:noProof/>
          </w:rPr>
          <w:fldChar w:fldCharType="separate"/>
        </w:r>
        <w:r w:rsidR="00267BF7">
          <w:rPr>
            <w:noProof/>
          </w:rPr>
          <w:t>9</w:t>
        </w:r>
        <w:r w:rsidR="00D55011">
          <w:rPr>
            <w:noProof/>
          </w:rPr>
          <w:fldChar w:fldCharType="end"/>
        </w:r>
      </w:hyperlink>
    </w:p>
    <w:p w:rsidR="00D55011" w:rsidRDefault="00044E27" w:rsidP="000C2E9F">
      <w:pPr>
        <w:spacing w:after="0"/>
        <w:rPr>
          <w:rFonts w:eastAsia="Cambria" w:cs="Cambria"/>
          <w:b/>
        </w:rPr>
      </w:pPr>
      <w:r w:rsidRPr="00EC6382">
        <w:rPr>
          <w:rFonts w:eastAsia="Cambria" w:cs="Cambria"/>
          <w:b/>
        </w:rPr>
        <w:fldChar w:fldCharType="end"/>
      </w:r>
      <w:r w:rsidR="00267BF7">
        <w:rPr>
          <w:rFonts w:eastAsia="Cambria" w:cs="Cambria"/>
          <w:b/>
        </w:rPr>
        <w:t xml:space="preserve"> </w:t>
      </w: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Pr="00EC6382" w:rsidRDefault="00D55011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Default="00044E27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9E3F36" w:rsidRPr="00EC6382" w:rsidRDefault="00044E27" w:rsidP="000C2E9F">
      <w:pPr>
        <w:pStyle w:val="Ttulo1"/>
        <w:spacing w:before="0"/>
        <w:rPr>
          <w:rFonts w:asciiTheme="minorHAnsi" w:hAnsiTheme="minorHAnsi"/>
          <w:b/>
        </w:rPr>
      </w:pPr>
      <w:bookmarkStart w:id="1" w:name="_Toc467748630"/>
      <w:r w:rsidRPr="00EC6382">
        <w:rPr>
          <w:rFonts w:asciiTheme="minorHAnsi" w:hAnsiTheme="minorHAnsi"/>
          <w:b/>
        </w:rPr>
        <w:t>SOBRE O DOCUMENTO</w:t>
      </w:r>
      <w:bookmarkEnd w:id="1"/>
    </w:p>
    <w:p w:rsidR="008D33D6" w:rsidRPr="00EC6382" w:rsidRDefault="008D33D6" w:rsidP="000C2E9F">
      <w:pPr>
        <w:spacing w:after="0"/>
      </w:pPr>
      <w:r w:rsidRPr="00EC6382">
        <w:tab/>
      </w:r>
    </w:p>
    <w:p w:rsidR="009E3F36" w:rsidRPr="00EC6382" w:rsidRDefault="008D33D6" w:rsidP="000C2E9F">
      <w:pPr>
        <w:spacing w:after="0"/>
      </w:pPr>
      <w:r w:rsidRPr="00EC6382">
        <w:tab/>
        <w:t xml:space="preserve">Este manual tem como objetivo explanar sobre </w:t>
      </w:r>
      <w:r w:rsidR="00EA4775">
        <w:t>o funcionamento do</w:t>
      </w:r>
      <w:r w:rsidR="00EA4775" w:rsidRPr="00EA4775">
        <w:rPr>
          <w:b/>
        </w:rPr>
        <w:t xml:space="preserve"> Add</w:t>
      </w:r>
      <w:r w:rsidR="006D5906">
        <w:rPr>
          <w:b/>
        </w:rPr>
        <w:t>-</w:t>
      </w:r>
      <w:r w:rsidR="00EA4775" w:rsidRPr="00EA4775">
        <w:rPr>
          <w:b/>
        </w:rPr>
        <w:t>on SAP de Transferências de LCM</w:t>
      </w:r>
      <w:r w:rsidRPr="00EC6382">
        <w:t xml:space="preserve">, dando ao usuário total apoio na hora da utilização do mesmo. Abrange todas as telas do </w:t>
      </w:r>
      <w:r w:rsidR="00EA4775">
        <w:t>Add</w:t>
      </w:r>
      <w:r w:rsidR="00F01F71">
        <w:t>-</w:t>
      </w:r>
      <w:r w:rsidR="00EA4775">
        <w:t>on</w:t>
      </w:r>
      <w:r w:rsidRPr="00EC6382">
        <w:t xml:space="preserve">, o fluxo </w:t>
      </w:r>
      <w:r w:rsidR="00EA4775">
        <w:t xml:space="preserve">a ser seguido </w:t>
      </w:r>
      <w:r w:rsidRPr="00EC6382">
        <w:t>e informações como responsáveis pelo desenvolvimento e suporte.</w:t>
      </w:r>
    </w:p>
    <w:p w:rsidR="008D33D6" w:rsidRPr="00EC6382" w:rsidRDefault="008D33D6" w:rsidP="000C2E9F">
      <w:pPr>
        <w:spacing w:after="0"/>
      </w:pPr>
    </w:p>
    <w:p w:rsidR="008D33D6" w:rsidRPr="00EC6382" w:rsidRDefault="008D33D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Default="005635F4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Pr="00EC6382" w:rsidRDefault="00D55011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  <w:bookmarkStart w:id="2" w:name="_Toc467748631"/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0C2E9F" w:rsidRPr="000C2E9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Default="005635F4" w:rsidP="000C2E9F">
      <w:pPr>
        <w:pStyle w:val="Ttulo1"/>
        <w:spacing w:before="0"/>
      </w:pPr>
      <w:r w:rsidRPr="00EC6382">
        <w:rPr>
          <w:rFonts w:asciiTheme="minorHAnsi" w:hAnsiTheme="minorHAnsi"/>
          <w:b/>
        </w:rPr>
        <w:t>UTILIZAÇÃO</w:t>
      </w:r>
      <w:bookmarkEnd w:id="2"/>
    </w:p>
    <w:p w:rsidR="00D55011" w:rsidRDefault="00D55011" w:rsidP="000C2E9F">
      <w:pPr>
        <w:pStyle w:val="Ttulo1"/>
        <w:numPr>
          <w:ilvl w:val="0"/>
          <w:numId w:val="11"/>
        </w:numPr>
        <w:spacing w:before="0"/>
      </w:pPr>
      <w:bookmarkStart w:id="3" w:name="_Toc467748632"/>
      <w:r>
        <w:t>Inicialização do Add</w:t>
      </w:r>
      <w:r w:rsidR="006D5906">
        <w:t>-</w:t>
      </w:r>
      <w:r>
        <w:t>on</w:t>
      </w:r>
      <w:bookmarkEnd w:id="3"/>
    </w:p>
    <w:p w:rsidR="00D55011" w:rsidRDefault="00D55011" w:rsidP="000C2E9F">
      <w:pPr>
        <w:spacing w:after="0"/>
      </w:pPr>
    </w:p>
    <w:p w:rsidR="009E3F36" w:rsidRDefault="00603C8B" w:rsidP="000C2E9F">
      <w:pPr>
        <w:spacing w:after="0"/>
        <w:ind w:firstLine="360"/>
        <w:jc w:val="both"/>
        <w:rPr>
          <w:color w:val="000000" w:themeColor="text1"/>
        </w:rPr>
      </w:pPr>
      <w:r>
        <w:t xml:space="preserve">Para inicializar o </w:t>
      </w:r>
      <w:r>
        <w:rPr>
          <w:b/>
        </w:rPr>
        <w:t>Add-on de Transferência de LCM</w:t>
      </w:r>
      <w:r w:rsidR="00D55011">
        <w:t>, o usuário dever</w:t>
      </w:r>
      <w:r w:rsidR="006D5906">
        <w:t xml:space="preserve">á acessar o menu </w:t>
      </w:r>
      <w:r w:rsidR="006D5906">
        <w:rPr>
          <w:b/>
        </w:rPr>
        <w:t>Administrador add-on</w:t>
      </w:r>
      <w:r>
        <w:t xml:space="preserve"> através da tela a seguir. Este </w:t>
      </w:r>
      <w:r w:rsidR="006D5906">
        <w:t xml:space="preserve">pode ser acessado clicando em </w:t>
      </w:r>
      <w:r w:rsidR="006D5906">
        <w:rPr>
          <w:b/>
        </w:rPr>
        <w:t xml:space="preserve">Administração </w:t>
      </w:r>
      <w:r w:rsidR="006D5906" w:rsidRPr="006D5906">
        <w:rPr>
          <w:b/>
          <w:color w:val="FF0000"/>
        </w:rPr>
        <w:t>(1)</w:t>
      </w:r>
      <w:r w:rsidR="006D5906">
        <w:t xml:space="preserve"> &gt; </w:t>
      </w:r>
      <w:r w:rsidR="006D5906">
        <w:rPr>
          <w:b/>
        </w:rPr>
        <w:t xml:space="preserve">Add-Ons </w:t>
      </w:r>
      <w:r w:rsidR="006D5906" w:rsidRPr="006D5906">
        <w:rPr>
          <w:b/>
          <w:color w:val="FF0000"/>
        </w:rPr>
        <w:t>(2)</w:t>
      </w:r>
      <w:r w:rsidR="006D5906">
        <w:rPr>
          <w:b/>
        </w:rPr>
        <w:t xml:space="preserve"> </w:t>
      </w:r>
      <w:r w:rsidR="006D5906">
        <w:t xml:space="preserve">&gt; </w:t>
      </w:r>
      <w:r w:rsidR="006D5906">
        <w:rPr>
          <w:b/>
        </w:rPr>
        <w:t xml:space="preserve">Administrador add-on </w:t>
      </w:r>
      <w:r w:rsidR="006D5906" w:rsidRPr="006D5906">
        <w:rPr>
          <w:b/>
          <w:color w:val="FF0000"/>
        </w:rPr>
        <w:t>(3)</w:t>
      </w:r>
      <w:r w:rsidR="002A4D22" w:rsidRPr="002A4D22">
        <w:rPr>
          <w:color w:val="000000" w:themeColor="text1"/>
        </w:rPr>
        <w:t>.</w:t>
      </w:r>
    </w:p>
    <w:p w:rsidR="00603C8B" w:rsidRDefault="00603C8B" w:rsidP="000C2E9F">
      <w:pPr>
        <w:spacing w:after="0"/>
        <w:ind w:firstLine="360"/>
      </w:pPr>
    </w:p>
    <w:p w:rsidR="002A4D22" w:rsidRDefault="002A4D22" w:rsidP="000C2E9F">
      <w:pPr>
        <w:spacing w:after="0"/>
      </w:pPr>
    </w:p>
    <w:p w:rsidR="00D55011" w:rsidRDefault="00207396" w:rsidP="000C2E9F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351pt">
            <v:imagedata r:id="rId10" o:title="1"/>
          </v:shape>
        </w:pict>
      </w:r>
    </w:p>
    <w:p w:rsidR="00603C8B" w:rsidRDefault="00603C8B" w:rsidP="000C2E9F">
      <w:pPr>
        <w:spacing w:after="0"/>
        <w:jc w:val="center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1F6BD9" w:rsidRDefault="001F6BD9" w:rsidP="000C2E9F">
      <w:pPr>
        <w:spacing w:after="0"/>
      </w:pPr>
    </w:p>
    <w:p w:rsidR="001F6BD9" w:rsidRDefault="001F6BD9" w:rsidP="000C2E9F">
      <w:pPr>
        <w:spacing w:after="0"/>
        <w:jc w:val="both"/>
      </w:pPr>
    </w:p>
    <w:p w:rsidR="001F6BD9" w:rsidRDefault="00603C8B" w:rsidP="000C2E9F">
      <w:pPr>
        <w:spacing w:after="0"/>
        <w:jc w:val="both"/>
      </w:pPr>
      <w:r>
        <w:t>Após seguir estes passos, a seguinte tela é apresentada:</w:t>
      </w:r>
    </w:p>
    <w:p w:rsidR="000C2E9F" w:rsidRDefault="000C2E9F" w:rsidP="000C2E9F">
      <w:pPr>
        <w:spacing w:after="0"/>
        <w:jc w:val="both"/>
      </w:pPr>
    </w:p>
    <w:p w:rsidR="001F6BD9" w:rsidRDefault="001F6BD9" w:rsidP="000C2E9F">
      <w:pPr>
        <w:spacing w:after="0"/>
      </w:pPr>
    </w:p>
    <w:p w:rsidR="001F6BD9" w:rsidRDefault="00207396" w:rsidP="000C2E9F">
      <w:pPr>
        <w:spacing w:after="0"/>
        <w:jc w:val="center"/>
      </w:pPr>
      <w:r>
        <w:pict>
          <v:shape id="_x0000_i1026" type="#_x0000_t75" style="width:425.25pt;height:284.25pt">
            <v:imagedata r:id="rId11" o:title="2"/>
          </v:shape>
        </w:pict>
      </w:r>
    </w:p>
    <w:p w:rsidR="001F6BD9" w:rsidRDefault="001F6BD9" w:rsidP="000C2E9F">
      <w:pPr>
        <w:spacing w:after="0"/>
        <w:jc w:val="center"/>
      </w:pPr>
    </w:p>
    <w:p w:rsidR="001F6BD9" w:rsidRDefault="00603C8B" w:rsidP="000C2E9F">
      <w:pPr>
        <w:spacing w:after="0"/>
        <w:ind w:firstLine="360"/>
        <w:jc w:val="both"/>
      </w:pPr>
      <w:r>
        <w:t xml:space="preserve">Nesta tela, o usuário deverá verificar o status do </w:t>
      </w:r>
      <w:r w:rsidRPr="00603C8B">
        <w:rPr>
          <w:b/>
        </w:rPr>
        <w:t>Add-on Dover</w:t>
      </w:r>
      <w:r>
        <w:t xml:space="preserve">, responsável pelo gerenciamento do </w:t>
      </w:r>
      <w:r>
        <w:rPr>
          <w:b/>
        </w:rPr>
        <w:t>Add-on de Transferência de LCM</w:t>
      </w:r>
      <w:r>
        <w:t xml:space="preserve">. Caso o mesmo esteja “Desconectado”, como na imagem, deve-se selecionar a linha e clicar no botão </w:t>
      </w:r>
      <w:r>
        <w:rPr>
          <w:b/>
        </w:rPr>
        <w:t xml:space="preserve">Início </w:t>
      </w:r>
      <w:r w:rsidRPr="00603C8B">
        <w:rPr>
          <w:b/>
          <w:color w:val="FF0000"/>
        </w:rPr>
        <w:t>(1)</w:t>
      </w:r>
      <w:r>
        <w:t>.</w:t>
      </w:r>
    </w:p>
    <w:p w:rsidR="001F6BD9" w:rsidRDefault="001F6BD9" w:rsidP="000C2E9F">
      <w:pPr>
        <w:spacing w:after="0"/>
        <w:ind w:firstLine="360"/>
        <w:jc w:val="both"/>
        <w:rPr>
          <w:color w:val="000000" w:themeColor="text1"/>
        </w:rPr>
      </w:pPr>
      <w:r>
        <w:t xml:space="preserve">Após este processo, o Status deverá mudar para “Conectado”, o que indica que o </w:t>
      </w:r>
      <w:r>
        <w:rPr>
          <w:b/>
        </w:rPr>
        <w:t>Add-on Dover</w:t>
      </w:r>
      <w:r>
        <w:t xml:space="preserve"> está funcionando corretamente. Com isso, o usuário deverá acessar o menu </w:t>
      </w:r>
      <w:r>
        <w:rPr>
          <w:b/>
        </w:rPr>
        <w:t>Administrador add-on</w:t>
      </w:r>
      <w:r>
        <w:t xml:space="preserve"> através da tela a seguir. Este pode ser acessado clicando em A</w:t>
      </w:r>
      <w:r>
        <w:rPr>
          <w:b/>
        </w:rPr>
        <w:t xml:space="preserve">dministração </w:t>
      </w:r>
      <w:r w:rsidRPr="006D5906">
        <w:rPr>
          <w:b/>
          <w:color w:val="FF0000"/>
        </w:rPr>
        <w:t>1)</w:t>
      </w:r>
      <w:r>
        <w:t xml:space="preserve"> &gt; </w:t>
      </w:r>
      <w:r>
        <w:rPr>
          <w:b/>
        </w:rPr>
        <w:t xml:space="preserve">Add-Ons </w:t>
      </w:r>
      <w:r w:rsidRPr="006D5906">
        <w:rPr>
          <w:b/>
          <w:color w:val="FF0000"/>
        </w:rPr>
        <w:t>(2)</w:t>
      </w:r>
      <w:r>
        <w:rPr>
          <w:b/>
        </w:rPr>
        <w:t xml:space="preserve"> </w:t>
      </w:r>
      <w:r>
        <w:t xml:space="preserve">&gt; </w:t>
      </w:r>
      <w:r>
        <w:rPr>
          <w:b/>
        </w:rPr>
        <w:t xml:space="preserve">Configuração e instalação de Addin </w:t>
      </w:r>
      <w:r w:rsidRPr="006D5906">
        <w:rPr>
          <w:b/>
          <w:color w:val="FF0000"/>
        </w:rPr>
        <w:t>(3)</w:t>
      </w:r>
      <w:r w:rsidRPr="002A4D22">
        <w:rPr>
          <w:color w:val="000000" w:themeColor="text1"/>
        </w:rPr>
        <w:t>.</w:t>
      </w:r>
    </w:p>
    <w:p w:rsidR="000C2E9F" w:rsidRDefault="000C2E9F" w:rsidP="000C2E9F">
      <w:pPr>
        <w:spacing w:after="0"/>
        <w:ind w:firstLine="360"/>
        <w:jc w:val="both"/>
        <w:rPr>
          <w:color w:val="000000" w:themeColor="text1"/>
        </w:rPr>
      </w:pPr>
    </w:p>
    <w:p w:rsidR="00CE32D7" w:rsidRDefault="000C2E9F" w:rsidP="000C2E9F">
      <w:pPr>
        <w:spacing w:after="0"/>
        <w:ind w:firstLine="360"/>
        <w:jc w:val="center"/>
      </w:pPr>
      <w:r>
        <w:pict>
          <v:shape id="_x0000_i1063" type="#_x0000_t75" style="width:236.25pt;height:267.75pt">
            <v:imagedata r:id="rId12" o:title="3"/>
          </v:shape>
        </w:pict>
      </w:r>
    </w:p>
    <w:p w:rsidR="000C2E9F" w:rsidRDefault="000C2E9F" w:rsidP="000C2E9F">
      <w:pPr>
        <w:spacing w:after="0"/>
        <w:ind w:firstLine="360"/>
        <w:jc w:val="center"/>
      </w:pPr>
    </w:p>
    <w:p w:rsidR="000C2E9F" w:rsidRDefault="000C2E9F" w:rsidP="000C2E9F">
      <w:pPr>
        <w:spacing w:after="0"/>
        <w:ind w:firstLine="360"/>
        <w:jc w:val="center"/>
      </w:pPr>
    </w:p>
    <w:p w:rsidR="00CE32D7" w:rsidRDefault="00CE32D7" w:rsidP="000C2E9F">
      <w:pPr>
        <w:spacing w:after="0"/>
        <w:ind w:firstLine="360"/>
        <w:jc w:val="center"/>
      </w:pPr>
    </w:p>
    <w:p w:rsidR="00D55011" w:rsidRDefault="001F6BD9" w:rsidP="000C2E9F">
      <w:pPr>
        <w:spacing w:after="0"/>
        <w:jc w:val="both"/>
      </w:pPr>
      <w:r>
        <w:t>Após seguir estes passos, a seguinte tela é apresentada:</w:t>
      </w: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CE32D7" w:rsidP="000C2E9F">
      <w:pPr>
        <w:pStyle w:val="Ttulo1"/>
        <w:spacing w:before="0"/>
        <w:jc w:val="center"/>
      </w:pPr>
      <w:r>
        <w:rPr>
          <w:noProof/>
          <w:lang w:eastAsia="pt-BR"/>
        </w:rPr>
        <w:drawing>
          <wp:inline distT="0" distB="0" distL="0" distR="0">
            <wp:extent cx="5400040" cy="2504780"/>
            <wp:effectExtent l="0" t="0" r="0" b="0"/>
            <wp:docPr id="23" name="Imagem 23" descr="C:\Users\loure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C:\Users\loure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11" w:rsidRDefault="00D55011" w:rsidP="000C2E9F">
      <w:pPr>
        <w:spacing w:after="0"/>
      </w:pPr>
    </w:p>
    <w:p w:rsidR="000C2E9F" w:rsidRDefault="00CE32D7" w:rsidP="000C2E9F">
      <w:pPr>
        <w:spacing w:after="0"/>
        <w:ind w:firstLine="360"/>
        <w:jc w:val="both"/>
        <w:rPr>
          <w:rFonts w:asciiTheme="majorHAnsi" w:hAnsiTheme="majorHAnsi"/>
        </w:rPr>
      </w:pPr>
      <w:r w:rsidRPr="008D265E">
        <w:rPr>
          <w:rFonts w:asciiTheme="majorHAnsi" w:hAnsiTheme="majorHAnsi"/>
        </w:rPr>
        <w:t xml:space="preserve">Nesta tela, o usuário deverá verificar o status do </w:t>
      </w:r>
      <w:r w:rsidRPr="008D265E">
        <w:rPr>
          <w:rFonts w:asciiTheme="majorHAnsi" w:hAnsiTheme="majorHAnsi"/>
          <w:b/>
        </w:rPr>
        <w:t>Add-on de Transferência de LCM</w:t>
      </w:r>
      <w:r w:rsidRPr="008D265E">
        <w:rPr>
          <w:rFonts w:asciiTheme="majorHAnsi" w:hAnsiTheme="majorHAnsi"/>
        </w:rPr>
        <w:t xml:space="preserve">. Caso o mesmo esteja “Parado”, deve-se selecionar a linha e clicar no botão </w:t>
      </w:r>
      <w:r w:rsidRPr="008D265E">
        <w:rPr>
          <w:rFonts w:asciiTheme="majorHAnsi" w:hAnsiTheme="majorHAnsi"/>
          <w:b/>
        </w:rPr>
        <w:t xml:space="preserve">Início </w:t>
      </w:r>
      <w:r w:rsidRPr="008D265E">
        <w:rPr>
          <w:rFonts w:asciiTheme="majorHAnsi" w:hAnsiTheme="majorHAnsi"/>
          <w:b/>
          <w:color w:val="FF0000"/>
        </w:rPr>
        <w:t>(1)</w:t>
      </w:r>
      <w:r w:rsidRPr="008D265E">
        <w:rPr>
          <w:rFonts w:asciiTheme="majorHAnsi" w:hAnsiTheme="majorHAnsi"/>
        </w:rPr>
        <w:t xml:space="preserve">. Após este processo, o Status deverá mudar para “Executando”, o que indica que o </w:t>
      </w:r>
      <w:r w:rsidRPr="008D265E">
        <w:rPr>
          <w:rFonts w:asciiTheme="majorHAnsi" w:hAnsiTheme="majorHAnsi"/>
          <w:b/>
        </w:rPr>
        <w:t>Add-on de Transferência de LCM</w:t>
      </w:r>
      <w:r w:rsidRPr="008D265E">
        <w:rPr>
          <w:rFonts w:asciiTheme="majorHAnsi" w:hAnsiTheme="majorHAnsi"/>
        </w:rPr>
        <w:t xml:space="preserve"> está funcionando corretamente. </w:t>
      </w:r>
    </w:p>
    <w:p w:rsidR="000C2E9F" w:rsidRDefault="000C2E9F" w:rsidP="000C2E9F">
      <w:pPr>
        <w:spacing w:after="0"/>
        <w:ind w:firstLine="360"/>
        <w:jc w:val="both"/>
        <w:rPr>
          <w:rFonts w:asciiTheme="majorHAnsi" w:hAnsiTheme="majorHAnsi"/>
        </w:rPr>
      </w:pPr>
    </w:p>
    <w:p w:rsidR="000C2E9F" w:rsidRDefault="000C2E9F" w:rsidP="000C2E9F">
      <w:pPr>
        <w:spacing w:after="0"/>
        <w:ind w:firstLine="360"/>
        <w:jc w:val="both"/>
        <w:rPr>
          <w:rFonts w:asciiTheme="majorHAnsi" w:hAnsiTheme="majorHAnsi"/>
        </w:rPr>
      </w:pPr>
    </w:p>
    <w:p w:rsidR="008D265E" w:rsidRDefault="008D265E" w:rsidP="000C2E9F">
      <w:pPr>
        <w:pStyle w:val="Ttulo1"/>
        <w:numPr>
          <w:ilvl w:val="0"/>
          <w:numId w:val="11"/>
        </w:numPr>
        <w:spacing w:before="0"/>
      </w:pPr>
      <w:bookmarkStart w:id="4" w:name="_Toc467748633"/>
      <w:r>
        <w:t>Acessando a tela de Lançamento Contábil Manual</w:t>
      </w:r>
      <w:bookmarkEnd w:id="4"/>
    </w:p>
    <w:p w:rsidR="008D265E" w:rsidRDefault="008D265E" w:rsidP="000C2E9F">
      <w:pPr>
        <w:spacing w:after="0"/>
        <w:ind w:firstLine="360"/>
        <w:jc w:val="both"/>
        <w:rPr>
          <w:rFonts w:asciiTheme="majorHAnsi" w:hAnsiTheme="majorHAnsi"/>
        </w:rPr>
      </w:pPr>
    </w:p>
    <w:p w:rsidR="000C2E9F" w:rsidRDefault="008D265E" w:rsidP="000C2E9F">
      <w:pPr>
        <w:spacing w:after="0"/>
        <w:ind w:firstLine="36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</w:rPr>
        <w:t>Após a inicialização dos Add-ons</w:t>
      </w:r>
      <w:r w:rsidR="00CE32D7" w:rsidRPr="008D265E">
        <w:rPr>
          <w:rFonts w:asciiTheme="majorHAnsi" w:hAnsiTheme="majorHAnsi"/>
        </w:rPr>
        <w:t xml:space="preserve">, o usuário deverá acessar a tela de </w:t>
      </w:r>
      <w:r w:rsidR="00CE32D7" w:rsidRPr="008D265E">
        <w:rPr>
          <w:rFonts w:asciiTheme="majorHAnsi" w:hAnsiTheme="majorHAnsi"/>
          <w:b/>
        </w:rPr>
        <w:t>Lançamento Contábil Manual</w:t>
      </w:r>
      <w:r>
        <w:rPr>
          <w:rFonts w:asciiTheme="majorHAnsi" w:hAnsiTheme="majorHAnsi"/>
        </w:rPr>
        <w:t>. Esta</w:t>
      </w:r>
      <w:r w:rsidR="00CE32D7" w:rsidRPr="008D265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pode ser acessada </w:t>
      </w:r>
      <w:r w:rsidR="00CE32D7" w:rsidRPr="008D265E">
        <w:rPr>
          <w:rFonts w:asciiTheme="majorHAnsi" w:hAnsiTheme="majorHAnsi"/>
        </w:rPr>
        <w:t>clicando em</w:t>
      </w:r>
      <w:r w:rsidR="00CE32D7" w:rsidRPr="008D265E">
        <w:rPr>
          <w:rFonts w:asciiTheme="majorHAnsi" w:hAnsiTheme="majorHAnsi"/>
          <w:b/>
        </w:rPr>
        <w:t xml:space="preserve"> Finanças </w:t>
      </w:r>
      <w:r w:rsidR="00CE32D7" w:rsidRPr="008D265E">
        <w:rPr>
          <w:rFonts w:asciiTheme="majorHAnsi" w:hAnsiTheme="majorHAnsi"/>
          <w:b/>
          <w:color w:val="FF0000"/>
        </w:rPr>
        <w:t>(1)</w:t>
      </w:r>
      <w:r w:rsidR="00CE32D7" w:rsidRPr="008D265E">
        <w:rPr>
          <w:rFonts w:asciiTheme="majorHAnsi" w:hAnsiTheme="majorHAnsi"/>
        </w:rPr>
        <w:t xml:space="preserve"> &gt; </w:t>
      </w:r>
      <w:r w:rsidR="00CE32D7" w:rsidRPr="008D265E">
        <w:rPr>
          <w:rFonts w:asciiTheme="majorHAnsi" w:hAnsiTheme="majorHAnsi"/>
          <w:b/>
        </w:rPr>
        <w:t xml:space="preserve">Lançamento contábil manual </w:t>
      </w:r>
      <w:r w:rsidR="00CE32D7" w:rsidRPr="008D265E">
        <w:rPr>
          <w:rFonts w:asciiTheme="majorHAnsi" w:hAnsiTheme="majorHAnsi"/>
          <w:b/>
          <w:color w:val="FF0000"/>
        </w:rPr>
        <w:t>(2)</w:t>
      </w:r>
      <w:r w:rsidR="00CE32D7" w:rsidRPr="008D265E">
        <w:rPr>
          <w:rFonts w:asciiTheme="majorHAnsi" w:hAnsiTheme="majorHAnsi"/>
          <w:color w:val="000000" w:themeColor="text1"/>
        </w:rPr>
        <w:t>.</w:t>
      </w:r>
    </w:p>
    <w:p w:rsidR="000C2E9F" w:rsidRDefault="000C2E9F" w:rsidP="000C2E9F">
      <w:pPr>
        <w:spacing w:after="0"/>
        <w:ind w:firstLine="360"/>
        <w:jc w:val="center"/>
        <w:rPr>
          <w:rFonts w:asciiTheme="majorHAnsi" w:hAnsiTheme="majorHAnsi"/>
          <w:color w:val="000000" w:themeColor="text1"/>
        </w:rPr>
      </w:pPr>
    </w:p>
    <w:p w:rsidR="000C2E9F" w:rsidRDefault="000C2E9F" w:rsidP="000C2E9F">
      <w:pPr>
        <w:spacing w:after="0"/>
        <w:ind w:firstLine="360"/>
        <w:jc w:val="center"/>
        <w:rPr>
          <w:rFonts w:asciiTheme="majorHAnsi" w:hAnsiTheme="majorHAnsi"/>
          <w:color w:val="000000" w:themeColor="text1"/>
        </w:rPr>
      </w:pPr>
    </w:p>
    <w:p w:rsidR="00CE32D7" w:rsidRDefault="00CE32D7" w:rsidP="000C2E9F">
      <w:pPr>
        <w:spacing w:after="0"/>
        <w:ind w:firstLine="360"/>
        <w:jc w:val="center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>
            <wp:extent cx="3000375" cy="3590925"/>
            <wp:effectExtent l="0" t="0" r="9525" b="9525"/>
            <wp:docPr id="24" name="Imagem 24" descr="C:\Users\loure\AppData\Local\Microsoft\Windows\INetCache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C:\Users\loure\AppData\Local\Microsoft\Windows\INetCacheContent.Word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2D7" w:rsidRDefault="00CE32D7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207396" w:rsidRDefault="00207396" w:rsidP="000C2E9F">
      <w:pPr>
        <w:pStyle w:val="Ttulo1"/>
        <w:numPr>
          <w:ilvl w:val="0"/>
          <w:numId w:val="11"/>
        </w:numPr>
        <w:spacing w:before="0"/>
      </w:pPr>
      <w:bookmarkStart w:id="5" w:name="_Toc467748634"/>
      <w:r>
        <w:t>Realizando um Lançamento Contábil Manual</w:t>
      </w:r>
      <w:bookmarkEnd w:id="5"/>
    </w:p>
    <w:p w:rsidR="008D265E" w:rsidRDefault="008D265E" w:rsidP="000C2E9F">
      <w:pPr>
        <w:spacing w:after="0"/>
        <w:jc w:val="center"/>
      </w:pPr>
    </w:p>
    <w:p w:rsidR="00207396" w:rsidRDefault="00207396" w:rsidP="000C2E9F">
      <w:pPr>
        <w:spacing w:after="0"/>
        <w:ind w:firstLine="360"/>
        <w:jc w:val="both"/>
      </w:pPr>
      <w:r>
        <w:t>A tela apresentada a seguir é onde o usuário fará os lançamentos contábeis manuais e poderá replicar o mesmo para outra empresa.</w:t>
      </w:r>
    </w:p>
    <w:p w:rsidR="00207396" w:rsidRDefault="00207396" w:rsidP="000C2E9F">
      <w:pPr>
        <w:spacing w:after="0"/>
      </w:pPr>
    </w:p>
    <w:p w:rsidR="00D55011" w:rsidRDefault="00207396" w:rsidP="000C2E9F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1150" cy="2990850"/>
            <wp:effectExtent l="0" t="0" r="0" b="0"/>
            <wp:docPr id="1" name="Imagem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11" w:rsidRDefault="00D55011" w:rsidP="000C2E9F">
      <w:pPr>
        <w:spacing w:after="0"/>
      </w:pPr>
    </w:p>
    <w:p w:rsidR="00D55011" w:rsidRDefault="00207396" w:rsidP="000C2E9F">
      <w:pPr>
        <w:spacing w:after="0"/>
        <w:ind w:firstLine="708"/>
        <w:jc w:val="both"/>
      </w:pPr>
      <w:r>
        <w:t xml:space="preserve">Após preencher o cabeçalho da página, o usuário deverá informa no campo </w:t>
      </w:r>
      <w:r w:rsidRPr="00A706B0">
        <w:rPr>
          <w:b/>
        </w:rPr>
        <w:t xml:space="preserve">Filial </w:t>
      </w:r>
      <w:r w:rsidRPr="00A706B0">
        <w:rPr>
          <w:b/>
          <w:color w:val="FF0000"/>
        </w:rPr>
        <w:t>(1)</w:t>
      </w:r>
      <w:r>
        <w:t xml:space="preserve">, a filial aonde está sendo realizado o lançamento e, no campo </w:t>
      </w:r>
      <w:r w:rsidRPr="00A706B0">
        <w:rPr>
          <w:b/>
        </w:rPr>
        <w:t xml:space="preserve">Empresa destino </w:t>
      </w:r>
      <w:r w:rsidRPr="00A706B0">
        <w:rPr>
          <w:b/>
          <w:color w:val="FF0000"/>
        </w:rPr>
        <w:t>(2)</w:t>
      </w:r>
      <w:r>
        <w:t xml:space="preserve">, o usuário deve informar para qual empresa deseja </w:t>
      </w:r>
      <w:r w:rsidR="00A706B0">
        <w:t xml:space="preserve">replicar este lançamento. </w:t>
      </w: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207396" w:rsidP="000C2E9F">
      <w:pPr>
        <w:spacing w:after="0"/>
        <w:jc w:val="center"/>
      </w:pPr>
      <w:r>
        <w:pict>
          <v:shape id="_x0000_i1030" type="#_x0000_t75" style="width:425.25pt;height:235.5pt">
            <v:imagedata r:id="rId16" o:title="7"/>
          </v:shape>
        </w:pict>
      </w:r>
    </w:p>
    <w:p w:rsidR="00D55011" w:rsidRDefault="00D55011" w:rsidP="000C2E9F">
      <w:pPr>
        <w:spacing w:after="0"/>
      </w:pPr>
    </w:p>
    <w:p w:rsidR="00D55011" w:rsidRDefault="00A706B0" w:rsidP="000C2E9F">
      <w:pPr>
        <w:spacing w:after="0"/>
        <w:ind w:firstLine="708"/>
        <w:jc w:val="both"/>
      </w:pPr>
      <w:r>
        <w:t xml:space="preserve">Após os passos acima, o usuário deverá informar as contas e valores do lançamento, assim como representado nos campos marcados embaixo </w:t>
      </w:r>
      <w:r w:rsidRPr="00A706B0">
        <w:rPr>
          <w:b/>
          <w:color w:val="FF0000"/>
        </w:rPr>
        <w:t>(1)</w:t>
      </w:r>
      <w:r>
        <w:t xml:space="preserve"> e </w:t>
      </w:r>
      <w:r w:rsidRPr="00A706B0">
        <w:rPr>
          <w:b/>
          <w:color w:val="FF0000"/>
        </w:rPr>
        <w:t>(2)</w:t>
      </w:r>
      <w:r>
        <w:t>. Nota-se que a soma dos valores de débito.</w:t>
      </w:r>
    </w:p>
    <w:p w:rsidR="000C2E9F" w:rsidRDefault="000C2E9F" w:rsidP="000C2E9F">
      <w:pPr>
        <w:spacing w:after="0"/>
        <w:ind w:firstLine="708"/>
        <w:jc w:val="both"/>
      </w:pPr>
    </w:p>
    <w:p w:rsidR="000C2E9F" w:rsidRDefault="000C2E9F" w:rsidP="000C2E9F">
      <w:pPr>
        <w:spacing w:after="0"/>
        <w:ind w:firstLine="708"/>
        <w:jc w:val="both"/>
      </w:pPr>
    </w:p>
    <w:p w:rsidR="000C2E9F" w:rsidRPr="00A706B0" w:rsidRDefault="000C2E9F" w:rsidP="000C2E9F">
      <w:pPr>
        <w:spacing w:after="0"/>
        <w:ind w:firstLine="708"/>
        <w:jc w:val="both"/>
      </w:pPr>
    </w:p>
    <w:p w:rsidR="00A706B0" w:rsidRPr="00A706B0" w:rsidRDefault="00A706B0" w:rsidP="000C2E9F">
      <w:pPr>
        <w:spacing w:after="0"/>
      </w:pPr>
    </w:p>
    <w:p w:rsidR="00D55011" w:rsidRDefault="00207396" w:rsidP="000C2E9F">
      <w:pPr>
        <w:spacing w:after="0"/>
        <w:jc w:val="center"/>
      </w:pPr>
      <w:r>
        <w:pict>
          <v:shape id="_x0000_i1031" type="#_x0000_t75" style="width:425.25pt;height:235.5pt">
            <v:imagedata r:id="rId17" o:title="8"/>
          </v:shape>
        </w:pict>
      </w:r>
    </w:p>
    <w:p w:rsidR="00D55011" w:rsidRDefault="00D55011" w:rsidP="000C2E9F">
      <w:pPr>
        <w:spacing w:after="0"/>
      </w:pPr>
    </w:p>
    <w:p w:rsidR="00D55011" w:rsidRDefault="00AC0029" w:rsidP="000C2E9F">
      <w:pPr>
        <w:spacing w:after="0"/>
        <w:ind w:firstLine="708"/>
        <w:jc w:val="both"/>
      </w:pPr>
      <w:r>
        <w:t xml:space="preserve">A tela apresentada abaixo representa a mesma anterior, apenas com a barra de rolagem movida para a direita, onde </w:t>
      </w:r>
      <w:r w:rsidR="00E54DA5">
        <w:t xml:space="preserve">existe a coluna </w:t>
      </w:r>
      <w:r w:rsidR="00E54DA5">
        <w:rPr>
          <w:b/>
        </w:rPr>
        <w:t xml:space="preserve">Conta Destino </w:t>
      </w:r>
      <w:r w:rsidR="00E54DA5">
        <w:rPr>
          <w:b/>
          <w:color w:val="FF0000"/>
        </w:rPr>
        <w:t>(1)</w:t>
      </w:r>
      <w:r w:rsidR="00E54DA5" w:rsidRPr="00E54DA5">
        <w:t>,</w:t>
      </w:r>
      <w:r w:rsidR="00E54DA5">
        <w:rPr>
          <w:color w:val="FF0000"/>
        </w:rPr>
        <w:t xml:space="preserve"> </w:t>
      </w:r>
      <w:r w:rsidR="00E54DA5" w:rsidRPr="00E54DA5">
        <w:rPr>
          <w:b/>
          <w:color w:val="FF0000"/>
        </w:rPr>
        <w:t>(2)</w:t>
      </w:r>
      <w:r w:rsidR="00E54DA5">
        <w:t>.</w:t>
      </w:r>
      <w:r w:rsidR="00812582">
        <w:t xml:space="preserve"> Nela devem ser informadas as contas onde ocorreram as movimentas de débito e crédito, respectivamente neste caso. Após isso, o usuário deverá clicar no botão </w:t>
      </w:r>
      <w:r w:rsidR="00812582">
        <w:rPr>
          <w:b/>
        </w:rPr>
        <w:t xml:space="preserve">Ok </w:t>
      </w:r>
      <w:r w:rsidR="00812582">
        <w:rPr>
          <w:b/>
          <w:color w:val="FF0000"/>
        </w:rPr>
        <w:t>(3</w:t>
      </w:r>
      <w:r w:rsidR="00812582" w:rsidRPr="00812582">
        <w:rPr>
          <w:b/>
          <w:color w:val="FF0000"/>
        </w:rPr>
        <w:t>)</w:t>
      </w:r>
      <w:r w:rsidR="00812582">
        <w:t>.</w:t>
      </w:r>
    </w:p>
    <w:p w:rsidR="000C2E9F" w:rsidRDefault="000C2E9F" w:rsidP="000C2E9F">
      <w:pPr>
        <w:spacing w:after="0"/>
        <w:ind w:firstLine="708"/>
        <w:jc w:val="both"/>
      </w:pPr>
    </w:p>
    <w:p w:rsidR="000C2E9F" w:rsidRPr="00812582" w:rsidRDefault="000C2E9F" w:rsidP="000C2E9F">
      <w:pPr>
        <w:spacing w:after="0"/>
        <w:ind w:firstLine="708"/>
        <w:jc w:val="both"/>
      </w:pPr>
    </w:p>
    <w:p w:rsidR="00D55011" w:rsidRDefault="00207396" w:rsidP="000C2E9F">
      <w:pPr>
        <w:spacing w:after="0"/>
      </w:pPr>
      <w:r>
        <w:pict>
          <v:shape id="_x0000_i1032" type="#_x0000_t75" style="width:425.25pt;height:235.5pt">
            <v:imagedata r:id="rId18" o:title="9"/>
          </v:shape>
        </w:pict>
      </w:r>
    </w:p>
    <w:p w:rsidR="00D55011" w:rsidRDefault="00D55011" w:rsidP="000C2E9F">
      <w:pPr>
        <w:spacing w:after="0"/>
      </w:pPr>
    </w:p>
    <w:p w:rsidR="00812582" w:rsidRDefault="00812582" w:rsidP="000C2E9F">
      <w:pPr>
        <w:spacing w:after="0"/>
        <w:ind w:firstLine="360"/>
        <w:jc w:val="both"/>
      </w:pPr>
      <w:r>
        <w:t>Após este processo, o lançamento contábil manual será gravado e estará disponível para a replicação.</w:t>
      </w: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D55011" w:rsidRDefault="00D55011" w:rsidP="000C2E9F">
      <w:pPr>
        <w:pStyle w:val="Ttulo1"/>
        <w:numPr>
          <w:ilvl w:val="0"/>
          <w:numId w:val="11"/>
        </w:numPr>
        <w:spacing w:before="0"/>
      </w:pPr>
      <w:bookmarkStart w:id="6" w:name="_Toc467748635"/>
      <w:r>
        <w:t>Replicando o Lançamento Contábil Manual</w:t>
      </w:r>
      <w:bookmarkEnd w:id="6"/>
    </w:p>
    <w:p w:rsidR="00764356" w:rsidRDefault="00764356" w:rsidP="000C2E9F">
      <w:pPr>
        <w:spacing w:after="0"/>
      </w:pPr>
    </w:p>
    <w:p w:rsidR="003753D6" w:rsidRDefault="003753D6" w:rsidP="000C2E9F">
      <w:pPr>
        <w:spacing w:after="0"/>
        <w:ind w:firstLine="360"/>
        <w:jc w:val="both"/>
      </w:pPr>
      <w:r>
        <w:t xml:space="preserve">Após realizar o lançamento, o usuário deverá acessar novamente a tela de lançamento contábil manual e clicar no botão  </w:t>
      </w:r>
      <w:r>
        <w:rPr>
          <w:noProof/>
          <w:lang w:eastAsia="pt-BR"/>
        </w:rPr>
        <w:drawing>
          <wp:inline distT="0" distB="0" distL="0" distR="0">
            <wp:extent cx="165100" cy="1905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12" cy="19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3D6">
        <w:rPr>
          <w:b/>
          <w:color w:val="FF0000"/>
        </w:rPr>
        <w:t>(1)</w:t>
      </w:r>
      <w:r>
        <w:t xml:space="preserve">, localizado no menu superior para acessar o último lançamento. É indicado que o usuário confirme se é o LCM realizado no passo 3 deste manual. Caso seja, o usuário deve clicar no botão </w:t>
      </w:r>
      <w:r>
        <w:rPr>
          <w:b/>
        </w:rPr>
        <w:t xml:space="preserve">Replicar </w:t>
      </w:r>
      <w:r w:rsidRPr="003753D6">
        <w:rPr>
          <w:b/>
          <w:color w:val="FF0000"/>
        </w:rPr>
        <w:t>(2)</w:t>
      </w:r>
      <w:r>
        <w:t>, para que seja criado um LCM equivalente</w:t>
      </w:r>
      <w:r w:rsidR="00D8053E">
        <w:t xml:space="preserve"> na filial indicada previamente no campo “Empresa destino”.</w:t>
      </w:r>
    </w:p>
    <w:p w:rsidR="000C2E9F" w:rsidRDefault="000C2E9F" w:rsidP="000C2E9F">
      <w:pPr>
        <w:spacing w:after="0"/>
        <w:ind w:firstLine="360"/>
        <w:jc w:val="both"/>
      </w:pPr>
    </w:p>
    <w:p w:rsidR="000C2E9F" w:rsidRPr="003753D6" w:rsidRDefault="000C2E9F" w:rsidP="000C2E9F">
      <w:pPr>
        <w:spacing w:after="0"/>
        <w:ind w:firstLine="360"/>
        <w:jc w:val="both"/>
      </w:pPr>
    </w:p>
    <w:p w:rsidR="00D55011" w:rsidRDefault="00207396" w:rsidP="000C2E9F">
      <w:pPr>
        <w:spacing w:after="0"/>
        <w:jc w:val="center"/>
      </w:pPr>
      <w:r>
        <w:pict>
          <v:shape id="_x0000_i1033" type="#_x0000_t75" style="width:424.5pt;height:269.25pt">
            <v:imagedata r:id="rId20" o:title="10"/>
          </v:shape>
        </w:pict>
      </w:r>
    </w:p>
    <w:p w:rsidR="00D55011" w:rsidRDefault="00D55011" w:rsidP="000C2E9F">
      <w:pPr>
        <w:spacing w:after="0"/>
      </w:pPr>
    </w:p>
    <w:p w:rsidR="00D55011" w:rsidRDefault="00D8053E" w:rsidP="000C2E9F">
      <w:pPr>
        <w:spacing w:after="0"/>
        <w:ind w:firstLine="708"/>
        <w:jc w:val="both"/>
      </w:pPr>
      <w:r>
        <w:t>O processo de replicação será iniciado e a mensagem de confirmação do processo deverá ser exibida como na imagem abaixo:</w:t>
      </w:r>
    </w:p>
    <w:p w:rsidR="000C2E9F" w:rsidRDefault="000C2E9F" w:rsidP="000C2E9F">
      <w:pPr>
        <w:spacing w:after="0"/>
        <w:ind w:firstLine="708"/>
        <w:jc w:val="both"/>
      </w:pPr>
    </w:p>
    <w:p w:rsidR="000C2E9F" w:rsidRDefault="000C2E9F" w:rsidP="000C2E9F">
      <w:pPr>
        <w:spacing w:after="0"/>
        <w:ind w:firstLine="708"/>
        <w:jc w:val="both"/>
      </w:pPr>
    </w:p>
    <w:p w:rsidR="00D55011" w:rsidRDefault="00207396" w:rsidP="000C2E9F">
      <w:pPr>
        <w:spacing w:after="0"/>
      </w:pPr>
      <w:r>
        <w:pict>
          <v:shape id="_x0000_i1034" type="#_x0000_t75" style="width:425.25pt;height:166.5pt">
            <v:imagedata r:id="rId21" o:title="11"/>
          </v:shape>
        </w:pict>
      </w: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Pr="00267BF7" w:rsidRDefault="00C71AE5" w:rsidP="00267BF7">
      <w:pPr>
        <w:pStyle w:val="Ttulo1"/>
        <w:rPr>
          <w:rFonts w:asciiTheme="minorHAnsi" w:hAnsiTheme="minorHAnsi" w:cstheme="minorHAnsi"/>
          <w:b/>
        </w:rPr>
      </w:pPr>
      <w:r w:rsidRPr="00267BF7">
        <w:rPr>
          <w:rFonts w:asciiTheme="minorHAnsi" w:hAnsiTheme="minorHAnsi" w:cstheme="minorHAnsi"/>
          <w:b/>
        </w:rPr>
        <w:t>SUPORTE</w:t>
      </w:r>
      <w:bookmarkStart w:id="7" w:name="_GoBack"/>
      <w:bookmarkEnd w:id="7"/>
    </w:p>
    <w:p w:rsidR="00C71AE5" w:rsidRDefault="00C71AE5" w:rsidP="00267BF7"/>
    <w:p w:rsidR="00267BF7" w:rsidRPr="00EC6382" w:rsidRDefault="00267BF7" w:rsidP="00267BF7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4820"/>
        <w:gridCol w:w="3969"/>
      </w:tblGrid>
      <w:tr w:rsidR="00267BF7" w:rsidRPr="00EC6382" w:rsidTr="00507396">
        <w:trPr>
          <w:trHeight w:val="377"/>
        </w:trPr>
        <w:tc>
          <w:tcPr>
            <w:tcW w:w="1034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Contato</w:t>
            </w:r>
          </w:p>
        </w:tc>
      </w:tr>
      <w:tr w:rsidR="00267BF7" w:rsidRPr="00EC6382" w:rsidTr="003966FD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Nome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E-mail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Conhecimento</w:t>
            </w:r>
          </w:p>
        </w:tc>
      </w:tr>
      <w:tr w:rsidR="00267BF7" w:rsidRPr="00EC6382" w:rsidTr="003966FD">
        <w:trPr>
          <w:trHeight w:val="291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Giuliano Costa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000E6D" w:rsidRDefault="00267BF7" w:rsidP="003966FD">
            <w:pPr>
              <w:spacing w:after="0"/>
              <w:jc w:val="center"/>
              <w:rPr>
                <w:rFonts w:ascii="Open Sans" w:hAnsi="Open Sans"/>
              </w:rPr>
            </w:pPr>
            <w:hyperlink r:id="rId22" w:history="1">
              <w:r w:rsidRPr="00890334">
                <w:rPr>
                  <w:rStyle w:val="Hyperlink"/>
                  <w:rFonts w:ascii="Open Sans" w:hAnsi="Open Sans"/>
                </w:rPr>
                <w:t>giuliano.costa@cvaconsultoria.com.br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Técnico</w:t>
            </w:r>
          </w:p>
        </w:tc>
      </w:tr>
      <w:tr w:rsidR="003966FD" w:rsidRPr="00EC6382" w:rsidTr="003966FD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Luis Neves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spacing w:after="0"/>
              <w:jc w:val="center"/>
              <w:rPr>
                <w:rFonts w:ascii="Open Sans" w:hAnsi="Open Sans"/>
              </w:rPr>
            </w:pPr>
            <w:hyperlink r:id="rId23" w:history="1">
              <w:r w:rsidRPr="00890334">
                <w:rPr>
                  <w:rStyle w:val="Hyperlink"/>
                  <w:rFonts w:ascii="Open Sans" w:hAnsi="Open Sans"/>
                </w:rPr>
                <w:t>luis.neves@cvaconsultoria.com.br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Negócio</w:t>
            </w:r>
          </w:p>
        </w:tc>
      </w:tr>
      <w:tr w:rsidR="003966FD" w:rsidRPr="00EC6382" w:rsidTr="003966FD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Elder </w:t>
            </w:r>
            <w:proofErr w:type="spellStart"/>
            <w:r>
              <w:rPr>
                <w:rFonts w:asciiTheme="minorHAnsi" w:hAnsiTheme="minorHAnsi"/>
                <w:sz w:val="22"/>
              </w:rPr>
              <w:t>Hara</w:t>
            </w:r>
            <w:proofErr w:type="spellEnd"/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spacing w:after="0"/>
              <w:jc w:val="center"/>
            </w:pPr>
            <w:hyperlink r:id="rId24" w:history="1">
              <w:r w:rsidRPr="00890334">
                <w:rPr>
                  <w:rStyle w:val="Hyperlink"/>
                  <w:rFonts w:ascii="Open Sans" w:hAnsi="Open Sans"/>
                </w:rPr>
                <w:t>elder.hara@cvaconsultoria.com.br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Utilização</w:t>
            </w:r>
          </w:p>
        </w:tc>
      </w:tr>
    </w:tbl>
    <w:p w:rsidR="00267BF7" w:rsidRPr="00EC6382" w:rsidRDefault="00267BF7" w:rsidP="00267BF7">
      <w:pPr>
        <w:pStyle w:val="Standard"/>
        <w:rPr>
          <w:rFonts w:asciiTheme="minorHAnsi" w:hAnsiTheme="minorHAnsi"/>
          <w:sz w:val="22"/>
        </w:rPr>
      </w:pPr>
    </w:p>
    <w:p w:rsidR="00C71AE5" w:rsidRPr="00EC6382" w:rsidRDefault="00C71AE5" w:rsidP="00267BF7">
      <w:pPr>
        <w:spacing w:after="0"/>
      </w:pPr>
    </w:p>
    <w:sectPr w:rsidR="00C71AE5" w:rsidRPr="00EC6382" w:rsidSect="00DA4D4F">
      <w:footerReference w:type="default" r:id="rId25"/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F9C" w:rsidRDefault="00557F9C" w:rsidP="008D33D6">
      <w:pPr>
        <w:spacing w:after="0" w:line="240" w:lineRule="auto"/>
      </w:pPr>
      <w:r>
        <w:separator/>
      </w:r>
    </w:p>
  </w:endnote>
  <w:endnote w:type="continuationSeparator" w:id="0">
    <w:p w:rsidR="00557F9C" w:rsidRDefault="00557F9C" w:rsidP="008D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panose1 w:val="020B0606030504020204"/>
    <w:charset w:val="00"/>
    <w:family w:val="auto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263085"/>
      <w:docPartObj>
        <w:docPartGallery w:val="Page Numbers (Bottom of Page)"/>
        <w:docPartUnique/>
      </w:docPartObj>
    </w:sdtPr>
    <w:sdtEndPr/>
    <w:sdtContent>
      <w:p w:rsidR="008D265E" w:rsidRDefault="008D26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6FD">
          <w:rPr>
            <w:noProof/>
          </w:rPr>
          <w:t>10</w:t>
        </w:r>
        <w:r>
          <w:fldChar w:fldCharType="end"/>
        </w:r>
      </w:p>
    </w:sdtContent>
  </w:sdt>
  <w:p w:rsidR="008D265E" w:rsidRDefault="008D26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F9C" w:rsidRDefault="00557F9C" w:rsidP="008D33D6">
      <w:pPr>
        <w:spacing w:after="0" w:line="240" w:lineRule="auto"/>
      </w:pPr>
      <w:r>
        <w:separator/>
      </w:r>
    </w:p>
  </w:footnote>
  <w:footnote w:type="continuationSeparator" w:id="0">
    <w:p w:rsidR="00557F9C" w:rsidRDefault="00557F9C" w:rsidP="008D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B9F"/>
    <w:multiLevelType w:val="multilevel"/>
    <w:tmpl w:val="8124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FFD675A"/>
    <w:multiLevelType w:val="multilevel"/>
    <w:tmpl w:val="6BCE3DC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20341996"/>
    <w:multiLevelType w:val="hybridMultilevel"/>
    <w:tmpl w:val="64CA0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2392"/>
    <w:multiLevelType w:val="hybridMultilevel"/>
    <w:tmpl w:val="AFAA8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FB2"/>
    <w:multiLevelType w:val="hybridMultilevel"/>
    <w:tmpl w:val="6052A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35069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D7686"/>
    <w:multiLevelType w:val="hybridMultilevel"/>
    <w:tmpl w:val="0D663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F204F"/>
    <w:multiLevelType w:val="hybridMultilevel"/>
    <w:tmpl w:val="607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D0BED"/>
    <w:multiLevelType w:val="hybridMultilevel"/>
    <w:tmpl w:val="92766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C0E26"/>
    <w:multiLevelType w:val="multilevel"/>
    <w:tmpl w:val="E9BE9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F250E51"/>
    <w:multiLevelType w:val="multilevel"/>
    <w:tmpl w:val="D4A0996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3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4F"/>
    <w:rsid w:val="00041AAD"/>
    <w:rsid w:val="00044E27"/>
    <w:rsid w:val="00080AA9"/>
    <w:rsid w:val="00090B25"/>
    <w:rsid w:val="000C2E9F"/>
    <w:rsid w:val="000C72F7"/>
    <w:rsid w:val="00116E8D"/>
    <w:rsid w:val="00145CFF"/>
    <w:rsid w:val="001C335F"/>
    <w:rsid w:val="001F6BD9"/>
    <w:rsid w:val="00207396"/>
    <w:rsid w:val="00230873"/>
    <w:rsid w:val="00267BF7"/>
    <w:rsid w:val="002A4D22"/>
    <w:rsid w:val="002B2C0A"/>
    <w:rsid w:val="002B5872"/>
    <w:rsid w:val="002B7C46"/>
    <w:rsid w:val="00360290"/>
    <w:rsid w:val="003753D6"/>
    <w:rsid w:val="00394FFC"/>
    <w:rsid w:val="003966FD"/>
    <w:rsid w:val="003A4A7B"/>
    <w:rsid w:val="003A690A"/>
    <w:rsid w:val="003C6804"/>
    <w:rsid w:val="003D2261"/>
    <w:rsid w:val="003D6659"/>
    <w:rsid w:val="00410FC0"/>
    <w:rsid w:val="004D3FB8"/>
    <w:rsid w:val="00502062"/>
    <w:rsid w:val="00506B7D"/>
    <w:rsid w:val="00513584"/>
    <w:rsid w:val="00557F9C"/>
    <w:rsid w:val="005635F4"/>
    <w:rsid w:val="005A1BF1"/>
    <w:rsid w:val="005B6321"/>
    <w:rsid w:val="005C63D0"/>
    <w:rsid w:val="00603C8B"/>
    <w:rsid w:val="00684490"/>
    <w:rsid w:val="006C3EA6"/>
    <w:rsid w:val="006D4FCC"/>
    <w:rsid w:val="006D5906"/>
    <w:rsid w:val="00742901"/>
    <w:rsid w:val="00764356"/>
    <w:rsid w:val="00781A8C"/>
    <w:rsid w:val="00812582"/>
    <w:rsid w:val="00840561"/>
    <w:rsid w:val="00852B46"/>
    <w:rsid w:val="00873CC5"/>
    <w:rsid w:val="008A3CC2"/>
    <w:rsid w:val="008B758E"/>
    <w:rsid w:val="008D265E"/>
    <w:rsid w:val="008D33D6"/>
    <w:rsid w:val="00937B5E"/>
    <w:rsid w:val="009761CF"/>
    <w:rsid w:val="0098110C"/>
    <w:rsid w:val="009D421F"/>
    <w:rsid w:val="009E3F36"/>
    <w:rsid w:val="00A359F3"/>
    <w:rsid w:val="00A40A21"/>
    <w:rsid w:val="00A44995"/>
    <w:rsid w:val="00A706B0"/>
    <w:rsid w:val="00AA1594"/>
    <w:rsid w:val="00AB06F3"/>
    <w:rsid w:val="00AB3D78"/>
    <w:rsid w:val="00AC0029"/>
    <w:rsid w:val="00B32B29"/>
    <w:rsid w:val="00B9279A"/>
    <w:rsid w:val="00BA418C"/>
    <w:rsid w:val="00C169E5"/>
    <w:rsid w:val="00C54FEC"/>
    <w:rsid w:val="00C56618"/>
    <w:rsid w:val="00C6265D"/>
    <w:rsid w:val="00C71AE5"/>
    <w:rsid w:val="00CB2A93"/>
    <w:rsid w:val="00CB7F21"/>
    <w:rsid w:val="00CE32D7"/>
    <w:rsid w:val="00CF423A"/>
    <w:rsid w:val="00D55011"/>
    <w:rsid w:val="00D8053E"/>
    <w:rsid w:val="00DA4D4F"/>
    <w:rsid w:val="00DC5A45"/>
    <w:rsid w:val="00E07D20"/>
    <w:rsid w:val="00E10DA1"/>
    <w:rsid w:val="00E520F3"/>
    <w:rsid w:val="00E54DA5"/>
    <w:rsid w:val="00E65BB4"/>
    <w:rsid w:val="00EA4775"/>
    <w:rsid w:val="00EC6382"/>
    <w:rsid w:val="00EF2E45"/>
    <w:rsid w:val="00EF492B"/>
    <w:rsid w:val="00F01F71"/>
    <w:rsid w:val="00F020AD"/>
    <w:rsid w:val="00F0231B"/>
    <w:rsid w:val="00F27382"/>
    <w:rsid w:val="00F82255"/>
    <w:rsid w:val="00FB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C3E9F"/>
  <w15:chartTrackingRefBased/>
  <w15:docId w15:val="{0303BB40-02F7-4FD3-AB45-9EE6FFDD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2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D3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A4D4F"/>
    <w:pPr>
      <w:suppressAutoHyphens/>
      <w:autoSpaceDN w:val="0"/>
      <w:spacing w:after="0" w:line="240" w:lineRule="auto"/>
      <w:textAlignment w:val="baseline"/>
    </w:pPr>
    <w:rPr>
      <w:rFonts w:ascii="Arial" w:eastAsia="Cambria" w:hAnsi="Arial" w:cs="Arial"/>
      <w:kern w:val="3"/>
      <w:sz w:val="20"/>
    </w:rPr>
  </w:style>
  <w:style w:type="paragraph" w:styleId="SemEspaamento">
    <w:name w:val="No Spacing"/>
    <w:rsid w:val="00DA4D4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PargrafodaLista">
    <w:name w:val="List Paragraph"/>
    <w:basedOn w:val="Normal"/>
    <w:uiPriority w:val="34"/>
    <w:qFormat/>
    <w:rsid w:val="009E3F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E3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023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D3F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8D3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33D6"/>
  </w:style>
  <w:style w:type="paragraph" w:styleId="Rodap">
    <w:name w:val="footer"/>
    <w:basedOn w:val="Normal"/>
    <w:link w:val="Rodap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33D6"/>
  </w:style>
  <w:style w:type="paragraph" w:customStyle="1" w:styleId="Contents1">
    <w:name w:val="Contents 1"/>
    <w:basedOn w:val="Standard"/>
    <w:next w:val="Standard"/>
    <w:autoRedefine/>
    <w:rsid w:val="00044E27"/>
    <w:pPr>
      <w:spacing w:before="120"/>
    </w:pPr>
    <w:rPr>
      <w:rFonts w:ascii="Cambria" w:hAnsi="Cambria" w:cs="Cambria"/>
      <w:b/>
      <w:sz w:val="24"/>
      <w:szCs w:val="24"/>
    </w:rPr>
  </w:style>
  <w:style w:type="numbering" w:customStyle="1" w:styleId="WWNum6">
    <w:name w:val="WWNum6"/>
    <w:basedOn w:val="Semlista"/>
    <w:rsid w:val="00044E27"/>
    <w:pPr>
      <w:numPr>
        <w:numId w:val="7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044E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3D78"/>
    <w:pPr>
      <w:tabs>
        <w:tab w:val="left" w:pos="660"/>
        <w:tab w:val="right" w:leader="dot" w:pos="8494"/>
      </w:tabs>
      <w:spacing w:before="100" w:beforeAutospacing="1" w:after="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4E2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4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elder.hara@cvaconsultoria.com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luis.neves@cvaconsultoria.com.b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mailto:giuliano.costa@cvaconsultoria.com.b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2D23B-F256-4DA3-A333-5CC13F53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10</Pages>
  <Words>823</Words>
  <Characters>4405</Characters>
  <Application>Microsoft Office Word</Application>
  <DocSecurity>0</DocSecurity>
  <Lines>489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Henrique Costa</dc:creator>
  <cp:keywords/>
  <dc:description/>
  <cp:lastModifiedBy>Giuliano Henrique Costa</cp:lastModifiedBy>
  <cp:revision>43</cp:revision>
  <dcterms:created xsi:type="dcterms:W3CDTF">2016-11-17T10:54:00Z</dcterms:created>
  <dcterms:modified xsi:type="dcterms:W3CDTF">2016-11-28T14:02:00Z</dcterms:modified>
</cp:coreProperties>
</file>