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C335F" w14:textId="71C828E2" w:rsidR="00E20158" w:rsidRDefault="00CE4E53">
      <w:r>
        <w:t>Los usuarios que tienen sospecha de vicio de refracción deben ser derivados a la UAPO a través de SIDRA</w:t>
      </w:r>
    </w:p>
    <w:sectPr w:rsidR="00E20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53"/>
    <w:rsid w:val="0080500D"/>
    <w:rsid w:val="00925F65"/>
    <w:rsid w:val="00CE4E53"/>
    <w:rsid w:val="00E20158"/>
    <w:rsid w:val="00FA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E822"/>
  <w15:chartTrackingRefBased/>
  <w15:docId w15:val="{743CC8DD-BC1E-4371-B7FA-21B93838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4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4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4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4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E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E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E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E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E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E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4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4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4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4E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4E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4E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E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4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Andrés Sandoval González</dc:creator>
  <cp:keywords/>
  <dc:description/>
  <cp:lastModifiedBy>Felipe Andrés Sandoval González</cp:lastModifiedBy>
  <cp:revision>1</cp:revision>
  <dcterms:created xsi:type="dcterms:W3CDTF">2025-08-25T14:08:00Z</dcterms:created>
  <dcterms:modified xsi:type="dcterms:W3CDTF">2025-08-25T14:08:00Z</dcterms:modified>
</cp:coreProperties>
</file>