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Questão 10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Dada a equação fundamental da teoria de aerofólios finos:</w:t>
      </w:r>
    </w:p>
    <w:p>
      <w:pPr>
        <w:pStyle w:val="Normal"/>
        <w:ind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c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γ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ξ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ξ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ξ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∞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α</m:t>
              </m:r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dz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d>
        </m:oMath>
      </m:oMathPara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Dela provém que a linha de curvatura média é uma linha de corrente do escoamento.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grande problema enfrentado pela teoria de aerofólios finos é determinar </w:t>
      </w:r>
      <w:r>
        <w:rPr>
          <w:rFonts w:cs="Times New Roman" w:ascii="Times New Roman" w:hAnsi="Times New Roman"/>
          <w:i/>
          <w:iCs/>
          <w:sz w:val="24"/>
          <w:szCs w:val="24"/>
          <w:lang w:val="el-GR"/>
        </w:rPr>
        <w:t>γ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  <w:lang w:val="el-GR"/>
        </w:rPr>
        <w:t>ξ</w:t>
      </w:r>
      <w:r>
        <w:rPr>
          <w:rFonts w:cs="Times New Roman" w:ascii="Times New Roman" w:hAnsi="Times New Roman"/>
          <w:sz w:val="24"/>
          <w:szCs w:val="24"/>
        </w:rPr>
        <w:t xml:space="preserve">), sujeita à condição de Kutta, </w:t>
      </w:r>
      <w:r>
        <w:rPr>
          <w:rFonts w:cs="Times New Roman" w:ascii="Times New Roman" w:hAnsi="Times New Roman"/>
          <w:i/>
          <w:iCs/>
          <w:sz w:val="24"/>
          <w:szCs w:val="24"/>
          <w:lang w:val="el-GR"/>
        </w:rPr>
        <w:t>γ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) = 0. 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Considerando-se um aerofólio simétrico, onde a linha de curvatura coincide com o acorde da linha, temos que </w:t>
      </w:r>
      <w:r>
        <w:rPr>
          <w:rFonts w:cs="Times New Roman" w:ascii="Times New Roman" w:hAnsi="Times New Roman"/>
          <w:i/>
          <w:iCs/>
          <w:sz w:val="24"/>
          <w:szCs w:val="24"/>
        </w:rPr>
        <w:t>dz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i/>
          <w:iCs/>
          <w:sz w:val="24"/>
          <w:szCs w:val="24"/>
        </w:rPr>
        <w:t>dx</w:t>
      </w:r>
      <w:r>
        <w:rPr>
          <w:rFonts w:cs="Times New Roman" w:ascii="Times New Roman" w:hAnsi="Times New Roman"/>
          <w:sz w:val="24"/>
          <w:szCs w:val="24"/>
        </w:rPr>
        <w:t xml:space="preserve"> = 0. Assim:</w:t>
      </w:r>
    </w:p>
    <w:p>
      <w:pPr>
        <w:pStyle w:val="Normal"/>
        <w:ind w:left="36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c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γ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ξ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ξ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ξ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∞</m:t>
              </m:r>
            </m:sub>
          </m:sSub>
          <m:r>
            <w:rPr>
              <w:rFonts w:ascii="Cambria Math" w:hAnsi="Cambria Math"/>
            </w:rPr>
            <m:t xml:space="preserve">α</m:t>
          </m:r>
        </m:oMath>
      </m:oMathPara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 essência, sob a ótica da teoria de aerofólios finos, um aerofólio simétrico é tratado da mesma forma que uma placa plana.</w:t>
      </w:r>
    </w:p>
    <w:p>
      <w:pPr>
        <w:pStyle w:val="Normal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Para avaliar a integral, será feita uma transformação de variáveis, mudaremos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ξ</m:t>
        </m:r>
      </m:oMath>
      <w:r>
        <w:rPr>
          <w:rFonts w:eastAsia="" w:cs="Times New Roman" w:ascii="Times New Roman" w:hAnsi="Times New Roman" w:eastAsiaTheme="minorEastAsia"/>
          <w:iCs/>
          <w:sz w:val="24"/>
          <w:szCs w:val="24"/>
        </w:rPr>
        <w:t xml:space="preserve"> para θ da seguinte forma:</w:t>
      </w:r>
    </w:p>
    <w:p>
      <w:pPr>
        <w:pStyle w:val="Normal"/>
        <w:ind w:left="360" w:hanging="0"/>
        <w:jc w:val="left"/>
        <w:rPr>
          <w:rFonts w:ascii="Times New Roman" w:hAnsi="Times New Roman" w:cs="Times New Roman"/>
          <w:i/>
          <w:i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ξ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d>
            </m:e>
          </m:d>
        </m:oMath>
      </m:oMathPara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Uma vez que para a avaliação da integral a posição </w:t>
      </w:r>
      <w:r>
        <w:rPr>
          <w:rFonts w:cs="Times New Roman" w:ascii="Times New Roman" w:hAnsi="Times New Roman"/>
          <w:i/>
          <w:iCs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é fixa, tem-se que θ apresentará um valor particular θ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, ou seja,</w:t>
      </w:r>
    </w:p>
    <w:p>
      <w:pPr>
        <w:pStyle w:val="Normal"/>
        <w:ind w:left="36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⁡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</m:e>
          </m:d>
        </m:oMath>
      </m:oMathPara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Além disso,</w:t>
      </w:r>
    </w:p>
    <w:p>
      <w:pPr>
        <w:pStyle w:val="Normal"/>
        <w:ind w:left="360" w:hanging="0"/>
        <w:jc w:val="left"/>
        <w:rPr>
          <w:rFonts w:ascii="Times New Roman" w:hAnsi="Times New Roman" w:cs="Times New Roman"/>
          <w:i/>
          <w:i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ξ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sen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θ</m:t>
              </m:r>
            </m:e>
          </m:d>
          <m:r>
            <w:rPr>
              <w:rFonts w:ascii="Cambria Math" w:hAnsi="Cambria Math"/>
            </w:rPr>
            <m:t xml:space="preserve">dθ</m:t>
          </m:r>
        </m:oMath>
      </m:oMathPara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Reescrevendo a equação da integral e observando que os limites de integração se tornam θ=0 no bordo de ataque (onde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ξ</m:t>
        </m:r>
      </m:oMath>
      <w:r>
        <w:rPr>
          <w:rFonts w:eastAsia="" w:cs="Times New Roman" w:ascii="Times New Roman" w:hAnsi="Times New Roman" w:eastAsiaTheme="minorEastAsia"/>
          <w:iCs/>
          <w:sz w:val="24"/>
          <w:szCs w:val="24"/>
        </w:rPr>
        <w:t xml:space="preserve">=0) e θ=π no bordo de fuga (onde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ξ</m:t>
        </m:r>
      </m:oMath>
      <w:r>
        <w:rPr>
          <w:rFonts w:eastAsia="" w:cs="Times New Roman" w:ascii="Times New Roman" w:hAnsi="Times New Roman" w:eastAsiaTheme="minorEastAsia"/>
          <w:iCs/>
          <w:sz w:val="24"/>
          <w:szCs w:val="24"/>
        </w:rPr>
        <w:t>= c)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ind w:left="360" w:hanging="0"/>
        <w:jc w:val="left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π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γ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sen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⁡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α</m:t>
          </m:r>
        </m:oMath>
      </m:oMathPara>
    </w:p>
    <w:p>
      <w:pPr>
        <w:pStyle w:val="Normal"/>
        <w:ind w:left="360"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Integrando:</w:t>
      </w:r>
    </w:p>
    <w:p>
      <w:pPr>
        <w:pStyle w:val="Normal"/>
        <w:ind w:left="36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γ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θ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α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∞</m:t>
              </m:r>
            </m:sub>
          </m:sSub>
          <m:f>
            <m:num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 xml:space="preserve">sen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d>
            </m:den>
          </m:f>
        </m:oMath>
      </m:oMathPara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circulação ao redor do aerofólio é dada por:</w:t>
      </w:r>
    </w:p>
    <w:p>
      <w:pPr>
        <w:pStyle w:val="Normal"/>
        <w:ind w:left="36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c</m:t>
              </m:r>
            </m:sup>
            <m:e>
              <m:r>
                <w:rPr>
                  <w:rFonts w:ascii="Cambria Math" w:hAnsi="Cambria Math"/>
                </w:rPr>
                <m:t xml:space="preserve">γ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ξ</m:t>
                  </m:r>
                </m:e>
              </m:d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ξ</m:t>
              </m:r>
            </m:e>
          </m:nary>
        </m:oMath>
      </m:oMathPara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Que pode ser transformada em:</w:t>
      </w:r>
    </w:p>
    <w:p>
      <w:pPr>
        <w:pStyle w:val="Normal"/>
        <w:ind w:left="360" w:hanging="0"/>
        <w:jc w:val="left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c</m:t>
              </m:r>
            </m:sup>
            <m:e>
              <m:r>
                <w:rPr>
                  <w:rFonts w:ascii="Cambria Math" w:hAnsi="Cambria Math"/>
                </w:rPr>
                <m:t xml:space="preserve">γ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d>
              <m:r>
                <w:rPr>
                  <w:rFonts w:ascii="Cambria Math" w:hAnsi="Cambria Math"/>
                </w:rPr>
                <m:t xml:space="preserve">sen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d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e>
          </m:nary>
        </m:oMath>
      </m:oMathPara>
    </w:p>
    <w:p>
      <w:pPr>
        <w:pStyle w:val="Normal"/>
        <w:ind w:left="360"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E escrita como:</w:t>
      </w:r>
    </w:p>
    <w:p>
      <w:pPr>
        <w:pStyle w:val="Normal"/>
        <w:ind w:left="360" w:hanging="0"/>
        <w:jc w:val="left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αc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∞</m:t>
              </m:r>
            </m:sub>
          </m:sSub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π</m:t>
              </m:r>
            </m:sup>
            <m:e/>
          </m:nary>
        </m:oMath>
      </m:oMathPara>
    </w:p>
    <w:p>
      <w:pPr>
        <w:pStyle w:val="Normal"/>
        <w:ind w:left="360"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Logo,</w:t>
      </w:r>
    </w:p>
    <w:p>
      <w:pPr>
        <w:pStyle w:val="Normal"/>
        <w:ind w:left="360" w:hanging="0"/>
        <w:jc w:val="left"/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παc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∞</m:t>
              </m:r>
            </m:sub>
          </m:sSub>
        </m:oMath>
      </m:oMathPara>
    </w:p>
    <w:p>
      <w:pPr>
        <w:pStyle w:val="Normal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b5e4d"/>
    <w:rPr>
      <w:color w:val="808080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7b5e4d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Y2iqfc" w:customStyle="1">
    <w:name w:val="y2iqfc"/>
    <w:basedOn w:val="DefaultParagraphFont"/>
    <w:qFormat/>
    <w:rsid w:val="007b5e4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7b5e4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LibreOffice/7.1.2.2$Linux_X86_64 LibreOffice_project/10$Build-2</Application>
  <AppVersion>15.0000</AppVersion>
  <Pages>2</Pages>
  <Words>179</Words>
  <Characters>843</Characters>
  <CharactersWithSpaces>1010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2021-05-11T21:24:00Z</dcterms:created>
  <dc:creator>Lara Gabriela Sousa Lima</dc:creator>
  <dc:description/>
  <dc:language>en-US</dc:language>
  <cp:lastModifiedBy/>
  <dcterms:modified xsi:type="dcterms:W3CDTF">2021-05-14T08:56:03Z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