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2.png" ContentType="image/png"/>
  <Override PartName="/word/media/rId44.png" ContentType="image/png"/>
  <Override PartName="/word/media/rId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Efeitos da divulgação de pesquisas eleitorais sobre a intenção de voto e o comparecimento (</w:t>
      </w:r>
      <w:r>
        <w:rPr>
          <w:i/>
          <w:iCs/>
        </w:rPr>
        <w:t xml:space="preserve">bandwagon</w:t>
      </w:r>
      <w:r>
        <w:t xml:space="preserve"> </w:t>
      </w:r>
      <w:r>
        <w:t xml:space="preserve">e</w:t>
      </w:r>
      <w:r>
        <w:t xml:space="preserve"> </w:t>
      </w:r>
      <w:r>
        <w:rPr>
          <w:i/>
          <w:iCs/>
        </w:rPr>
        <w:t xml:space="preserve">underdog</w:t>
      </w:r>
      <w:r>
        <w:t xml:space="preserve">): revisão sistemática rápida sem meta-análise</w:t>
      </w:r>
    </w:p>
    <w:p>
      <w:pPr>
        <w:pStyle w:val="Author"/>
      </w:pPr>
      <w:r>
        <w:t xml:space="preserve">Felipe Lamarca</w:t>
      </w:r>
    </w:p>
    <w:p>
      <w:pPr>
        <w:pStyle w:val="Date"/>
      </w:pPr>
      <w:r>
        <w:t xml:space="preserve">Invalid Date</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RASCUNHO NÃO VALIDADO — 18 pendências humanas abertas (lista no apêndice)</w:t>
            </w:r>
          </w:p>
        </w:tc>
      </w:tr>
      <w:tr>
        <w:trPr>
          <w:cantSplit/>
        </w:trPr>
        <w:tc>
          <w:tcPr>
            <w:tcMar>
              <w:top w:w="108" w:type="dxa"/>
              <w:bottom w:w="108" w:type="dxa"/>
            </w:tcMar>
          </w:tcPr>
          <w:p>
            <w:pPr>
              <w:pStyle w:val="BodyText"/>
            </w:pPr>
            <w:pPr>
              <w:spacing w:before="16" w:after="16"/>
            </w:pPr>
            <w:r>
              <w:t xml:space="preserve">Este manuscrito ainda tem validações humanas pendentes. Triagem, elegibilidade, extração, risco de viés e certeza foram feitos por subagentes de IA sem validação humana (atalho A2 do protocolo), e decisões antes registradas como humanas foram corrigidas pela Emenda 6a. Não cite como resultado final.</w:t>
            </w:r>
          </w:p>
          <w:p/>
        </w:tc>
      </w:tr>
    </w:tbl>
    <w:bookmarkStart w:id="12" w:name="resumo"/>
    <w:p>
      <w:pPr>
        <w:pStyle w:val="Heading1"/>
      </w:pPr>
      <w:r>
        <w:t xml:space="preserve">Resumo</w:t>
      </w:r>
    </w:p>
    <w:p>
      <w:pPr>
        <w:pStyle w:val="FirstParagraph"/>
      </w:pPr>
      <w:r>
        <w:rPr>
          <w:b/>
          <w:bCs/>
        </w:rPr>
        <w:t xml:space="preserve">Contexto e objetivos.</w:t>
      </w:r>
      <w:r>
        <w:t xml:space="preserve"> </w:t>
      </w:r>
      <w:r>
        <w:t xml:space="preserve">Pesquisas eleitorais publicadas estão entre as informações mais difundidas das campanhas, e o debate sobre restringir sua divulgação depende de saber se a exposição a elas muda o voto e em que direção. Esta revisão reúne a evidência causal publicada desde 2010 sobre o efeito da exposição a resultados de pesquisas eleitorais na intenção e na escolha de voto, separando o efeito</w:t>
      </w:r>
      <w:r>
        <w:t xml:space="preserve"> </w:t>
      </w:r>
      <w:r>
        <w:rPr>
          <w:i/>
          <w:iCs/>
        </w:rPr>
        <w:t xml:space="preserve">bandwagon</w:t>
      </w:r>
      <w:r>
        <w:t xml:space="preserve"> </w:t>
      </w:r>
      <w:r>
        <w:t xml:space="preserve">(a favor de quem lidera) do</w:t>
      </w:r>
      <w:r>
        <w:t xml:space="preserve"> </w:t>
      </w:r>
      <w:r>
        <w:rPr>
          <w:i/>
          <w:iCs/>
        </w:rPr>
        <w:t xml:space="preserve">underdog</w:t>
      </w:r>
      <w:r>
        <w:t xml:space="preserve"> </w:t>
      </w:r>
      <w:r>
        <w:t xml:space="preserve">(a favor de quem está atrás), e sobre o comparecimento.</w:t>
      </w:r>
    </w:p>
    <w:p>
      <w:pPr>
        <w:pStyle w:val="BodyText"/>
      </w:pPr>
      <w:r>
        <w:rPr>
          <w:b/>
          <w:bCs/>
        </w:rPr>
        <w:t xml:space="preserve">Métodos.</w:t>
      </w:r>
      <w:r>
        <w:t xml:space="preserve"> </w:t>
      </w:r>
      <w:r>
        <w:t xml:space="preserve">Critérios de elegibilidade: eleitores ou participantes que escolhem entre candidatos, partidos ou opções de referendo, em eleição real, hipotética ou de laboratório; exposição a resultado de pesquisa eleitoral (pesquisa pré-eleitoral, agregador ou projeção, boca de urna antes do fechamento das urnas e, por emenda, apuração parcial oficial durante a votação); desfecho de voto ou de comparecimento; experimentos, experimentos naturais, quase-experimentos com variação identificada ou painéis individuais; estudos primários publicados desde 2010, em qualquer idioma. Fontes: OpenAlex (estratégias em inglês, português e espanhol), BDTD e três rodadas de busca por citação no OpenAlex, com última busca nas bases em 19/09/2026 e última rodada de citação em 20/09/2026. Risco de viés: RoB 2 para experimentos aleatorizados, ROBINS-I V2 para experimentos naturais, quase-experimentos e painéis individuais, e EPOC para proibições e embargos com unidades agregadas. Síntese: síntese sem meta-análise (SWiM) por célula (formato de exposição × desfecho × comparador × célula de alvo × classe de desenho), com contagem de direção pelo estimador pontual e teste de sinal binomial exato; certeza pelo GRADE; meta-análise só exploratória. Revisão rápida conduzida por subagentes de IA: triagem, elegibilidade, extração, risco de viés e certeza não têm validação humana. Os 336 registros sem resumo, antes excluídos pelo título, foram triados de novo por IA com resumos recuperados (Emenda 6b), e os efeitos principais dos 40 estudos com dados foram reextraídos às cegas e arbitrados por IA antes da síntese.</w:t>
      </w:r>
    </w:p>
    <w:p>
      <w:pPr>
        <w:pStyle w:val="BodyText"/>
      </w:pPr>
      <w:r>
        <w:rPr>
          <w:b/>
          <w:bCs/>
        </w:rPr>
        <w:t xml:space="preserve">Resultados.</w:t>
      </w:r>
      <w:r>
        <w:t xml:space="preserve"> </w:t>
      </w:r>
      <w:r>
        <w:t xml:space="preserve">Foram incluídos 41 estudos (55 relatos). Os 560 efeitos extraídos vêm de 40 estudos, e 37 estudos têm ao menos um efeito principal; os tamanhos de amostra estão em unidades diferentes e não foram somados. A SWiM principal reuniu 27 estudos em 18 células do protocolo. Ficaram fora dela 3 estudos em risco de viés crítico e 7 cujos efeitos principais estão todos fora da contagem, por não estimarem o contraste da exposição ou por conferência pendente. As duas células mais povoadas têm 4 experimentos cada, todos na direção</w:t>
      </w:r>
      <w:r>
        <w:t xml:space="preserve"> </w:t>
      </w:r>
      <w:r>
        <w:rPr>
          <w:i/>
          <w:iCs/>
        </w:rPr>
        <w:t xml:space="preserve">bandwagon</w:t>
      </w:r>
      <w:r>
        <w:t xml:space="preserve">: mostrar uma pesquisa, frente a não mostrar (proporção 1,00; IC 95% 0,40 a 1,00; teste de sinal p = 0,125; 3 dos 4 com preferências induzidas ou vinheta hipotética), e mostrar o candidato à frente, e não atrás (proporção 1,00; IC 95% 0,40 a 1,00; p = 0,125; os 4 em laboratório ou vinheta hipotética e em risco de viés alto). Nas duas, é muito incerto se a exposição aumenta o apoio a quem aparece à frente (certeza muito baixa). As demais células de apoio, de viabilidade e de</w:t>
      </w:r>
      <w:r>
        <w:t xml:space="preserve"> </w:t>
      </w:r>
      <w:r>
        <w:rPr>
          <w:i/>
          <w:iCs/>
        </w:rPr>
        <w:t xml:space="preserve">momentum</w:t>
      </w:r>
      <w:r>
        <w:t xml:space="preserve"> </w:t>
      </w:r>
      <w:r>
        <w:t xml:space="preserve">têm 1 ou 2 estudos, todas com certeza muito baixa. No comparecimento, receber uma pesquisa de disputa apertada, e não folgada, provavelmente não muda o comparecimento além de 2 pontos percentuais (1 experimento de campo, nulo por ±δ; certeza moderada); ter visto a divulgação de pesquisas pode aumentar o comparecimento ou a intenção de votar (2 de 2 estudos não randomizados; IC 95% 0,16 a 1,00; certeza baixa); ver projeções mais distantes de 50:50 pode reduzir a decisão de votar (1 jogo online; certeza baixa); e é muito incerto se a boca de urna reduz o comparecimento (certeza muito baixa). Duas meta-análises exploratórias, com comparabilidade limitada e inferência robusta não confiável, deram estimativas com IC que cruza zero: na célula pesquisa × sem pesquisa (3 estudos, 4 efeitos), g = 0,48 (IC 95% −1,51 a 2,47; 1,25 graus de liberdade); na célula mesmo candidato à frente × atrás (3 estudos, 6 efeitos, com desfechos em escala Likert, posto e proporção), g = 0,62 (IC 95% −0,48 a 1,72; 1,46 graus de liberdade). A certeza das duas é a das células (muito baixa). Numa análise descritiva decidida depois de ver os dados, que junta formatos e comparadores, 9 de 9 experimentos foram na direção</w:t>
      </w:r>
      <w:r>
        <w:t xml:space="preserve"> </w:t>
      </w:r>
      <w:r>
        <w:rPr>
          <w:i/>
          <w:iCs/>
        </w:rPr>
        <w:t xml:space="preserve">bandwagon</w:t>
      </w:r>
      <w:r>
        <w:t xml:space="preserve"> </w:t>
      </w:r>
      <w:r>
        <w:t xml:space="preserve">(IC 95% 0,66 a 1,00; p = 0,004), mas só 1 deles em contexto real, e é muito incerto se a exposição aumenta o apoio ao líder (certeza muito baixa). O único estudo brasileiro trata da divulgação oficial de apuração parcial, não de pesquisa.</w:t>
      </w:r>
    </w:p>
    <w:p>
      <w:pPr>
        <w:pStyle w:val="BodyText"/>
      </w:pPr>
      <w:r>
        <w:rPr>
          <w:b/>
          <w:bCs/>
        </w:rPr>
        <w:t xml:space="preserve">Discussão.</w:t>
      </w:r>
      <w:r>
        <w:t xml:space="preserve"> </w:t>
      </w:r>
      <w:r>
        <w:t xml:space="preserve">Limitações da evidência: poucos estudos por célula, predomínio de laboratório e vinheta hipotética, imprecisão, dados lidos de figura e ausência de meta-análise principal. Limitações do processo: fontes restritas; triagem, elegibilidade, extração, risco de viés e certeza feitas por IA, sem validação humana. Interpretação: a direção dominante nos experimentos é</w:t>
      </w:r>
      <w:r>
        <w:t xml:space="preserve"> </w:t>
      </w:r>
      <w:r>
        <w:rPr>
          <w:i/>
          <w:iCs/>
        </w:rPr>
        <w:t xml:space="preserve">bandwagon</w:t>
      </w:r>
      <w:r>
        <w:t xml:space="preserve">, mas a certeza é muito baixa em todas as células de apoio ao líder, a certeza qualifica a direção e não a magnitude, e nenhum estudo trata de pesquisas no Brasil.</w:t>
      </w:r>
    </w:p>
    <w:p>
      <w:pPr>
        <w:pStyle w:val="BodyText"/>
      </w:pPr>
      <w:r>
        <w:rPr>
          <w:b/>
          <w:bCs/>
        </w:rPr>
        <w:t xml:space="preserve">Outras informações.</w:t>
      </w:r>
      <w:r>
        <w:t xml:space="preserve"> </w:t>
      </w:r>
      <w:r>
        <w:t xml:space="preserve">Financiamento: nenhum financiamento específico. Registro: não registrado; protocolo congelado com sha256 no log do projeto.</w:t>
      </w:r>
    </w:p>
    <w:bookmarkEnd w:id="12"/>
    <w:bookmarkStart w:id="15" w:name="introdução"/>
    <w:p>
      <w:pPr>
        <w:pStyle w:val="Heading1"/>
      </w:pPr>
      <w:r>
        <w:t xml:space="preserve">Introdução</w:t>
      </w:r>
    </w:p>
    <w:bookmarkStart w:id="13" w:name="justificativa-3"/>
    <w:p>
      <w:pPr>
        <w:pStyle w:val="Heading2"/>
      </w:pPr>
      <w:r>
        <w:t xml:space="preserve">Justificativa (3)</w:t>
      </w:r>
    </w:p>
    <w:p>
      <w:pPr>
        <w:pStyle w:val="FirstParagraph"/>
      </w:pPr>
      <w:r>
        <w:t xml:space="preserve">Pesquisas eleitorais publicadas são uma das informações mais difundidas nas campanhas. Desde 2010, o ambiente informacional mudou: agregadores de pesquisas e projeções probabilísticas ganharam espaço, e os resultados circulam por redes sociais, em contraste com o modelo anterior de pesquisa telefônica e imprensa tradicional. Ao mesmo tempo, o debate público sobre restringir a divulgação de pesquisas (proibições e embargos perto da eleição) depende de saber se a exposição altera o voto e em que direção.</w:t>
      </w:r>
    </w:p>
    <w:p>
      <w:pPr>
        <w:pStyle w:val="BodyText"/>
      </w:pPr>
      <w:r>
        <w:t xml:space="preserve">A teoria da exposição do protocolo prevê canais de sinais opostos. A pesquisa pode aumentar o apoio a quem lidera pela percepção de viabilidade e pelo cálculo estratégico, pela heurística de consenso ou pela conformidade (</w:t>
      </w:r>
      <w:r>
        <w:rPr>
          <w:i/>
          <w:iCs/>
        </w:rPr>
        <w:t xml:space="preserve">bandwagon</w:t>
      </w:r>
      <w:r>
        <w:t xml:space="preserve">), ou aumentar o apoio a quem está atrás por simpatia ou preocupação com equidade (</w:t>
      </w:r>
      <w:r>
        <w:rPr>
          <w:i/>
          <w:iCs/>
        </w:rPr>
        <w:t xml:space="preserve">underdog</w:t>
      </w:r>
      <w:r>
        <w:t xml:space="preserve">). Pode ainda reduzir o comparecimento por complacência (desmobilização), efeito não intencional tratado aqui como desfecho próprio. Como os canais podem se anular, um efeito médio próximo de zero não indica ausência de efeito individual.</w:t>
      </w:r>
    </w:p>
    <w:p>
      <w:pPr>
        <w:pStyle w:val="BodyText"/>
      </w:pPr>
      <w:r>
        <w:t xml:space="preserve">A última síntese formal identificada sobre efeitos de pesquisas publicadas é a de</w:t>
      </w:r>
      <w:r>
        <w:t xml:space="preserve"> </w:t>
      </w:r>
      <w:r>
        <w:t xml:space="preserve">Hardmeier (2008)</w:t>
      </w:r>
      <w:r>
        <w:t xml:space="preserve">, uma síntese com meta-análise cujo último ano de busca não foi verificado (capítulo sem texto aberto).</w:t>
      </w:r>
      <w:r>
        <w:t xml:space="preserve"> </w:t>
      </w:r>
      <w:r>
        <w:t xml:space="preserve">Moy e Rinke (2012)</w:t>
      </w:r>
      <w:r>
        <w:t xml:space="preserve"> </w:t>
      </w:r>
      <w:r>
        <w:t xml:space="preserve">fizeram uma revisão narrativa, sem protocolo nem busca sistemática, e</w:t>
      </w:r>
      <w:r>
        <w:t xml:space="preserve"> </w:t>
      </w:r>
      <w:r>
        <w:t xml:space="preserve">Barnfield (2019)</w:t>
      </w:r>
      <w:r>
        <w:t xml:space="preserve">, uma revisão conceitual da pesquisa sobre o efeito</w:t>
      </w:r>
      <w:r>
        <w:t xml:space="preserve"> </w:t>
      </w:r>
      <w:r>
        <w:rPr>
          <w:i/>
          <w:iCs/>
        </w:rPr>
        <w:t xml:space="preserve">bandwagon</w:t>
      </w:r>
      <w:r>
        <w:t xml:space="preserve">. A checagem de revisões existentes e registradas (OpenAlex, OSF Registries e BDTD, em 19/09/2026) não achou síntese sobre efeitos de pesquisas publicadas no voto posterior a 2008 nem revisão registrada em andamento. Esta revisão atualiza a evidência com protocolo, busca documentada, risco de viés por desenho e certeza por célula, e acrescenta uma seção sobre Brasil e América Latina.</w:t>
      </w:r>
    </w:p>
    <w:bookmarkEnd w:id="13"/>
    <w:bookmarkStart w:id="14" w:name="objetivos-4"/>
    <w:p>
      <w:pPr>
        <w:pStyle w:val="Heading2"/>
      </w:pPr>
      <w:r>
        <w:t xml:space="preserve">Objetivos (4)</w:t>
      </w:r>
    </w:p>
    <w:p>
      <w:pPr>
        <w:pStyle w:val="FirstParagraph"/>
      </w:pPr>
      <w:r>
        <w:t xml:space="preserve">Pergunta principal: a exposição a resultados de pesquisas eleitorais publicadas altera a intenção ou a escolha de voto do eleitorado, em comparação com a não exposição ou com a exposição a outro resultado, e em que direção (</w:t>
      </w:r>
      <w:r>
        <w:rPr>
          <w:i/>
          <w:iCs/>
        </w:rPr>
        <w:t xml:space="preserve">bandwagon</w:t>
      </w:r>
      <w:r>
        <w:t xml:space="preserve"> </w:t>
      </w:r>
      <w:r>
        <w:t xml:space="preserve">ou</w:t>
      </w:r>
      <w:r>
        <w:t xml:space="preserve"> </w:t>
      </w:r>
      <w:r>
        <w:rPr>
          <w:i/>
          <w:iCs/>
        </w:rPr>
        <w:t xml:space="preserve">underdog</w:t>
      </w:r>
      <w:r>
        <w:t xml:space="preserve">)?</w:t>
      </w:r>
    </w:p>
    <w:p>
      <w:pPr>
        <w:pStyle w:val="BodyText"/>
      </w:pPr>
      <w:r>
        <w:t xml:space="preserve">Perguntas secundárias: (a) a exposição reduz o comparecimento (desmobilização)? (b) por quais mecanismos? (c) para quem, onde e quando o efeito é maior ou muda de sinal? (d) os achados diferem entre Brasil e América Latina e as demais regiões? Os elementos PECO são: P, eleitores ou participantes que escolhem entre candidatos, partidos ou opções, e unidades eleitorais agregadas; E, contato com resultado de pesquisa eleitoral, em três formatos (pesquisa pré-eleitoral, agregador ou projeção, boca de urna antes do fechamento das urnas); C, não exposição, o mesmo candidato mostrado atrás, outro resultado, antes e depois de proibição ou unidades não expostas; O, apoio ao que a pesquisa mostra à frente (</w:t>
      </w:r>
      <w:r>
        <w:rPr>
          <w:rStyle w:val="VerbatimChar"/>
        </w:rPr>
        <w:t xml:space="preserve">apoio_ao_lider</w:t>
      </w:r>
      <w:r>
        <w:t xml:space="preserve">) e comparecimento (</w:t>
      </w:r>
      <w:r>
        <w:rPr>
          <w:rStyle w:val="VerbatimChar"/>
        </w:rPr>
        <w:t xml:space="preserve">mobilizacao</w:t>
      </w:r>
      <w:r>
        <w:t xml:space="preserve">). É uma avaliação</w:t>
      </w:r>
      <w:r>
        <w:t xml:space="preserve"> </w:t>
      </w:r>
      <w:r>
        <w:rPr>
          <w:i/>
          <w:iCs/>
        </w:rPr>
        <w:t xml:space="preserve">ex post</w:t>
      </w:r>
      <w:r>
        <w:t xml:space="preserve"> </w:t>
      </w:r>
      <w:r>
        <w:t xml:space="preserve">de um fenômeno, não de um programa.</w:t>
      </w:r>
    </w:p>
    <w:bookmarkEnd w:id="14"/>
    <w:bookmarkEnd w:id="15"/>
    <w:bookmarkStart w:id="29" w:name="métodos"/>
    <w:p>
      <w:pPr>
        <w:pStyle w:val="Heading1"/>
      </w:pPr>
      <w:r>
        <w:t xml:space="preserve">Métodos</w:t>
      </w:r>
    </w:p>
    <w:p>
      <w:pPr>
        <w:pStyle w:val="FirstParagraph"/>
      </w:pPr>
      <w:r>
        <w:t xml:space="preserve">O protocolo (</w:t>
      </w:r>
      <w:r>
        <w:rPr>
          <w:rStyle w:val="VerbatimChar"/>
        </w:rPr>
        <w:t xml:space="preserve">00-protocolo/protocolo.md</w:t>
      </w:r>
      <w:r>
        <w:t xml:space="preserve">) foi aprovado pelo</w:t>
      </w:r>
      <w:r>
        <w:t xml:space="preserve"> </w:t>
      </w:r>
      <w:r>
        <w:rPr>
          <w:rStyle w:val="VerbatimChar"/>
        </w:rPr>
        <w:t xml:space="preserve">revisor_humano_1</w:t>
      </w:r>
      <w:r>
        <w:t xml:space="preserve"> </w:t>
      </w:r>
      <w:r>
        <w:t xml:space="preserve">no portão G2 em 19/09/2026 e congelado com sha256 no log do projeto. O tipo é revisão sistemática de efetividade com síntese sem meta-análise (SWiM), com meta-análise prevista só nas células com pelo menos três estudos comparáveis, na</w:t>
      </w:r>
      <w:r>
        <w:t xml:space="preserve"> </w:t>
      </w:r>
      <w:r>
        <w:rPr>
          <w:b/>
          <w:bCs/>
        </w:rPr>
        <w:t xml:space="preserve">variante rápida</w:t>
      </w:r>
      <w:r>
        <w:t xml:space="preserve">. Os atalhos, aprovados pelo</w:t>
      </w:r>
      <w:r>
        <w:t xml:space="preserve"> </w:t>
      </w:r>
      <w:r>
        <w:rPr>
          <w:rStyle w:val="VerbatimChar"/>
        </w:rPr>
        <w:t xml:space="preserve">revisor_humano_1</w:t>
      </w:r>
      <w:r>
        <w:t xml:space="preserve"> </w:t>
      </w:r>
      <w:r>
        <w:t xml:space="preserve">no G1 (A1 a A4) e no G2 (A5), foram:</w:t>
      </w:r>
    </w:p>
    <w:p>
      <w:pPr>
        <w:pStyle w:val="Compact"/>
        <w:numPr>
          <w:ilvl w:val="0"/>
          <w:numId w:val="1001"/>
        </w:numPr>
      </w:pPr>
      <w:r>
        <w:t xml:space="preserve">(A1) fontes restritas a OpenAlex e BDTD, mais bola de neve pelo OpenAlex, sem WoS, Scopus e SciELO;</w:t>
      </w:r>
    </w:p>
    <w:p>
      <w:pPr>
        <w:pStyle w:val="Compact"/>
        <w:numPr>
          <w:ilvl w:val="0"/>
          <w:numId w:val="1001"/>
        </w:numPr>
      </w:pPr>
      <w:r>
        <w:t xml:space="preserve">(A2) triagem, elegibilidade, extração, risco de viés e certeza feitas por subagentes de IA, sem validação humana;</w:t>
      </w:r>
    </w:p>
    <w:p>
      <w:pPr>
        <w:pStyle w:val="Compact"/>
        <w:numPr>
          <w:ilvl w:val="0"/>
          <w:numId w:val="1001"/>
        </w:numPr>
      </w:pPr>
      <w:r>
        <w:t xml:space="preserve">(A3) âncoras de validação da busca montadas por subagente isolado;</w:t>
      </w:r>
    </w:p>
    <w:p>
      <w:pPr>
        <w:pStyle w:val="Compact"/>
        <w:numPr>
          <w:ilvl w:val="0"/>
          <w:numId w:val="1001"/>
        </w:numPr>
      </w:pPr>
      <w:r>
        <w:t xml:space="preserve">(A4) PRESS feito só por subagente;</w:t>
      </w:r>
    </w:p>
    <w:p>
      <w:pPr>
        <w:pStyle w:val="Compact"/>
        <w:numPr>
          <w:ilvl w:val="0"/>
          <w:numId w:val="1001"/>
        </w:numPr>
      </w:pPr>
      <w:r>
        <w:t xml:space="preserve">(A5) sem contato com autores para textos ou dados faltantes.</w:t>
      </w:r>
    </w:p>
    <w:p>
      <w:pPr>
        <w:pStyle w:val="FirstParagraph"/>
      </w:pPr>
      <w:r>
        <w:t xml:space="preserve">A revisão foi conduzida em modo autopiloto no Claude Code, com a skill</w:t>
      </w:r>
      <w:r>
        <w:t xml:space="preserve"> </w:t>
      </w:r>
      <w:r>
        <w:rPr>
          <w:rStyle w:val="VerbatimChar"/>
        </w:rPr>
        <w:t xml:space="preserve">revisao-sistematica</w:t>
      </w:r>
      <w:r>
        <w:t xml:space="preserve">. Um coordenador de IA redigiu artefatos, executou os scripts e distribuiu o trabalho entre subagentes de modelos da Anthropic, com papéis fixos por etapa. O coordenador foi o Claude Opus 5.5 (</w:t>
      </w:r>
      <w:r>
        <w:rPr>
          <w:rStyle w:val="VerbatimChar"/>
        </w:rPr>
        <w:t xml:space="preserve">claude-opus-5-5</w:t>
      </w:r>
      <w:r>
        <w:t xml:space="preserve">, com contexto de 1M); o log não registra o modelo do coordenador, e o protocolo previa</w:t>
      </w:r>
      <w:r>
        <w:t xml:space="preserve"> </w:t>
      </w:r>
      <w:r>
        <w:rPr>
          <w:rStyle w:val="VerbatimChar"/>
        </w:rPr>
        <w:t xml:space="preserve">claude-opus-5</w:t>
      </w:r>
      <w:r>
        <w:t xml:space="preserve">. Os papéis dos subagentes foram:</w:t>
      </w:r>
    </w:p>
    <w:p>
      <w:pPr>
        <w:pStyle w:val="Compact"/>
        <w:numPr>
          <w:ilvl w:val="0"/>
          <w:numId w:val="1002"/>
        </w:numPr>
      </w:pPr>
      <w:r>
        <w:t xml:space="preserve">na triagem de títulos e resumos, A =</w:t>
      </w:r>
      <w:r>
        <w:t xml:space="preserve"> </w:t>
      </w:r>
      <w:r>
        <w:rPr>
          <w:rStyle w:val="VerbatimChar"/>
        </w:rPr>
        <w:t xml:space="preserve">claude-sonnet-5</w:t>
      </w:r>
      <w:r>
        <w:t xml:space="preserve"> </w:t>
      </w:r>
      <w:r>
        <w:t xml:space="preserve">e B =</w:t>
      </w:r>
      <w:r>
        <w:t xml:space="preserve"> </w:t>
      </w:r>
      <w:r>
        <w:rPr>
          <w:rStyle w:val="VerbatimChar"/>
        </w:rPr>
        <w:t xml:space="preserve">claude-opus-5</w:t>
      </w:r>
      <w:r>
        <w:t xml:space="preserve">; na triagem complementar dos registros sem resumo (Emenda 6b), A =</w:t>
      </w:r>
      <w:r>
        <w:t xml:space="preserve"> </w:t>
      </w:r>
      <w:r>
        <w:rPr>
          <w:rStyle w:val="VerbatimChar"/>
        </w:rPr>
        <w:t xml:space="preserve">claude-sonnet-5</w:t>
      </w:r>
      <w:r>
        <w:t xml:space="preserve"> </w:t>
      </w:r>
      <w:r>
        <w:t xml:space="preserve">e B =</w:t>
      </w:r>
      <w:r>
        <w:t xml:space="preserve"> </w:t>
      </w:r>
      <w:r>
        <w:rPr>
          <w:rStyle w:val="VerbatimChar"/>
        </w:rPr>
        <w:t xml:space="preserve">claude-opus-5-5</w:t>
      </w:r>
      <w:r>
        <w:t xml:space="preserve">;</w:t>
      </w:r>
    </w:p>
    <w:p>
      <w:pPr>
        <w:pStyle w:val="Compact"/>
        <w:numPr>
          <w:ilvl w:val="0"/>
          <w:numId w:val="1002"/>
        </w:numPr>
      </w:pPr>
      <w:r>
        <w:t xml:space="preserve">na elegibilidade e na extração, subagentes</w:t>
      </w:r>
      <w:r>
        <w:t xml:space="preserve"> </w:t>
      </w:r>
      <w:r>
        <w:rPr>
          <w:rStyle w:val="VerbatimChar"/>
        </w:rPr>
        <w:t xml:space="preserve">claude-opus-5</w:t>
      </w:r>
      <w:r>
        <w:t xml:space="preserve">, com recodificação cega por</w:t>
      </w:r>
      <w:r>
        <w:t xml:space="preserve"> </w:t>
      </w:r>
      <w:r>
        <w:rPr>
          <w:rStyle w:val="VerbatimChar"/>
        </w:rPr>
        <w:t xml:space="preserve">claude-sonnet-5</w:t>
      </w:r>
      <w:r>
        <w:t xml:space="preserve">; as fichas de texto completo feitas depois da Emenda 6b, a reextração cega dos efeitos principais e a arbitragem dos efeitos, por</w:t>
      </w:r>
      <w:r>
        <w:t xml:space="preserve"> </w:t>
      </w:r>
      <w:r>
        <w:rPr>
          <w:rStyle w:val="VerbatimChar"/>
        </w:rPr>
        <w:t xml:space="preserve">claude-opus-5-5</w:t>
      </w:r>
      <w:r>
        <w:t xml:space="preserve">;</w:t>
      </w:r>
    </w:p>
    <w:p>
      <w:pPr>
        <w:pStyle w:val="Compact"/>
        <w:numPr>
          <w:ilvl w:val="0"/>
          <w:numId w:val="1002"/>
        </w:numPr>
      </w:pPr>
      <w:r>
        <w:t xml:space="preserve">no risco de viés, A =</w:t>
      </w:r>
      <w:r>
        <w:t xml:space="preserve"> </w:t>
      </w:r>
      <w:r>
        <w:rPr>
          <w:rStyle w:val="VerbatimChar"/>
        </w:rPr>
        <w:t xml:space="preserve">claude-opus-5-5</w:t>
      </w:r>
      <w:r>
        <w:t xml:space="preserve">, B =</w:t>
      </w:r>
      <w:r>
        <w:t xml:space="preserve"> </w:t>
      </w:r>
      <w:r>
        <w:rPr>
          <w:rStyle w:val="VerbatimChar"/>
        </w:rPr>
        <w:t xml:space="preserve">claude-sonnet-5</w:t>
      </w:r>
      <w:r>
        <w:t xml:space="preserve"> </w:t>
      </w:r>
      <w:r>
        <w:t xml:space="preserve">e árbitro</w:t>
      </w:r>
      <w:r>
        <w:t xml:space="preserve"> </w:t>
      </w:r>
      <w:r>
        <w:rPr>
          <w:rStyle w:val="VerbatimChar"/>
        </w:rPr>
        <w:t xml:space="preserve">claude-opus-5-5</w:t>
      </w:r>
      <w:r>
        <w:t xml:space="preserve"> </w:t>
      </w:r>
      <w:r>
        <w:t xml:space="preserve">em contexto novo;</w:t>
      </w:r>
    </w:p>
    <w:p>
      <w:pPr>
        <w:pStyle w:val="Compact"/>
        <w:numPr>
          <w:ilvl w:val="0"/>
          <w:numId w:val="1002"/>
        </w:numPr>
      </w:pPr>
      <w:r>
        <w:t xml:space="preserve">no rascunho do GRADE,</w:t>
      </w:r>
      <w:r>
        <w:t xml:space="preserve"> </w:t>
      </w:r>
      <w:r>
        <w:rPr>
          <w:rStyle w:val="VerbatimChar"/>
        </w:rPr>
        <w:t xml:space="preserve">claude-opus-5-5</w:t>
      </w:r>
      <w:r>
        <w:t xml:space="preserve">;</w:t>
      </w:r>
    </w:p>
    <w:p>
      <w:pPr>
        <w:pStyle w:val="Compact"/>
        <w:numPr>
          <w:ilvl w:val="0"/>
          <w:numId w:val="1002"/>
        </w:numPr>
      </w:pPr>
      <w:r>
        <w:t xml:space="preserve">nas sugestões de terceiro leitor preparadas para as pendências humanas e na pré-revisão PRESS da estratégia ativa,</w:t>
      </w:r>
      <w:r>
        <w:t xml:space="preserve"> </w:t>
      </w:r>
      <w:r>
        <w:rPr>
          <w:rStyle w:val="VerbatimChar"/>
        </w:rPr>
        <w:t xml:space="preserve">claude-opus-5-5</w:t>
      </w:r>
      <w:r>
        <w:t xml:space="preserve">.</w:t>
      </w:r>
    </w:p>
    <w:p>
      <w:pPr>
        <w:pStyle w:val="FirstParagraph"/>
      </w:pPr>
      <w:r>
        <w:t xml:space="preserve">Os portões G3 a G9 foram aprovados em autopiloto quando as checagens de artefato do script passaram, e cada aprovação abriu uma pendência de revisão humana. O único humano,</w:t>
      </w:r>
      <w:r>
        <w:t xml:space="preserve"> </w:t>
      </w:r>
      <w:r>
        <w:rPr>
          <w:rStyle w:val="VerbatimChar"/>
        </w:rPr>
        <w:t xml:space="preserve">revisor_humano_1</w:t>
      </w:r>
      <w:r>
        <w:t xml:space="preserve">, aprovou G1 e G2, decidiu a Emenda 1, as 17 decisões de casos limítrofes de texto completo, as convenções da Emenda 4 (itens 4a a 4c, por questionário) e a Emenda 6b, e escolheu por custo o árbitro do risco de viés (Emenda 3). Em 23/09/2026, o revisor declarou que não conferiu outras decisões que o log registrava como suas; a correção está na Emenda 6a e é detalhada em Limitações do processo.</w:t>
      </w:r>
    </w:p>
    <w:bookmarkStart w:id="17" w:name="critérios-de-elegibilidade-5"/>
    <w:p>
      <w:pPr>
        <w:pStyle w:val="Heading2"/>
      </w:pPr>
      <w:r>
        <w:t xml:space="preserve">Critérios de elegibilidade (5)</w:t>
      </w:r>
    </w:p>
    <w:tbl>
      <w:tblPr>
        <w:tblStyle w:val="Table"/>
        <w:tblW w:type="pct" w:w="5000"/>
        <w:tblLayout w:type="fixed"/>
        <w:tblLook w:firstRow="0" w:lastRow="0" w:firstColumn="0" w:lastColumn="0" w:noHBand="0" w:noVBand="0" w:val="0000"/>
      </w:tblPr>
      <w:tblGrid>
        <w:gridCol w:w="7920"/>
      </w:tblGrid>
      <w:tr>
        <w:tc>
          <w:tcPr/>
          <w:bookmarkStart w:id="16" w:name="tbl-criterios"/>
          <w:p>
            <w:pPr>
              <w:jc w:val="center"/>
            </w:pPr>
            <w:pPr>
              <w:jc w:val="left"/>
              <w:spacing w:before="200"/>
              <w:pStyle w:val="ImageCaption"/>
            </w:pPr>
            <w:r>
              <w:t xml:space="preserve">Tabela 1: Critérios de elegibilidade do protocolo (seção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Critério</w:t>
                  </w:r>
                </w:p>
              </w:tc>
              <w:tc>
                <w:tcPr/>
                <w:p>
                  <w:pPr>
                    <w:pStyle w:val="Compact"/>
                    <w:jc w:val="center"/>
                  </w:pPr>
                  <w:r>
                    <w:t xml:space="preserve">Inclui</w:t>
                  </w:r>
                </w:p>
              </w:tc>
              <w:tc>
                <w:tcPr/>
                <w:p>
                  <w:pPr>
                    <w:pStyle w:val="Compact"/>
                    <w:jc w:val="center"/>
                  </w:pPr>
                  <w:r>
                    <w:t xml:space="preserve">Exclui</w:t>
                  </w:r>
                </w:p>
              </w:tc>
            </w:tr>
            <w:tr>
              <w:tc>
                <w:tcPr/>
                <w:p>
                  <w:pPr>
                    <w:pStyle w:val="Compact"/>
                    <w:jc w:val="center"/>
                  </w:pPr>
                  <w:r>
                    <w:t xml:space="preserve">C1 População e contexto</w:t>
                  </w:r>
                </w:p>
              </w:tc>
              <w:tc>
                <w:tcPr/>
                <w:p>
                  <w:pPr>
                    <w:pStyle w:val="Compact"/>
                    <w:jc w:val="center"/>
                  </w:pPr>
                  <w:r>
                    <w:t xml:space="preserve">Eleitores ou participantes que escolhem entre candidatos, partidos ou opções de referendo ou plebiscito, em eleição real, hipotética ou de laboratório (inclusive com preferências induzidas), em qualquer país; unidades eleitorais agregadas</w:t>
                  </w:r>
                </w:p>
              </w:tc>
              <w:tc>
                <w:tcPr/>
                <w:p>
                  <w:pPr>
                    <w:pStyle w:val="Compact"/>
                    <w:jc w:val="center"/>
                  </w:pPr>
                  <w:r>
                    <w:t xml:space="preserve">Escolhas de consumo, mercado, tecnologia ou finanças; votações de órgãos deliberativos reais</w:t>
                  </w:r>
                </w:p>
              </w:tc>
            </w:tr>
            <w:tr>
              <w:tc>
                <w:tcPr/>
                <w:p>
                  <w:pPr>
                    <w:pStyle w:val="Compact"/>
                    <w:jc w:val="center"/>
                  </w:pPr>
                  <w:r>
                    <w:t xml:space="preserve">C2 Exposição estudada como objeto empírico</w:t>
                  </w:r>
                </w:p>
              </w:tc>
              <w:tc>
                <w:tcPr/>
                <w:p>
                  <w:pPr>
                    <w:pStyle w:val="Compact"/>
                    <w:jc w:val="center"/>
                  </w:pPr>
                  <w:r>
                    <w:t xml:space="preserve">Resultado de pesquisa eleitoral (pré-eleitoral, agregador ou projeção, boca de urna antes do fechamento das urnas) e, pela Emenda 1, divulgação oficial de apuração parcial enquanto a votação ainda ocorre; manipulada, com variação natural identificada ou medida no indivíduo</w:t>
                  </w:r>
                </w:p>
              </w:tc>
              <w:tc>
                <w:tcPr/>
                <w:p>
                  <w:pPr>
                    <w:pStyle w:val="Compact"/>
                    <w:jc w:val="center"/>
                  </w:pPr>
                  <w:r>
                    <w:t xml:space="preserve">Pesquisa só como contexto ou fonte de dados; precisão e metodologia de pesquisas; resultados de eleições passadas, mercados de apostas, métricas de redes sociais</w:t>
                  </w:r>
                </w:p>
              </w:tc>
            </w:tr>
            <w:tr>
              <w:tc>
                <w:tcPr/>
                <w:p>
                  <w:pPr>
                    <w:pStyle w:val="Compact"/>
                    <w:jc w:val="center"/>
                  </w:pPr>
                  <w:r>
                    <w:t xml:space="preserve">C3 Desfecho</w:t>
                  </w:r>
                </w:p>
              </w:tc>
              <w:tc>
                <w:tcPr/>
                <w:p>
                  <w:pPr>
                    <w:pStyle w:val="Compact"/>
                    <w:jc w:val="center"/>
                  </w:pPr>
                  <w:r>
                    <w:t xml:space="preserve">Intenção de voto, escolha de voto ou votação agregada que permita comparar o apoio ao que a pesquisa mostra à frente com o apoio ao que mostra atrás; ou comparecimento real, validado, agregado ou intenção de comparecer</w:t>
                  </w:r>
                </w:p>
              </w:tc>
              <w:tc>
                <w:tcPr/>
                <w:p>
                  <w:pPr>
                    <w:pStyle w:val="Compact"/>
                    <w:jc w:val="center"/>
                  </w:pPr>
                  <w:r>
                    <w:t xml:space="preserve">Só avaliação ou simpatia, só expectativa de vitória, só busca de informação</w:t>
                  </w:r>
                </w:p>
              </w:tc>
            </w:tr>
            <w:tr>
              <w:tc>
                <w:tcPr/>
                <w:p>
                  <w:pPr>
                    <w:pStyle w:val="Compact"/>
                    <w:jc w:val="center"/>
                  </w:pPr>
                  <w:r>
                    <w:t xml:space="preserve">C4 Desenho</w:t>
                  </w:r>
                </w:p>
              </w:tc>
              <w:tc>
                <w:tcPr/>
                <w:p>
                  <w:pPr>
                    <w:pStyle w:val="Compact"/>
                    <w:jc w:val="center"/>
                  </w:pPr>
                  <w:r>
                    <w:t xml:space="preserve">Experimento aleatorizado (survey, laboratório, campo, online); experimento natural ou quase-experimento com variação identificada; painel individual com exposição medida antes do desfecho</w:t>
                  </w:r>
                </w:p>
              </w:tc>
              <w:tc>
                <w:tcPr/>
                <w:p>
                  <w:pPr>
                    <w:pStyle w:val="Compact"/>
                    <w:jc w:val="center"/>
                  </w:pPr>
                  <w:r>
                    <w:t xml:space="preserve">Observacional agregado sem variação identificada (</w:t>
                  </w:r>
                  <w:r>
                    <w:rPr>
                      <w:i/>
                      <w:iCs/>
                    </w:rPr>
                    <w:t xml:space="preserve">momentum</w:t>
                  </w:r>
                  <w:r>
                    <w:t xml:space="preserve"> </w:t>
                  </w:r>
                  <w:r>
                    <w:t xml:space="preserve">de pesquisas comparado ao resultado); percepção autodeclarada de influência; simulação; estudo qualitativo, normativo ou teórico</w:t>
                  </w:r>
                </w:p>
              </w:tc>
            </w:tr>
            <w:tr>
              <w:tc>
                <w:tcPr/>
                <w:p>
                  <w:pPr>
                    <w:pStyle w:val="Compact"/>
                    <w:jc w:val="center"/>
                  </w:pPr>
                  <w:r>
                    <w:t xml:space="preserve">C5 Estudo primário</w:t>
                  </w:r>
                </w:p>
              </w:tc>
              <w:tc>
                <w:tcPr/>
                <w:p>
                  <w:pPr>
                    <w:pStyle w:val="Compact"/>
                    <w:jc w:val="center"/>
                  </w:pPr>
                  <w:r>
                    <w:t xml:space="preserve">Estudo com análise própria de dados</w:t>
                  </w:r>
                </w:p>
              </w:tc>
              <w:tc>
                <w:tcPr/>
                <w:p>
                  <w:pPr>
                    <w:pStyle w:val="Compact"/>
                    <w:jc w:val="center"/>
                  </w:pPr>
                  <w:r>
                    <w:t xml:space="preserve">Revisões e meta-análises (usadas como sementes e fonte de âncoras)</w:t>
                  </w:r>
                </w:p>
              </w:tc>
            </w:tr>
            <w:tr>
              <w:tc>
                <w:tcPr/>
                <w:p>
                  <w:pPr>
                    <w:pStyle w:val="Compact"/>
                    <w:jc w:val="center"/>
                  </w:pPr>
                  <w:r>
                    <w:t xml:space="preserve">C6 Sem retratação</w:t>
                  </w:r>
                </w:p>
              </w:tc>
              <w:tc>
                <w:tcPr/>
                <w:p>
                  <w:pPr>
                    <w:pStyle w:val="Compact"/>
                    <w:jc w:val="center"/>
                  </w:pPr>
                  <w:r>
                    <w:t xml:space="preserve">Sem aviso de retratação</w:t>
                  </w:r>
                </w:p>
              </w:tc>
              <w:tc>
                <w:tcPr/>
                <w:p>
                  <w:pPr>
                    <w:pStyle w:val="Compact"/>
                    <w:jc w:val="center"/>
                  </w:pPr>
                  <w:r>
                    <w:t xml:space="preserve">Retratado</w:t>
                  </w:r>
                </w:p>
              </w:tc>
            </w:tr>
          </w:tbl>
          <w:bookmarkEnd w:id="16"/>
          <w:p/>
        </w:tc>
      </w:tr>
    </w:tbl>
    <w:p>
      <w:pPr>
        <w:pStyle w:val="BodyText"/>
      </w:pPr>
      <w:r>
        <w:t xml:space="preserve">Relatos publicados de 01/01/2010 até a data da última busca (ano de publicação do OpenAlex; ano de defesa na BDTD), sem restrição de idioma nem de status de publicação. A falta de dado numérico não excluía estudos: eles entravam pela direção ou eram listados. Texto não obtido foi registrado como não recuperado, nunca como excluído. Agrupamento para as sínteses: célula = família de exposição × construto × comparador × célula de alvo × classe de desenho (randomizado ou não randomizado), como detalhado em Métodos de síntese.</w:t>
      </w:r>
    </w:p>
    <w:bookmarkEnd w:id="17"/>
    <w:bookmarkStart w:id="19" w:name="fontes-de-informação-6"/>
    <w:p>
      <w:pPr>
        <w:pStyle w:val="Heading2"/>
      </w:pPr>
      <w:r>
        <w:t xml:space="preserve">Fontes de informação (6)</w:t>
      </w:r>
    </w:p>
    <w:tbl>
      <w:tblPr>
        <w:tblStyle w:val="Table"/>
        <w:tblW w:type="pct" w:w="5000"/>
        <w:tblLayout w:type="fixed"/>
        <w:tblLook w:firstRow="0" w:lastRow="0" w:firstColumn="0" w:lastColumn="0" w:noHBand="0" w:noVBand="0" w:val="0000"/>
      </w:tblPr>
      <w:tblGrid>
        <w:gridCol w:w="7920"/>
      </w:tblGrid>
      <w:tr>
        <w:tc>
          <w:tcPr/>
          <w:bookmarkStart w:id="18" w:name="tbl-fontes"/>
          <w:p>
            <w:pPr>
              <w:jc w:val="center"/>
            </w:pPr>
            <w:pPr>
              <w:jc w:val="left"/>
              <w:spacing w:before="200"/>
              <w:pStyle w:val="ImageCaption"/>
            </w:pPr>
            <w:r>
              <w:t xml:space="preserve">Tabela 2: Fontes consultadas.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Fonte (plataforma)</w:t>
                  </w:r>
                </w:p>
              </w:tc>
              <w:tc>
                <w:tcPr/>
                <w:p>
                  <w:pPr>
                    <w:pStyle w:val="Compact"/>
                    <w:jc w:val="center"/>
                  </w:pPr>
                  <w:r>
                    <w:t xml:space="preserve">Data da última consulta</w:t>
                  </w:r>
                </w:p>
              </w:tc>
            </w:tr>
            <w:tr>
              <w:tc>
                <w:tcPr/>
                <w:p>
                  <w:pPr>
                    <w:pStyle w:val="Compact"/>
                    <w:jc w:val="center"/>
                  </w:pPr>
                  <w:r>
                    <w:t xml:space="preserve">OpenAlex, estratégia em inglês, B05 (API, título e resumo)</w:t>
                  </w:r>
                </w:p>
              </w:tc>
              <w:tc>
                <w:tcPr/>
                <w:p>
                  <w:pPr>
                    <w:pStyle w:val="Compact"/>
                    <w:jc w:val="center"/>
                  </w:pPr>
                  <w:r>
                    <w:t xml:space="preserve">19/09/2026</w:t>
                  </w:r>
                </w:p>
              </w:tc>
            </w:tr>
            <w:tr>
              <w:tc>
                <w:tcPr/>
                <w:p>
                  <w:pPr>
                    <w:pStyle w:val="Compact"/>
                    <w:jc w:val="center"/>
                  </w:pPr>
                  <w:r>
                    <w:t xml:space="preserve">OpenAlex, estratégia em português, B02 (API, título e resumo)</w:t>
                  </w:r>
                </w:p>
              </w:tc>
              <w:tc>
                <w:tcPr/>
                <w:p>
                  <w:pPr>
                    <w:pStyle w:val="Compact"/>
                    <w:jc w:val="center"/>
                  </w:pPr>
                  <w:r>
                    <w:t xml:space="preserve">19/09/2026</w:t>
                  </w:r>
                </w:p>
              </w:tc>
            </w:tr>
            <w:tr>
              <w:tc>
                <w:tcPr/>
                <w:p>
                  <w:pPr>
                    <w:pStyle w:val="Compact"/>
                    <w:jc w:val="center"/>
                  </w:pPr>
                  <w:r>
                    <w:t xml:space="preserve">OpenAlex, estratégia em espanhol, B03 (API, título e resumo)</w:t>
                  </w:r>
                </w:p>
              </w:tc>
              <w:tc>
                <w:tcPr/>
                <w:p>
                  <w:pPr>
                    <w:pStyle w:val="Compact"/>
                    <w:jc w:val="center"/>
                  </w:pPr>
                  <w:r>
                    <w:t xml:space="preserve">19/09/2026</w:t>
                  </w:r>
                </w:p>
              </w:tc>
            </w:tr>
            <w:tr>
              <w:tc>
                <w:tcPr/>
                <w:p>
                  <w:pPr>
                    <w:pStyle w:val="Compact"/>
                    <w:jc w:val="center"/>
                  </w:pPr>
                  <w:r>
                    <w:t xml:space="preserve">BDTD, IBICT, B04 (API VuFind, todos os campos)</w:t>
                  </w:r>
                </w:p>
              </w:tc>
              <w:tc>
                <w:tcPr/>
                <w:p>
                  <w:pPr>
                    <w:pStyle w:val="Compact"/>
                    <w:jc w:val="center"/>
                  </w:pPr>
                  <w:r>
                    <w:t xml:space="preserve">19/09/2026</w:t>
                  </w:r>
                </w:p>
              </w:tc>
            </w:tr>
            <w:tr>
              <w:tc>
                <w:tcPr/>
                <w:p>
                  <w:pPr>
                    <w:pStyle w:val="Compact"/>
                    <w:jc w:val="center"/>
                  </w:pPr>
                  <w:r>
                    <w:t xml:space="preserve">Busca por citação para trás e para frente no OpenAlex, SN1 (38 sementes)</w:t>
                  </w:r>
                </w:p>
              </w:tc>
              <w:tc>
                <w:tcPr/>
                <w:p>
                  <w:pPr>
                    <w:pStyle w:val="Compact"/>
                    <w:jc w:val="center"/>
                  </w:pPr>
                  <w:r>
                    <w:t xml:space="preserve">19/09/2026</w:t>
                  </w:r>
                </w:p>
              </w:tc>
            </w:tr>
            <w:tr>
              <w:tc>
                <w:tcPr/>
                <w:p>
                  <w:pPr>
                    <w:pStyle w:val="Compact"/>
                    <w:jc w:val="center"/>
                  </w:pPr>
                  <w:r>
                    <w:t xml:space="preserve">Busca por citação no OpenAlex, SN2 (12 sementes)</w:t>
                  </w:r>
                </w:p>
              </w:tc>
              <w:tc>
                <w:tcPr/>
                <w:p>
                  <w:pPr>
                    <w:pStyle w:val="Compact"/>
                    <w:jc w:val="center"/>
                  </w:pPr>
                  <w:r>
                    <w:t xml:space="preserve">20/09/2026</w:t>
                  </w:r>
                </w:p>
              </w:tc>
            </w:tr>
            <w:tr>
              <w:tc>
                <w:tcPr/>
                <w:p>
                  <w:pPr>
                    <w:pStyle w:val="Compact"/>
                    <w:jc w:val="center"/>
                  </w:pPr>
                  <w:r>
                    <w:t xml:space="preserve">Busca por citação no OpenAlex, SN3 (3 sementes)</w:t>
                  </w:r>
                </w:p>
              </w:tc>
              <w:tc>
                <w:tcPr/>
                <w:p>
                  <w:pPr>
                    <w:pStyle w:val="Compact"/>
                    <w:jc w:val="center"/>
                  </w:pPr>
                  <w:r>
                    <w:t xml:space="preserve">20/09/2026</w:t>
                  </w:r>
                </w:p>
              </w:tc>
            </w:tr>
          </w:tbl>
          <w:bookmarkEnd w:id="18"/>
          <w:p/>
        </w:tc>
      </w:tr>
    </w:tbl>
    <w:p>
      <w:pPr>
        <w:pStyle w:val="BodyText"/>
      </w:pPr>
      <w:r>
        <w:t xml:space="preserve">A busca B01 (OpenAlex em inglês, estratégia S-oa-en-v4, 1.235 registros) foi substituída pela B05 depois do teste de recall (E002) e ficou fora dos identificados. Não houve busca em WoS, Scopus, SciELO nem em literatura cinzenta por sites, e não houve contato com autores (atalhos A1 e A5). As sementes da bola de neve foram os incluídos no texto completo e as revisões achadas na checagem de revisões existentes. Na triagem complementar da Emenda 6b, os resumos dos registros sem resumo foram procurados em fontes legítimas, nesta ordem: OpenAlex, Crossref, Semantic Scholar, Europe PMC e metadados da página do DOI.</w:t>
      </w:r>
    </w:p>
    <w:bookmarkEnd w:id="19"/>
    <w:bookmarkStart w:id="20" w:name="estratégia-de-busca-7"/>
    <w:p>
      <w:pPr>
        <w:pStyle w:val="Heading2"/>
      </w:pPr>
      <w:r>
        <w:t xml:space="preserve">Estratégia de busca (7)</w:t>
      </w:r>
    </w:p>
    <w:p>
      <w:pPr>
        <w:pStyle w:val="FirstParagraph"/>
      </w:pPr>
      <w:r>
        <w:t xml:space="preserve">Estratégias completas, exatamente como executadas, no apêndice (PRISMA-S). A estratégia tem quatro fios unidos por OR: pesquisa ou projeção com efeito nomeado (</w:t>
      </w:r>
      <w:r>
        <w:rPr>
          <w:i/>
          <w:iCs/>
        </w:rPr>
        <w:t xml:space="preserve">bandwagon</w:t>
      </w:r>
      <w:r>
        <w:t xml:space="preserve"> </w:t>
      </w:r>
      <w:r>
        <w:t xml:space="preserve">ou</w:t>
      </w:r>
      <w:r>
        <w:t xml:space="preserve"> </w:t>
      </w:r>
      <w:r>
        <w:rPr>
          <w:i/>
          <w:iCs/>
        </w:rPr>
        <w:t xml:space="preserve">underdog</w:t>
      </w:r>
      <w:r>
        <w:t xml:space="preserve">); survey eleitoral com efeito nomeado; frases de exposição a resultado de pesquisa com frases de desfecho de voto; e frases de exposição com comparecimento. No OpenAlex, a busca usou o campo título e resumo, com filtro de ano de publicação de 2008 a 2026 (margem de dois anos; a exclusão efetiva pelo ano de 2010 foi feita pelo funil formal); na BDTD, todos os campos, sem limite. Uma pré-revisão PRESS 2015 por subagente (atalho A4) levou à versão S-oa-en-v4 (E001). A validação por âncoras (19 âncoras montadas por subagente isolado, a partir das referências de</w:t>
      </w:r>
      <w:r>
        <w:t xml:space="preserve"> </w:t>
      </w:r>
      <w:r>
        <w:t xml:space="preserve">Moy e Rinke (2012)</w:t>
      </w:r>
      <w:r>
        <w:t xml:space="preserve"> </w:t>
      </w:r>
      <w:r>
        <w:t xml:space="preserve">e</w:t>
      </w:r>
      <w:r>
        <w:t xml:space="preserve"> </w:t>
      </w:r>
      <w:r>
        <w:t xml:space="preserve">Barnfield (2019)</w:t>
      </w:r>
      <w:r>
        <w:t xml:space="preserve"> </w:t>
      </w:r>
      <w:r>
        <w:t xml:space="preserve">e das citações para frente de</w:t>
      </w:r>
      <w:r>
        <w:t xml:space="preserve"> </w:t>
      </w:r>
      <w:r>
        <w:t xml:space="preserve">Hardmeier (2008)</w:t>
      </w:r>
      <w:r>
        <w:t xml:space="preserve">) recuperou 15 de 19 na S-oa-en-v4 (0,79; IC 95% 0,54 a 0,94), com 4 de 8 âncoras independentes; a estratégia foi ampliada (S-oa-en-v5) e recuperou 19 de 19 (1,00; IC 95% 0,82 a 1,00). Como as 4 âncoras perdidas orientaram a correção, esse recall final não é evidência independente de sensibilidade. Não houve âncora em português ou espanhol, e B02 a B04 ficaram sem validação de recall. Em 23/09/2026, um subagente (</w:t>
      </w:r>
      <w:r>
        <w:rPr>
          <w:rStyle w:val="VerbatimChar"/>
        </w:rPr>
        <w:t xml:space="preserve">claude-opus-5-5</w:t>
      </w:r>
      <w:r>
        <w:t xml:space="preserve">) fez nova pré-revisão por IA, agora da estratégia ativa S-oa-en-v5 e das estratégias em português, espanhol e da BDTD (</w:t>
      </w:r>
      <w:r>
        <w:rPr>
          <w:rStyle w:val="VerbatimChar"/>
        </w:rPr>
        <w:t xml:space="preserve">08-revisao-humana/P001_press/prepress_S-oa-en-v5_ia.md</w:t>
      </w:r>
      <w:r>
        <w:t xml:space="preserve">); ela não substitui o PRESS humano (pendência P001), e suas lacunas estão em Limitações do processo. Outros métodos: três rodadas de busca por citação para trás e para frente (SN1 a SN3), re-triadas com os mesmos critérios.</w:t>
      </w:r>
    </w:p>
    <w:bookmarkEnd w:id="20"/>
    <w:bookmarkStart w:id="21" w:name="processo-de-seleção-8"/>
    <w:p>
      <w:pPr>
        <w:pStyle w:val="Heading2"/>
      </w:pPr>
      <w:r>
        <w:t xml:space="preserve">Processo de seleção (8)</w:t>
      </w:r>
    </w:p>
    <w:p>
      <w:pPr>
        <w:pStyle w:val="FirstParagraph"/>
      </w:pPr>
      <w:r>
        <w:t xml:space="preserve">Depois da deduplicação e do filtro determinístico por ano de publicação, dois revisores de IA independentes (A =</w:t>
      </w:r>
      <w:r>
        <w:t xml:space="preserve"> </w:t>
      </w:r>
      <w:r>
        <w:rPr>
          <w:rStyle w:val="VerbatimChar"/>
        </w:rPr>
        <w:t xml:space="preserve">claude-sonnet-5</w:t>
      </w:r>
      <w:r>
        <w:t xml:space="preserve">; B =</w:t>
      </w:r>
      <w:r>
        <w:t xml:space="preserve"> </w:t>
      </w:r>
      <w:r>
        <w:rPr>
          <w:rStyle w:val="VerbatimChar"/>
        </w:rPr>
        <w:t xml:space="preserve">claude-opus-5</w:t>
      </w:r>
      <w:r>
        <w:t xml:space="preserve">) triaram títulos e resumos em lotes de 25 registros, com os critérios versionados</w:t>
      </w:r>
      <w:r>
        <w:t xml:space="preserve"> </w:t>
      </w:r>
      <w:r>
        <w:rPr>
          <w:rStyle w:val="VerbatimChar"/>
        </w:rPr>
        <w:t xml:space="preserve">02-triagem/prompts/ta_v1.md</w:t>
      </w:r>
      <w:r>
        <w:t xml:space="preserve"> </w:t>
      </w:r>
      <w:r>
        <w:t xml:space="preserve">(sha256</w:t>
      </w:r>
      <w:r>
        <w:t xml:space="preserve"> </w:t>
      </w:r>
      <w:r>
        <w:rPr>
          <w:rStyle w:val="VerbatimChar"/>
        </w:rPr>
        <w:t xml:space="preserve">cd9cbfe00d4e4e45</w:t>
      </w:r>
      <w:r>
        <w:t xml:space="preserve">). A consolidação seguiu a regra liberal: bastava um revisor incluir ou marcar incerto para o registro seguir ao texto completo. As divergências (81 ao fim das rodadas) ficaram na fila humana só para relato, sem arbitragem; para ajudar a decisão humana, um terceiro leitor de IA (</w:t>
      </w:r>
      <w:r>
        <w:rPr>
          <w:rStyle w:val="VerbatimChar"/>
        </w:rPr>
        <w:t xml:space="preserve">claude-opus-5-5</w:t>
      </w:r>
      <w:r>
        <w:t xml:space="preserve">), sem ver os pareceres, sugeriu excluir 47 e marcar 34 como incertos (</w:t>
      </w:r>
      <w:r>
        <w:rPr>
          <w:rStyle w:val="VerbatimChar"/>
        </w:rPr>
        <w:t xml:space="preserve">08-revisao-humana/P020_triagem/</w:t>
      </w:r>
      <w:r>
        <w:t xml:space="preserve">), sem efeito no fluxo.</w:t>
      </w:r>
    </w:p>
    <w:p>
      <w:pPr>
        <w:pStyle w:val="BodyText"/>
      </w:pPr>
      <w:r>
        <w:rPr>
          <w:b/>
          <w:bCs/>
        </w:rPr>
        <w:t xml:space="preserve">Registros sem resumo (Emenda 6).</w:t>
      </w:r>
      <w:r>
        <w:t xml:space="preserve"> </w:t>
      </w:r>
      <w:r>
        <w:t xml:space="preserve">Na primeira rodada, 336 registros sem resumo receberam dos dois triadores de IA uma proposta de exclusão pelo título, registrada no ledger como decisão conferida e assumida pelo</w:t>
      </w:r>
      <w:r>
        <w:t xml:space="preserve"> </w:t>
      </w:r>
      <w:r>
        <w:rPr>
          <w:rStyle w:val="VerbatimChar"/>
        </w:rPr>
        <w:t xml:space="preserve">revisor_humano_1</w:t>
      </w:r>
      <w:r>
        <w:t xml:space="preserve">. Em 23/09/2026 o revisor declarou que não as conferiu (Emenda 6a) e decidiu que nenhum registro seria excluído só pelo título (Emenda 6b). Os 336 passaram por uma triagem complementar feita só por IA, cuja conferência humana o revisor dispensou. O resumo foi recuperado em fontes legítimas para 172 registros (3 deles só com o resumo automático de uma frase do Semantic Scholar, que não serve de base para exclusão), e 164 ficaram sem resumo. Dois triadores independentes (A =</w:t>
      </w:r>
      <w:r>
        <w:t xml:space="preserve"> </w:t>
      </w:r>
      <w:r>
        <w:rPr>
          <w:rStyle w:val="VerbatimChar"/>
        </w:rPr>
        <w:t xml:space="preserve">claude-sonnet-5</w:t>
      </w:r>
      <w:r>
        <w:t xml:space="preserve">; B =</w:t>
      </w:r>
      <w:r>
        <w:t xml:space="preserve"> </w:t>
      </w:r>
      <w:r>
        <w:rPr>
          <w:rStyle w:val="VerbatimChar"/>
        </w:rPr>
        <w:t xml:space="preserve">claude-opus-5-5</w:t>
      </w:r>
      <w:r>
        <w:t xml:space="preserve">) aplicaram os critérios congelados da</w:t>
      </w:r>
      <w:r>
        <w:t xml:space="preserve"> </w:t>
      </w:r>
      <w:r>
        <w:rPr>
          <w:rStyle w:val="VerbatimChar"/>
        </w:rPr>
        <w:t xml:space="preserve">ta_v1</w:t>
      </w:r>
      <w:r>
        <w:t xml:space="preserve">, sem mudança, com a mesma regra liberal: um registro só era excluído se os dois excluíssem, cada um com critério e trecho literal do resumo recuperado. Resultado: 156 exclusões e 180 registros enviados ao texto completo (164 sem resumo e 16 com resumo em que ao menos um triador não excluiu). As decisões entraram no ledger por</w:t>
      </w:r>
      <w:r>
        <w:t xml:space="preserve"> </w:t>
      </w:r>
      <w:r>
        <w:rPr>
          <w:rStyle w:val="VerbatimChar"/>
        </w:rPr>
        <w:t xml:space="preserve">triagem override --por ia_coordenador_emenda6</w:t>
      </w:r>
      <w:r>
        <w:t xml:space="preserve">, único caminho do</w:t>
      </w:r>
      <w:r>
        <w:t xml:space="preserve"> </w:t>
      </w:r>
      <w:r>
        <w:rPr>
          <w:rStyle w:val="VerbatimChar"/>
        </w:rPr>
        <w:t xml:space="preserve">rs.py</w:t>
      </w:r>
      <w:r>
        <w:t xml:space="preserve"> </w:t>
      </w:r>
      <w:r>
        <w:t xml:space="preserve">para substituir as linhas antigas (</w:t>
      </w:r>
      <w:r>
        <w:rPr>
          <w:rStyle w:val="VerbatimChar"/>
        </w:rPr>
        <w:t xml:space="preserve">02-triagem/sem_resumo_revisao/</w:t>
      </w:r>
      <w:r>
        <w:t xml:space="preserve">).</w:t>
      </w:r>
    </w:p>
    <w:p>
      <w:pPr>
        <w:pStyle w:val="BodyText"/>
      </w:pPr>
      <w:r>
        <w:rPr>
          <w:b/>
          <w:bCs/>
        </w:rPr>
        <w:t xml:space="preserve">Texto completo.</w:t>
      </w:r>
      <w:r>
        <w:t xml:space="preserve"> </w:t>
      </w:r>
      <w:r>
        <w:t xml:space="preserve">Um subagente por PDF propôs a elegibilidade com trecho literal e página, conferidos pelo verificador de citações da skill</w:t>
      </w:r>
      <w:r>
        <w:t xml:space="preserve"> </w:t>
      </w:r>
      <w:r>
        <w:rPr>
          <w:rStyle w:val="VerbatimChar"/>
        </w:rPr>
        <w:t xml:space="preserve">fichamento-sistematico</w:t>
      </w:r>
      <w:r>
        <w:t xml:space="preserve">. Os casos incertos e limítrofes do primeiro fluxo foram decididos pelo</w:t>
      </w:r>
      <w:r>
        <w:t xml:space="preserve"> </w:t>
      </w:r>
      <w:r>
        <w:rPr>
          <w:rStyle w:val="VerbatimChar"/>
        </w:rPr>
        <w:t xml:space="preserve">revisor_humano_1</w:t>
      </w:r>
      <w:r>
        <w:t xml:space="preserve"> </w:t>
      </w:r>
      <w:r>
        <w:t xml:space="preserve">(17 decisões, Emenda 6a); em 3 casos, a IA estendeu a caso novo uma regra que o revisor tinha decidido para outro grupo, sem conferência humana. As 165 decisões propostas a partir das fichas (47 de inclusão e 118 de exclusão) aguardam conferência humana (P041). Relatos do mesmo estudo foram ligados antes da extração, e as retratações foram checadas no OpenAlex e na Crossref (nenhuma entre os 55 relatos incluídos).</w:t>
      </w:r>
    </w:p>
    <w:p>
      <w:pPr>
        <w:pStyle w:val="BodyText"/>
      </w:pPr>
      <w:r>
        <w:rPr>
          <w:b/>
          <w:bCs/>
        </w:rPr>
        <w:t xml:space="preserve">Automação e validação.</w:t>
      </w:r>
      <w:r>
        <w:t xml:space="preserve"> </w:t>
      </w:r>
      <w:r>
        <w:t xml:space="preserve">Ferramentas de automação: subagentes de IA do Claude Code (modelos acima), filtro de ano e deduplicação por script. Validação humana: recall NR (IC 95% NR) e κ NR, porque a amostra de validação (141 registros) e a de elusão (300 registros) foram preparadas, mas não codificadas por humanos (P006 e P007). Como medidas de consistência, e não de acurácia, a concordância entre A e B na primeira onda foi 0,97 (κ 0,90; PABAK 0,94), e a re-triagem de 158 registros deu κ 0,93 para A (3 mudanças de seguimento, absorvidas pela regra liberal) e κ 1,00 para B. Nenhuma âncora de validação foi excluída pela triagem de IA.</w:t>
      </w:r>
    </w:p>
    <w:bookmarkEnd w:id="21"/>
    <w:bookmarkStart w:id="22" w:name="processo-de-coleta-de-dados-9"/>
    <w:p>
      <w:pPr>
        <w:pStyle w:val="Heading2"/>
      </w:pPr>
      <w:r>
        <w:t xml:space="preserve">Processo de coleta de dados (9)</w:t>
      </w:r>
    </w:p>
    <w:p>
      <w:pPr>
        <w:pStyle w:val="FirstParagraph"/>
      </w:pPr>
      <w:r>
        <w:t xml:space="preserve">A extração usou o codebook</w:t>
      </w:r>
      <w:r>
        <w:t xml:space="preserve"> </w:t>
      </w:r>
      <w:r>
        <w:rPr>
          <w:rStyle w:val="VerbatimChar"/>
        </w:rPr>
        <w:t xml:space="preserve">00-protocolo/codebook_v0_efetividade.csv</w:t>
      </w:r>
      <w:r>
        <w:t xml:space="preserve">, com variáveis próprias desta literatura (</w:t>
      </w:r>
      <w:r>
        <w:rPr>
          <w:rStyle w:val="VerbatimChar"/>
        </w:rPr>
        <w:t xml:space="preserve">regiao</w:t>
      </w:r>
      <w:r>
        <w:t xml:space="preserve">,</w:t>
      </w:r>
      <w:r>
        <w:t xml:space="preserve"> </w:t>
      </w:r>
      <w:r>
        <w:rPr>
          <w:rStyle w:val="VerbatimChar"/>
        </w:rPr>
        <w:t xml:space="preserve">tipo_eleicao</w:t>
      </w:r>
      <w:r>
        <w:t xml:space="preserve">,</w:t>
      </w:r>
      <w:r>
        <w:t xml:space="preserve"> </w:t>
      </w:r>
      <w:r>
        <w:rPr>
          <w:rStyle w:val="VerbatimChar"/>
        </w:rPr>
        <w:t xml:space="preserve">sistema_eleitoral</w:t>
      </w:r>
      <w:r>
        <w:t xml:space="preserve">,</w:t>
      </w:r>
      <w:r>
        <w:t xml:space="preserve"> </w:t>
      </w:r>
      <w:r>
        <w:rPr>
          <w:rStyle w:val="VerbatimChar"/>
        </w:rPr>
        <w:t xml:space="preserve">voto_obrigatorio</w:t>
      </w:r>
      <w:r>
        <w:t xml:space="preserve">,</w:t>
      </w:r>
      <w:r>
        <w:t xml:space="preserve"> </w:t>
      </w:r>
      <w:r>
        <w:rPr>
          <w:rStyle w:val="VerbatimChar"/>
        </w:rPr>
        <w:t xml:space="preserve">desenho_fino</w:t>
      </w:r>
      <w:r>
        <w:t xml:space="preserve">,</w:t>
      </w:r>
      <w:r>
        <w:t xml:space="preserve"> </w:t>
      </w:r>
      <w:r>
        <w:rPr>
          <w:rStyle w:val="VerbatimChar"/>
        </w:rPr>
        <w:t xml:space="preserve">realismo_contexto</w:t>
      </w:r>
      <w:r>
        <w:t xml:space="preserve">,</w:t>
      </w:r>
      <w:r>
        <w:t xml:space="preserve"> </w:t>
      </w:r>
      <w:r>
        <w:rPr>
          <w:rStyle w:val="VerbatimChar"/>
        </w:rPr>
        <w:t xml:space="preserve">ano_eleicao</w:t>
      </w:r>
      <w:r>
        <w:t xml:space="preserve">,</w:t>
      </w:r>
      <w:r>
        <w:t xml:space="preserve"> </w:t>
      </w:r>
      <w:r>
        <w:rPr>
          <w:rStyle w:val="VerbatimChar"/>
        </w:rPr>
        <w:t xml:space="preserve">comparador_tipo</w:t>
      </w:r>
      <w:r>
        <w:t xml:space="preserve">,</w:t>
      </w:r>
      <w:r>
        <w:t xml:space="preserve"> </w:t>
      </w:r>
      <w:r>
        <w:rPr>
          <w:rStyle w:val="VerbatimChar"/>
        </w:rPr>
        <w:t xml:space="preserve">alvo_efeito</w:t>
      </w:r>
      <w:r>
        <w:t xml:space="preserve">,</w:t>
      </w:r>
      <w:r>
        <w:t xml:space="preserve"> </w:t>
      </w:r>
      <w:r>
        <w:rPr>
          <w:rStyle w:val="VerbatimChar"/>
        </w:rPr>
        <w:t xml:space="preserve">ajuste_mediador</w:t>
      </w:r>
      <w:r>
        <w:t xml:space="preserve">, entre outras). Um piloto com três estudos de desenhos diferentes (</w:t>
      </w:r>
      <w:r>
        <w:t xml:space="preserve">Meer et al. (2015)</w:t>
      </w:r>
      <w:r>
        <w:t xml:space="preserve">,</w:t>
      </w:r>
      <w:r>
        <w:t xml:space="preserve"> </w:t>
      </w:r>
      <w:r>
        <w:t xml:space="preserve">Klor e Winter (2017)</w:t>
      </w:r>
      <w:r>
        <w:t xml:space="preserve"> </w:t>
      </w:r>
      <w:r>
        <w:t xml:space="preserve">e</w:t>
      </w:r>
      <w:r>
        <w:t xml:space="preserve"> </w:t>
      </w:r>
      <w:r>
        <w:t xml:space="preserve">Araujo e Gatto (2021b)</w:t>
      </w:r>
      <w:r>
        <w:t xml:space="preserve">) levou à Emenda 2, decidida pelo coordenador de IA, e não pelo revisor humano (Emenda 6a). Na rodada completa, um subagente</w:t>
      </w:r>
      <w:r>
        <w:t xml:space="preserve"> </w:t>
      </w:r>
      <w:r>
        <w:rPr>
          <w:rStyle w:val="VerbatimChar"/>
        </w:rPr>
        <w:t xml:space="preserve">claude-opus-5</w:t>
      </w:r>
      <w:r>
        <w:t xml:space="preserve"> </w:t>
      </w:r>
      <w:r>
        <w:t xml:space="preserve">por texto preencheu a ficha, com trecho literal e página para cada variável, conferidos pelo verificador de citações; as citações reprovadas foram corrigidas pelo coordenador contra a camada de texto do PDF. Os dados de efeito foram extraídos por subagentes com trecho e página e conferidos por script. Na versão atual, são 560 efeitos de 40 estudos: 560 trechos localizados, nenhum erro de plausibilidade e 32 avisos de |g| &gt; 2 para conferência. Variáveis faltantes para a conversão e alvos ambíguos foram complementados por subagentes Opus, com trecho e página. Um segundo subagente (</w:t>
      </w:r>
      <w:r>
        <w:rPr>
          <w:rStyle w:val="VerbatimChar"/>
        </w:rPr>
        <w:t xml:space="preserve">claude-sonnet-5</w:t>
      </w:r>
      <w:r>
        <w:t xml:space="preserve">) recodificou às cegas 10 estudos sorteados; para as 259 divergências, um terceiro leitor de IA (</w:t>
      </w:r>
      <w:r>
        <w:rPr>
          <w:rStyle w:val="VerbatimChar"/>
        </w:rPr>
        <w:t xml:space="preserve">claude-opus-5-5</w:t>
      </w:r>
      <w:r>
        <w:t xml:space="preserve">) sugeriu o valor sustentado pelo texto, sem aplicar nada (</w:t>
      </w:r>
      <w:r>
        <w:rPr>
          <w:rStyle w:val="VerbatimChar"/>
        </w:rPr>
        <w:t xml:space="preserve">08-revisao-humana/P037_concordancia/</w:t>
      </w:r>
      <w:r>
        <w:t xml:space="preserve">).</w:t>
      </w:r>
    </w:p>
    <w:p>
      <w:pPr>
        <w:pStyle w:val="BodyText"/>
      </w:pPr>
      <w:r>
        <w:rPr>
          <w:b/>
          <w:bCs/>
        </w:rPr>
        <w:t xml:space="preserve">Reextração cega e arbitragem dos efeitos principais (23 e 24/09/2026).</w:t>
      </w:r>
      <w:r>
        <w:t xml:space="preserve"> </w:t>
      </w:r>
      <w:r>
        <w:t xml:space="preserve">Para preparar a conferência humana dos efeitos (P039), um subagente</w:t>
      </w:r>
      <w:r>
        <w:t xml:space="preserve"> </w:t>
      </w:r>
      <w:r>
        <w:rPr>
          <w:rStyle w:val="VerbatimChar"/>
        </w:rPr>
        <w:t xml:space="preserve">claude-opus-5-5</w:t>
      </w:r>
      <w:r>
        <w:t xml:space="preserve"> </w:t>
      </w:r>
      <w:r>
        <w:t xml:space="preserve">reextraiu às cegas, sem ver a extração original, os efeitos do modelo principal dos 40 estudos com dados (</w:t>
      </w:r>
      <w:r>
        <w:rPr>
          <w:rStyle w:val="VerbatimChar"/>
        </w:rPr>
        <w:t xml:space="preserve">08-revisao-humana/efeitos/prompt_reextracao_cega.md</w:t>
      </w:r>
      <w:r>
        <w:t xml:space="preserve">). Um script comparou as duas extrações nos 56 efeitos principais originais: 15 concordaram, 23 tinham o mesmo valor com classificação diferente, 12 tinham outro valor principal e 6 tinham sinal diferente. Nos 28 estudos com divergência, um árbitro de IA (</w:t>
      </w:r>
      <w:r>
        <w:rPr>
          <w:rStyle w:val="VerbatimChar"/>
        </w:rPr>
        <w:t xml:space="preserve">claude-opus-5-5</w:t>
      </w:r>
      <w:r>
        <w:t xml:space="preserve">, um PDF por agente) decidiu pelo texto e pelas convenções do projeto, com trecho e página (</w:t>
      </w:r>
      <w:r>
        <w:rPr>
          <w:rStyle w:val="VerbatimChar"/>
        </w:rPr>
        <w:t xml:space="preserve">08-revisao-humana/efeitos/arbitragem/</w:t>
      </w:r>
      <w:r>
        <w:t xml:space="preserve">). O coordenador aplicou 772 correções (</w:t>
      </w:r>
      <w:r>
        <w:rPr>
          <w:rStyle w:val="VerbatimChar"/>
        </w:rPr>
        <w:t xml:space="preserve">05-decomposicao/correcoes_sessao_2026-09-23.csv</w:t>
      </w:r>
      <w:r>
        <w:t xml:space="preserve">): 531 propostas diretamente pelo árbitro, 240 extensões da recomendação do árbitro a linhas análogas do mesmo estudo e 1 do próprio coordenador. Outras 41 propostas não foram aplicadas (</w:t>
      </w:r>
      <w:r>
        <w:rPr>
          <w:rStyle w:val="VerbatimChar"/>
        </w:rPr>
        <w:t xml:space="preserve">08-revisao-humana/efeitos/aplicacao_arbitragem.csv</w:t>
      </w:r>
      <w:r>
        <w:t xml:space="preserve">): 40 trocas do estimando de diferença em diferenças em</w:t>
      </w:r>
      <w:r>
        <w:t xml:space="preserve"> </w:t>
      </w:r>
      <w:r>
        <w:t xml:space="preserve">Morton et al. (2015)</w:t>
      </w:r>
      <w:r>
        <w:t xml:space="preserve">, que vinham de um erro do prompt do árbitro e foram barradas antes da aplicação, e 1 sugestão de sistema eleitoral para</w:t>
      </w:r>
      <w:r>
        <w:t xml:space="preserve"> </w:t>
      </w:r>
      <w:r>
        <w:t xml:space="preserve">Brugarolas e Miller (2021)</w:t>
      </w:r>
      <w:r>
        <w:t xml:space="preserve"> </w:t>
      </w:r>
      <w:r>
        <w:t xml:space="preserve">baseada em conhecimento externo. Qualquer correção derruba</w:t>
      </w:r>
      <w:r>
        <w:t xml:space="preserve"> </w:t>
      </w:r>
      <w:r>
        <w:rPr>
          <w:rStyle w:val="VerbatimChar"/>
        </w:rPr>
        <w:t xml:space="preserve">verificado_humano</w:t>
      </w:r>
      <w:r>
        <w:t xml:space="preserve">, e nenhum efeito foi conferido por humano na página do texto completo (P039, 560 efeitos). Não houve contato com autores (atalho A5).</w:t>
      </w:r>
    </w:p>
    <w:bookmarkEnd w:id="22"/>
    <w:bookmarkStart w:id="23" w:name="itens-de-dados-10a-10b"/>
    <w:p>
      <w:pPr>
        <w:pStyle w:val="Heading2"/>
      </w:pPr>
      <w:r>
        <w:t xml:space="preserve">Itens de dados (10a, 10b)</w:t>
      </w:r>
    </w:p>
    <w:p>
      <w:pPr>
        <w:pStyle w:val="FirstParagraph"/>
      </w:pPr>
      <w:r>
        <w:t xml:space="preserve">Desfechos:</w:t>
      </w:r>
      <w:r>
        <w:t xml:space="preserve"> </w:t>
      </w:r>
      <w:r>
        <w:rPr>
          <w:rStyle w:val="VerbatimChar"/>
        </w:rPr>
        <w:t xml:space="preserve">apoio_ao_lider</w:t>
      </w:r>
      <w:r>
        <w:t xml:space="preserve"> </w:t>
      </w:r>
      <w:r>
        <w:t xml:space="preserve">(intenção de voto, escolha declarada, escolha incentivada em experimento ou votação agregada do candidato, partido ou opção que a pesquisa mostra à frente) e</w:t>
      </w:r>
      <w:r>
        <w:t xml:space="preserve"> </w:t>
      </w:r>
      <w:r>
        <w:rPr>
          <w:rStyle w:val="VerbatimChar"/>
        </w:rPr>
        <w:t xml:space="preserve">mobilizacao</w:t>
      </w:r>
      <w:r>
        <w:t xml:space="preserve"> </w:t>
      </w:r>
      <w:r>
        <w:t xml:space="preserve">(comparecimento declarado, validado ou agregado, ou intenção de comparecer). O alvo do efeito foi registrado por linha: a célula principal de</w:t>
      </w:r>
      <w:r>
        <w:t xml:space="preserve"> </w:t>
      </w:r>
      <w:r>
        <w:rPr>
          <w:rStyle w:val="VerbatimChar"/>
        </w:rPr>
        <w:t xml:space="preserve">apoio_ao_lider</w:t>
      </w:r>
      <w:r>
        <w:t xml:space="preserve"> </w:t>
      </w:r>
      <w:r>
        <w:t xml:space="preserve">recebeu só efeitos sobre quem a pesquisa mostra à frente (líder, opção de referendo) ou atrás (azarão, com sinal invertido). Efeitos sobre o segundo viável, o terceiro inviável ou o partido perto da cláusula de barreira formaram a célula de viabilidade, e efeitos de ganho ou perda de apoio sem posição mostrada formaram a célula de</w:t>
      </w:r>
      <w:r>
        <w:t xml:space="preserve"> </w:t>
      </w:r>
      <w:r>
        <w:rPr>
          <w:i/>
          <w:iCs/>
        </w:rPr>
        <w:t xml:space="preserve">momentum</w:t>
      </w:r>
      <w:r>
        <w:t xml:space="preserve"> </w:t>
      </w:r>
      <w:r>
        <w:t xml:space="preserve">(Emenda 4b;</w:t>
      </w:r>
      <w:r>
        <w:t xml:space="preserve"> </w:t>
      </w:r>
      <w:r>
        <w:t xml:space="preserve">Dahlgaard et al. (2016)</w:t>
      </w:r>
      <w:r>
        <w:t xml:space="preserve"> </w:t>
      </w:r>
      <w:r>
        <w:t xml:space="preserve">desde a Emenda 4, e</w:t>
      </w:r>
      <w:r>
        <w:t xml:space="preserve"> </w:t>
      </w:r>
      <w:r>
        <w:t xml:space="preserve">Meer et al. (2015)</w:t>
      </w:r>
      <w:r>
        <w:t xml:space="preserve">,</w:t>
      </w:r>
      <w:r>
        <w:t xml:space="preserve"> </w:t>
      </w:r>
      <w:r>
        <w:t xml:space="preserve">Stolwijk et al. (2016)</w:t>
      </w:r>
      <w:r>
        <w:t xml:space="preserve"> </w:t>
      </w:r>
      <w:r>
        <w:t xml:space="preserve">e</w:t>
      </w:r>
      <w:r>
        <w:t xml:space="preserve"> </w:t>
      </w:r>
      <w:r>
        <w:t xml:space="preserve">Unkelbach et al. (2022)</w:t>
      </w:r>
      <w:r>
        <w:t xml:space="preserve"> </w:t>
      </w:r>
      <w:r>
        <w:t xml:space="preserve">depois da arbitragem de 23/09/2026). Todos os resultados compatíveis foram extraídos, e a regra de modelo principal, escrita antes da extração, escolheu um por contraste: o declarado principal pelos autores; na falta, o usado na interpretação; depois, a regra do protocolo; nunca o mais significativo. Efeitos ajustados pela expectativa de vitória (efeito direto) não foram agregados com efeitos totais.</w:t>
      </w:r>
    </w:p>
    <w:p>
      <w:pPr>
        <w:pStyle w:val="BodyText"/>
      </w:pPr>
      <w:r>
        <w:t xml:space="preserve">Outras variáveis: desenho fino, estimando (ATE, ITT, LATE, ATT, associação), família de exposição, comparador, realismo do contexto (real, hipotético, induzido), tipo de eleição, sistema eleitoral e número de competidores, voto obrigatório, região (Brasil, América Latina, outras), ano da eleição, dias até a eleição, mecanismo testado, moderadores relatados e subgrupos PROGRESS-Plus (escolaridade, posição socioeconômica, idade). Pressupostos para informação ausente ou pouco clara:</w:t>
      </w:r>
      <w:r>
        <w:t xml:space="preserve"> </w:t>
      </w:r>
      <w:r>
        <w:rPr>
          <w:rStyle w:val="VerbatimChar"/>
        </w:rPr>
        <w:t xml:space="preserve">999</w:t>
      </w:r>
      <w:r>
        <w:t xml:space="preserve"> </w:t>
      </w:r>
      <w:r>
        <w:t xml:space="preserve">para não relatado; conglomerados sem ICC relatado com ICC imputado de 0,05 (Emenda 4c); logit sem efeito marginal convertido por OR = exp(β), marcado como aproximado; probit sem efeito marginal só na síntese por direção.</w:t>
      </w:r>
    </w:p>
    <w:bookmarkEnd w:id="23"/>
    <w:bookmarkStart w:id="24" w:name="avaliação-do-risco-de-viés-11"/>
    <w:p>
      <w:pPr>
        <w:pStyle w:val="Heading2"/>
      </w:pPr>
      <w:r>
        <w:t xml:space="preserve">Avaliação do risco de viés (11)</w:t>
      </w:r>
    </w:p>
    <w:p>
      <w:pPr>
        <w:pStyle w:val="FirstParagraph"/>
      </w:pPr>
      <w:r>
        <w:t xml:space="preserve">Ferramenta por desenho, julgada por domínio e por resultado: RoB 2 para experimentos aleatorizados individuais e por conglomerado (variante D1b); ROBINS-I V2 para experimentos naturais e quase-experimentos com dados individuais e para painéis individuais; EPOC para proibições, embargos ou calendários com unidades agregadas. Para exposição não atribuída (painéis e estudos observacionais), a ferramenta canônica seria o ROBINS-E; como a skill não tem codebook dele, usou-se o ROBINS-I V2, com a limitação declarada. Os codebooks foram copiados para o protocolo antes de qualquer avaliação (Emenda 3), com os confundidores do DAG (</w:t>
      </w:r>
      <w:r>
        <w:rPr>
          <w:rStyle w:val="VerbatimChar"/>
        </w:rPr>
        <w:t xml:space="preserve">apoio_latente</w:t>
      </w:r>
      <w:r>
        <w:t xml:space="preserve">,</w:t>
      </w:r>
      <w:r>
        <w:t xml:space="preserve"> </w:t>
      </w:r>
      <w:r>
        <w:rPr>
          <w:rStyle w:val="VerbatimChar"/>
        </w:rPr>
        <w:t xml:space="preserve">interesse_politico</w:t>
      </w:r>
      <w:r>
        <w:t xml:space="preserve">,</w:t>
      </w:r>
      <w:r>
        <w:t xml:space="preserve"> </w:t>
      </w:r>
      <w:r>
        <w:rPr>
          <w:rStyle w:val="VerbatimChar"/>
        </w:rPr>
        <w:t xml:space="preserve">preferencia_previa</w:t>
      </w:r>
      <w:r>
        <w:t xml:space="preserve">). Os subagentes A (</w:t>
      </w:r>
      <w:r>
        <w:rPr>
          <w:rStyle w:val="VerbatimChar"/>
        </w:rPr>
        <w:t xml:space="preserve">claude-opus-5-5</w:t>
      </w:r>
      <w:r>
        <w:t xml:space="preserve">) e B (</w:t>
      </w:r>
      <w:r>
        <w:rPr>
          <w:rStyle w:val="VerbatimChar"/>
        </w:rPr>
        <w:t xml:space="preserve">claude-sonnet-5</w:t>
      </w:r>
      <w:r>
        <w:t xml:space="preserve">) avaliaram cada resultado de forma independente, com trecho literal e página conferidos pelo verificador de citações. Onde concordaram, o consenso foi automático; nos desacordos, o árbitro (</w:t>
      </w:r>
      <w:r>
        <w:rPr>
          <w:rStyle w:val="VerbatimChar"/>
        </w:rPr>
        <w:t xml:space="preserve">claude-opus-5-5</w:t>
      </w:r>
      <w:r>
        <w:t xml:space="preserve">, em contexto novo, sem ver a própria avaliação A) propôs o consenso com trecho. A Emenda 4d registrava que o</w:t>
      </w:r>
      <w:r>
        <w:t xml:space="preserve"> </w:t>
      </w:r>
      <w:r>
        <w:rPr>
          <w:rStyle w:val="VerbatimChar"/>
        </w:rPr>
        <w:t xml:space="preserve">revisor_humano_1</w:t>
      </w:r>
      <w:r>
        <w:t xml:space="preserve"> </w:t>
      </w:r>
      <w:r>
        <w:t xml:space="preserve">tinha confirmado as 88 propostas em bloco; a Emenda 6a corrigiu esse registro, porque a confirmação não aconteceu, e</w:t>
      </w:r>
      <w:r>
        <w:t xml:space="preserve"> </w:t>
      </w:r>
      <w:r>
        <w:rPr>
          <w:rStyle w:val="VerbatimChar"/>
        </w:rPr>
        <w:t xml:space="preserve">resolvido_por</w:t>
      </w:r>
      <w:r>
        <w:t xml:space="preserve"> </w:t>
      </w:r>
      <w:r>
        <w:t xml:space="preserve">passou a</w:t>
      </w:r>
      <w:r>
        <w:t xml:space="preserve"> </w:t>
      </w:r>
      <w:r>
        <w:rPr>
          <w:rStyle w:val="VerbatimChar"/>
        </w:rPr>
        <w:t xml:space="preserve">arbitro_ia:claude-opus-5-5</w:t>
      </w:r>
      <w:r>
        <w:t xml:space="preserve">. O geral saiu do algoritmo de cada ferramenta; no EPOC, os critérios de sequência aleatória e de ocultação da alocação ficaram fora do geral, porque são altos por definição em todo quase-experimento com grupo controle (Emenda 4a).</w:t>
      </w:r>
    </w:p>
    <w:bookmarkEnd w:id="24"/>
    <w:bookmarkStart w:id="25" w:name="medidas-de-efeito-12"/>
    <w:p>
      <w:pPr>
        <w:pStyle w:val="Heading2"/>
      </w:pPr>
      <w:r>
        <w:t xml:space="preserve">Medidas de efeito (12)</w:t>
      </w:r>
    </w:p>
    <w:p>
      <w:pPr>
        <w:pStyle w:val="FirstParagraph"/>
      </w:pPr>
      <w:r>
        <w:t xml:space="preserve">g de Hedges alinhado à direção convencionada de cada desfecho (Emenda 5, item 2):</w:t>
      </w:r>
    </w:p>
    <w:p>
      <w:pPr>
        <w:pStyle w:val="Compact"/>
        <w:numPr>
          <w:ilvl w:val="0"/>
          <w:numId w:val="1003"/>
        </w:numPr>
      </w:pPr>
      <w:r>
        <w:t xml:space="preserve">em</w:t>
      </w:r>
      <w:r>
        <w:t xml:space="preserve"> </w:t>
      </w:r>
      <w:r>
        <w:rPr>
          <w:rStyle w:val="VerbatimChar"/>
        </w:rPr>
        <w:t xml:space="preserve">apoio_ao_lider</w:t>
      </w:r>
      <w:r>
        <w:t xml:space="preserve">,</w:t>
      </w:r>
      <w:r>
        <w:t xml:space="preserve"> </w:t>
      </w:r>
      <w:r>
        <w:rPr>
          <w:rStyle w:val="VerbatimChar"/>
        </w:rPr>
        <w:t xml:space="preserve">direcao_desejada = aumentar</w:t>
      </w:r>
      <w:r>
        <w:t xml:space="preserve"> </w:t>
      </w:r>
      <w:r>
        <w:t xml:space="preserve">para líder, opção de referendo e segundo viável, e</w:t>
      </w:r>
      <w:r>
        <w:t xml:space="preserve"> </w:t>
      </w:r>
      <w:r>
        <w:rPr>
          <w:rStyle w:val="VerbatimChar"/>
        </w:rPr>
        <w:t xml:space="preserve">reduzir</w:t>
      </w:r>
      <w:r>
        <w:t xml:space="preserve"> </w:t>
      </w:r>
      <w:r>
        <w:t xml:space="preserve">para azarão, terceiro inviável e partido perto da cláusula. Na célula principal, g positivo =</w:t>
      </w:r>
      <w:r>
        <w:t xml:space="preserve"> </w:t>
      </w:r>
      <w:r>
        <w:rPr>
          <w:i/>
          <w:iCs/>
        </w:rPr>
        <w:t xml:space="preserve">bandwagon</w:t>
      </w:r>
      <w:r>
        <w:t xml:space="preserve"> </w:t>
      </w:r>
      <w:r>
        <w:t xml:space="preserve">e negativo =</w:t>
      </w:r>
      <w:r>
        <w:t xml:space="preserve"> </w:t>
      </w:r>
      <w:r>
        <w:rPr>
          <w:i/>
          <w:iCs/>
        </w:rPr>
        <w:t xml:space="preserve">underdog</w:t>
      </w:r>
      <w:r>
        <w:t xml:space="preserve">; na célula de viabilidade, positivo = mais apoio à opção mostrada como viável ou menos à mostrada como inviável;</w:t>
      </w:r>
    </w:p>
    <w:p>
      <w:pPr>
        <w:pStyle w:val="Compact"/>
        <w:numPr>
          <w:ilvl w:val="0"/>
          <w:numId w:val="1003"/>
        </w:numPr>
      </w:pPr>
      <w:r>
        <w:t xml:space="preserve">nos desenhos de proibição (</w:t>
      </w:r>
      <w:r>
        <w:t xml:space="preserve">Chatterjee e Kamal (2019)</w:t>
      </w:r>
      <w:r>
        <w:t xml:space="preserve">,</w:t>
      </w:r>
      <w:r>
        <w:t xml:space="preserve"> </w:t>
      </w:r>
      <w:r>
        <w:t xml:space="preserve">Morton et al. (2015)</w:t>
      </w:r>
      <w:r>
        <w:t xml:space="preserve">), o efeito da proibição foi reorientado para o efeito da exposição;</w:t>
      </w:r>
    </w:p>
    <w:p>
      <w:pPr>
        <w:pStyle w:val="Compact"/>
        <w:numPr>
          <w:ilvl w:val="0"/>
          <w:numId w:val="1003"/>
        </w:numPr>
      </w:pPr>
      <w:r>
        <w:t xml:space="preserve">em</w:t>
      </w:r>
      <w:r>
        <w:t xml:space="preserve"> </w:t>
      </w:r>
      <w:r>
        <w:rPr>
          <w:rStyle w:val="VerbatimChar"/>
        </w:rPr>
        <w:t xml:space="preserve">mobilizacao</w:t>
      </w:r>
      <w:r>
        <w:t xml:space="preserve">, positivo = mobilização e negativo = desmobilização.</w:t>
      </w:r>
    </w:p>
    <w:p>
      <w:pPr>
        <w:pStyle w:val="FirstParagraph"/>
      </w:pPr>
      <w:r>
        <w:t xml:space="preserve">A convenção é técnica e não carrega juízo normativo. Proporções, efeitos em pontos percentuais e razões de chances foram convertidos a d pelo log OR com a proporção do grupo de comparação (d = ln(OR)·√3/π), e as conversões aproximadas foram marcadas. Na SWiM, a medida é a direção do estimador pontual e a proporção de estudos na direção positiva, com IC 95% exato.</w:t>
      </w:r>
    </w:p>
    <w:bookmarkEnd w:id="25"/>
    <w:bookmarkStart w:id="26" w:name="métodos-de-síntese-13a-13f"/>
    <w:p>
      <w:pPr>
        <w:pStyle w:val="Heading2"/>
      </w:pPr>
      <w:r>
        <w:t xml:space="preserve">Métodos de síntese (13a-13f)</w:t>
      </w:r>
    </w:p>
    <w:p>
      <w:pPr>
        <w:pStyle w:val="Compact"/>
        <w:numPr>
          <w:ilvl w:val="0"/>
          <w:numId w:val="1004"/>
        </w:numPr>
      </w:pPr>
      <w:r>
        <w:rPr>
          <w:b/>
          <w:bCs/>
        </w:rPr>
        <w:t xml:space="preserve">13a Elegibilidade para cada síntese:</w:t>
      </w:r>
      <w:r>
        <w:t xml:space="preserve"> </w:t>
      </w:r>
      <w:r>
        <w:t xml:space="preserve">célula = família de exposição × construto × comparador × célula de alvo (principal, viabilidade,</w:t>
      </w:r>
      <w:r>
        <w:t xml:space="preserve"> </w:t>
      </w:r>
      <w:r>
        <w:rPr>
          <w:i/>
          <w:iCs/>
        </w:rPr>
        <w:t xml:space="preserve">momentum</w:t>
      </w:r>
      <w:r>
        <w:t xml:space="preserve">, mobilização) × classe de desenho (Emenda 5, item 1). Randomizados e não randomizados nunca foram agregados juntos, e contrastes antes e depois dentro do sujeito passaram à classe não randomizada (Emenda 5, item 6). A classe foi atribuída pelo script da skill a partir do campo</w:t>
      </w:r>
      <w:r>
        <w:t xml:space="preserve"> </w:t>
      </w:r>
      <w:r>
        <w:rPr>
          <w:rStyle w:val="VerbatimChar"/>
        </w:rPr>
        <w:t xml:space="preserve">desenho</w:t>
      </w:r>
      <w:r>
        <w:t xml:space="preserve">. Resultados em risco de viés crítico ficaram fora da análise principal e entraram numa sensibilidade. Efeitos principais que não estimam o contraste da exposição (interações com moderadores contínuos, contrastes de formato da mesma previsão, alvos opostos agregados) e os de conferência pendente ficaram fora do teste de sinal, com o motivo registrado no dicionário</w:t>
      </w:r>
      <w:r>
        <w:t xml:space="preserve"> </w:t>
      </w:r>
      <w:r>
        <w:rPr>
          <w:rStyle w:val="VerbatimChar"/>
        </w:rPr>
        <w:t xml:space="preserve">FORA</w:t>
      </w:r>
      <w:r>
        <w:t xml:space="preserve"> </w:t>
      </w:r>
      <w:r>
        <w:t xml:space="preserve">de</w:t>
      </w:r>
      <w:r>
        <w:t xml:space="preserve"> </w:t>
      </w:r>
      <w:r>
        <w:rPr>
          <w:rStyle w:val="VerbatimChar"/>
        </w:rPr>
        <w:t xml:space="preserve">06-analise/montar_entradas_swim.py</w:t>
      </w:r>
      <w:r>
        <w:t xml:space="preserve">; eles entram na síntese narrativa e numa sensibilidade (Emenda 5, item 4). O dicionário foi atualizado depois das arbitragens de 23/09/2026 (</w:t>
      </w:r>
      <w:hyperlink w:anchor="tbl-fora">
        <w:r>
          <w:rPr>
            <w:rStyle w:val="Hyperlink"/>
          </w:rPr>
          <w:t xml:space="preserve">Tabela 10</w:t>
        </w:r>
      </w:hyperlink>
      <w:r>
        <w:t xml:space="preserve">).</w:t>
      </w:r>
    </w:p>
    <w:p>
      <w:pPr>
        <w:pStyle w:val="Compact"/>
        <w:numPr>
          <w:ilvl w:val="0"/>
          <w:numId w:val="1004"/>
        </w:numPr>
      </w:pPr>
      <w:r>
        <w:rPr>
          <w:b/>
          <w:bCs/>
        </w:rPr>
        <w:t xml:space="preserve">13b Preparação dos dados:</w:t>
      </w:r>
      <w:r>
        <w:t xml:space="preserve"> </w:t>
      </w:r>
      <w:r>
        <w:t xml:space="preserve">conversões com fórmula registrada; conversões aproximadas marcadas. Estudos sem t, β ou r receberam o sinal do efeito em pontos percentuais, de p1 − p0 ou de ln(OR), só para a direção (Emenda 5, item 9). Efeito principal com IC 95% inteiro dentro de ±δ foi classificado como nulo (Emenda 5, item 8). O sinal de efeitos estimados como efeito da proibição foi invertido para o efeito da exposição (Emenda 5, item 3). Conglomerados sem ICC: variância multiplicada por 1 + (m − 1)·ICC, com ICC = 0,05 na análise principal e 0,20 na sensibilidade (Emenda 4c). Dados faltantes: sem contato com autores; estudos sem dado utilizável entraram pela direção ou foram listados.</w:t>
      </w:r>
    </w:p>
    <w:p>
      <w:pPr>
        <w:pStyle w:val="Compact"/>
        <w:numPr>
          <w:ilvl w:val="0"/>
          <w:numId w:val="1004"/>
        </w:numPr>
      </w:pPr>
      <w:r>
        <w:rPr>
          <w:b/>
          <w:bCs/>
        </w:rPr>
        <w:t xml:space="preserve">13c Tabulação e gráficos:</w:t>
      </w:r>
      <w:r>
        <w:t xml:space="preserve"> </w:t>
      </w:r>
      <w:r>
        <w:t xml:space="preserve">tabela de características ordenada por estudo; tabela de resultados individuais; tabela de direção por célula com estudos, direções, proporção, IC e p do teste de sinal; gráfico de direção do efeito (</w:t>
      </w:r>
      <w:r>
        <w:rPr>
          <w:i/>
          <w:iCs/>
        </w:rPr>
        <w:t xml:space="preserve">effect direction plot</w:t>
      </w:r>
      <w:r>
        <w:t xml:space="preserve">) e</w:t>
      </w:r>
      <w:r>
        <w:t xml:space="preserve"> </w:t>
      </w:r>
      <w:r>
        <w:rPr>
          <w:i/>
          <w:iCs/>
        </w:rPr>
        <w:t xml:space="preserve">forest plots</w:t>
      </w:r>
      <w:r>
        <w:t xml:space="preserve"> </w:t>
      </w:r>
      <w:r>
        <w:t xml:space="preserve">das duas meta-análises exploratórias.</w:t>
      </w:r>
    </w:p>
    <w:p>
      <w:pPr>
        <w:pStyle w:val="Compact"/>
        <w:numPr>
          <w:ilvl w:val="0"/>
          <w:numId w:val="1004"/>
        </w:numPr>
      </w:pPr>
      <w:r>
        <w:rPr>
          <w:b/>
          <w:bCs/>
        </w:rPr>
        <w:t xml:space="preserve">13d Síntese:</w:t>
      </w:r>
      <w:r>
        <w:t xml:space="preserve"> </w:t>
      </w:r>
      <w:r>
        <w:t xml:space="preserve">sem meta-análise principal. Pelo protocolo, a meta-análise usaria efeitos aleatórios por REML com Hartung-Knapp, τ² com IC, I² e intervalo de predição (metafor 5.0.1), randomizados e não randomizados em separado, só com pelo menos 3 estudos (</w:t>
      </w:r>
      <w:r>
        <w:rPr>
          <w:rStyle w:val="VerbatimChar"/>
        </w:rPr>
        <w:t xml:space="preserve">--k-min 3</w:t>
      </w:r>
      <w:r>
        <w:t xml:space="preserve">), e dependência por CHE com RVE (CR2), ρ = 0,6, com sensibilidade em 0,2, 0,5 e 0,8 e graus de liberdade de Satterthwaite abaixo de 4 lidos como não confiáveis. Depois da Emenda 5, a síntese principal é só SWiM. Duas células randomizadas de apoio ao líder reúnem 3 estudos com g calculado e tiveram meta-análise pelo protocolo (seção 8, k ≥ 3), CHE (REML) com RVE (CR2), ρ = 0,6, sem resultados em risco crítico, ambas tratadas como exploratórias. A primeira, pesquisa pré-eleitoral × sem pesquisa (</w:t>
      </w:r>
      <w:r>
        <w:rPr>
          <w:rStyle w:val="VerbatimChar"/>
        </w:rPr>
        <w:t xml:space="preserve">06-analise/meta_exploratoria/</w:t>
      </w:r>
      <w:r>
        <w:t xml:space="preserve">, δ = 0,0573), inclui</w:t>
      </w:r>
      <w:r>
        <w:t xml:space="preserve"> </w:t>
      </w:r>
      <w:r>
        <w:t xml:space="preserve">Tyszler e Schram (2015)</w:t>
      </w:r>
      <w:r>
        <w:t xml:space="preserve">, com dois efeitos principais lidos de figura. A segunda, pesquisa pré-eleitoral × mesmo candidato atrás (</w:t>
      </w:r>
      <w:r>
        <w:rPr>
          <w:rStyle w:val="VerbatimChar"/>
        </w:rPr>
        <w:t xml:space="preserve">06-analise/meta_mesmo_candidato/</w:t>
      </w:r>
      <w:r>
        <w:t xml:space="preserve">, entrada</w:t>
      </w:r>
      <w:r>
        <w:t xml:space="preserve"> </w:t>
      </w:r>
      <w:r>
        <w:rPr>
          <w:rStyle w:val="VerbatimChar"/>
        </w:rPr>
        <w:t xml:space="preserve">06-analise/meta_entrada_mesmo_candidato.csv</w:t>
      </w:r>
      <w:r>
        <w:t xml:space="preserve">, δ = 0,044), foi rodada em 24/09/2026, depois das correções dos efeitos; a própria saída avisa que há vários desfechos no mesmo construto (escala Likert, posto e proporção), o que limita a comparabilidade. Sem meta-análise: SWiM, com direção pelo estimador pontual (nunca pela significância), consistência de pelo menos 70% dos efeitos para dar direção a um estudo com vários efeitos, teste de sinal binomial exato bilateral e gráfico de direção. Testes combinados de valores-p não foram rodados (o Stouffer da skill é unilateral e a pergunta é bilateral).</w:t>
      </w:r>
    </w:p>
    <w:p>
      <w:pPr>
        <w:pStyle w:val="Compact"/>
        <w:numPr>
          <w:ilvl w:val="0"/>
          <w:numId w:val="1004"/>
        </w:numPr>
      </w:pPr>
      <w:r>
        <w:rPr>
          <w:b/>
          <w:bCs/>
        </w:rPr>
        <w:t xml:space="preserve">13e Heterogeneidade:</w:t>
      </w:r>
      <w:r>
        <w:t xml:space="preserve"> </w:t>
      </w:r>
      <w:r>
        <w:t xml:space="preserve">os moderadores pré-especificados (</w:t>
      </w:r>
      <w:r>
        <w:rPr>
          <w:rStyle w:val="VerbatimChar"/>
        </w:rPr>
        <w:t xml:space="preserve">desenho_fino</w:t>
      </w:r>
      <w:r>
        <w:t xml:space="preserve">,</w:t>
      </w:r>
      <w:r>
        <w:t xml:space="preserve"> </w:t>
      </w:r>
      <w:r>
        <w:rPr>
          <w:rStyle w:val="VerbatimChar"/>
        </w:rPr>
        <w:t xml:space="preserve">realismo_contexto</w:t>
      </w:r>
      <w:r>
        <w:t xml:space="preserve">,</w:t>
      </w:r>
      <w:r>
        <w:t xml:space="preserve"> </w:t>
      </w:r>
      <w:r>
        <w:rPr>
          <w:rStyle w:val="VerbatimChar"/>
        </w:rPr>
        <w:t xml:space="preserve">tipo_eleicao</w:t>
      </w:r>
      <w:r>
        <w:t xml:space="preserve">,</w:t>
      </w:r>
      <w:r>
        <w:t xml:space="preserve"> </w:t>
      </w:r>
      <w:r>
        <w:rPr>
          <w:rStyle w:val="VerbatimChar"/>
        </w:rPr>
        <w:t xml:space="preserve">regiao</w:t>
      </w:r>
      <w:r>
        <w:t xml:space="preserve">, ano da eleição antes ou depois de 2010,</w:t>
      </w:r>
      <w:r>
        <w:t xml:space="preserve"> </w:t>
      </w:r>
      <w:r>
        <w:rPr>
          <w:rStyle w:val="VerbatimChar"/>
        </w:rPr>
        <w:t xml:space="preserve">sistema_eleitoral</w:t>
      </w:r>
      <w:r>
        <w:t xml:space="preserve"> </w:t>
      </w:r>
      <w:r>
        <w:t xml:space="preserve">e</w:t>
      </w:r>
      <w:r>
        <w:t xml:space="preserve"> </w:t>
      </w:r>
      <w:r>
        <w:rPr>
          <w:rStyle w:val="VerbatimChar"/>
        </w:rPr>
        <w:t xml:space="preserve">n_competidores</w:t>
      </w:r>
      <w:r>
        <w:t xml:space="preserve">) exigiam pelo menos 3 estudos por nível para estimativa e 4 para teste. Nenhuma célula atingiu esse número, e a heterogeneidade foi examinada só pela coerência das direções dentro das células e pelas sensibilidades de realismo e de ano. A hipótese de efeitos opostos que se anulam só seria afirmada com pelo menos 3 estudos com estimativas por subgrupo de sinais opostos.</w:t>
      </w:r>
    </w:p>
    <w:p>
      <w:pPr>
        <w:pStyle w:val="Compact"/>
        <w:numPr>
          <w:ilvl w:val="0"/>
          <w:numId w:val="1004"/>
        </w:numPr>
      </w:pPr>
      <w:r>
        <w:rPr>
          <w:b/>
          <w:bCs/>
        </w:rPr>
        <w:t xml:space="preserve">13f Sensibilidade:</w:t>
      </w:r>
      <w:r>
        <w:t xml:space="preserve"> </w:t>
      </w:r>
      <w:r>
        <w:t xml:space="preserve">na SWiM, com os resultados em risco crítico e com ICC = 0,20 (agrupamento do protocolo) e, no agrupamento amplo, só com contexto real, sem dados anteriores a 2010, sem</w:t>
      </w:r>
      <w:r>
        <w:t xml:space="preserve"> </w:t>
      </w:r>
      <w:r>
        <w:t xml:space="preserve">Araujo e Gatto (2021b)</w:t>
      </w:r>
      <w:r>
        <w:t xml:space="preserve"> </w:t>
      </w:r>
      <w:r>
        <w:t xml:space="preserve">(Emenda 1) e com os efeitos fora da contagem (Emenda 5, item 10). Nas metas exploratórias,</w:t>
      </w:r>
      <w:r>
        <w:t xml:space="preserve"> </w:t>
      </w:r>
      <w:r>
        <w:rPr>
          <w:i/>
          <w:iCs/>
        </w:rPr>
        <w:t xml:space="preserve">leave-one-out</w:t>
      </w:r>
      <w:r>
        <w:t xml:space="preserve">, ρ e ICC = 0,20. A sensibilidade sem conversões aproximadas não se aplicou a nenhuma das duas (nenhuma linha aproximada). A sem risco alto não se aplicou à primeira (nenhuma linha de risco alto) e não pôde ser rodada na segunda, em que os 6 efeitos estão em risco alto (k restante 0). A de artigo como conglomerado não se aplica sem meta principal.</w:t>
      </w:r>
    </w:p>
    <w:p>
      <w:pPr>
        <w:pStyle w:val="FirstParagraph"/>
      </w:pPr>
      <w:r>
        <w:rPr>
          <w:b/>
          <w:bCs/>
        </w:rPr>
        <w:t xml:space="preserve">Limiar de relevância.</w:t>
      </w:r>
      <w:r>
        <w:t xml:space="preserve"> </w:t>
      </w:r>
      <w:r>
        <w:t xml:space="preserve">δ = 2 pontos percentuais, convertido em g pelo log OR com a proporção de referência: 0,044 para</w:t>
      </w:r>
      <w:r>
        <w:t xml:space="preserve"> </w:t>
      </w:r>
      <w:r>
        <w:rPr>
          <w:rStyle w:val="VerbatimChar"/>
        </w:rPr>
        <w:t xml:space="preserve">apoio_ao_lider</w:t>
      </w:r>
      <w:r>
        <w:t xml:space="preserve"> </w:t>
      </w:r>
      <w:r>
        <w:t xml:space="preserve">(referência 0,50) e 0,046 para</w:t>
      </w:r>
      <w:r>
        <w:t xml:space="preserve"> </w:t>
      </w:r>
      <w:r>
        <w:rPr>
          <w:rStyle w:val="VerbatimChar"/>
        </w:rPr>
        <w:t xml:space="preserve">mobilizacao</w:t>
      </w:r>
      <w:r>
        <w:t xml:space="preserve"> </w:t>
      </w:r>
      <w:r>
        <w:t xml:space="preserve">(referência 0,60); na célula de pesquisa pré-eleitoral × sem pesquisa × apoio randomizado, 0,0573, com a mediana dos p0 dos efeitos com g da célula (0,73;</w:t>
      </w:r>
      <w:r>
        <w:t xml:space="preserve"> </w:t>
      </w:r>
      <w:r>
        <w:rPr>
          <w:rStyle w:val="VerbatimChar"/>
        </w:rPr>
        <w:t xml:space="preserve">06-analise/_delta_celula.txt</w:t>
      </w:r>
      <w:r>
        <w:t xml:space="preserve">). É convenção deste protocolo, sem</w:t>
      </w:r>
      <w:r>
        <w:t xml:space="preserve"> </w:t>
      </w:r>
      <w:r>
        <w:rPr>
          <w:i/>
          <w:iCs/>
        </w:rPr>
        <w:t xml:space="preserve">benchmark</w:t>
      </w:r>
      <w:r>
        <w:t xml:space="preserve"> </w:t>
      </w:r>
      <w:r>
        <w:t xml:space="preserve">de campo verificado.</w:t>
      </w:r>
    </w:p>
    <w:bookmarkEnd w:id="26"/>
    <w:bookmarkStart w:id="27" w:name="avaliação-de-viés-de-relato-14"/>
    <w:p>
      <w:pPr>
        <w:pStyle w:val="Heading2"/>
      </w:pPr>
      <w:r>
        <w:t xml:space="preserve">Avaliação de viés de relato (14)</w:t>
      </w:r>
    </w:p>
    <w:p>
      <w:pPr>
        <w:pStyle w:val="FirstParagraph"/>
      </w:pPr>
      <w:r>
        <w:t xml:space="preserve">O protocolo previa funil, Egger, PET-PEESE e modelo de seleção só com 10 ou mais estudos por célula, o que nenhuma célula atingiu. O juízo sobre evidência faltante, inspirado no ROB-ME e sem codebook na skill, foi incorporado ao domínio de viés de publicação do GRADE pelo subagente, com base na limitação de fontes (atalho A1), na triagem refeita só por IA dos registros sem resumo (Emenda 6b), na presença ou ausência de estudos nulos e no tamanho dos estudos. Não há avaliação ROB-ME separada por célula.</w:t>
      </w:r>
    </w:p>
    <w:bookmarkEnd w:id="27"/>
    <w:bookmarkStart w:id="28" w:name="avaliação-da-certeza-15"/>
    <w:p>
      <w:pPr>
        <w:pStyle w:val="Heading2"/>
      </w:pPr>
      <w:r>
        <w:t xml:space="preserve">Avaliação da certeza (15)</w:t>
      </w:r>
    </w:p>
    <w:p>
      <w:pPr>
        <w:pStyle w:val="FirstParagraph"/>
      </w:pPr>
      <w:r>
        <w:t xml:space="preserve">GRADE por célula de efeito, com randomizados e não randomizados em corpos separados; δ = 2 pontos percentuais convertidos (0,044 para apoio e 0,046 para mobilização; 0,0573 na célula descrita acima). Pontos de partida: randomizados em alta; não randomizados avaliados com ROBINS-I V2 em alta, com rebaixamento por risco de viés; corpos avaliados só com EPOC em baixa; célula com as duas ferramentas em baixa. A indireção considerou o contexto eleitoral e institucional, o realismo (hipotético ou induzido frente a eleição real) e o estimando. Sem meta-análise, a inconsistência foi julgada pela coerência das direções e a imprecisão pelo número de estudos e de participantes e pela largura do IC da proporção de direção, porque o teste de sinal não tem poder com 1 a 4 estudos. Os juízos foram rascunhados em 24/09/2026 por subagente (</w:t>
      </w:r>
      <w:r>
        <w:rPr>
          <w:rStyle w:val="VerbatimChar"/>
        </w:rPr>
        <w:t xml:space="preserve">claude-opus-5-5</w:t>
      </w:r>
      <w:r>
        <w:t xml:space="preserve">, com</w:t>
      </w:r>
      <w:r>
        <w:t xml:space="preserve"> </w:t>
      </w:r>
      <w:r>
        <w:rPr>
          <w:rStyle w:val="VerbatimChar"/>
        </w:rPr>
        <w:t xml:space="preserve">06-analise/prompt_grade_v2.md</w:t>
      </w:r>
      <w:r>
        <w:t xml:space="preserve">), em</w:t>
      </w:r>
      <w:r>
        <w:t xml:space="preserve"> </w:t>
      </w:r>
      <w:r>
        <w:rPr>
          <w:rStyle w:val="VerbatimChar"/>
        </w:rPr>
        <w:t xml:space="preserve">06-analise/certeza.csv</w:t>
      </w:r>
      <w:r>
        <w:t xml:space="preserve"> </w:t>
      </w:r>
      <w:r>
        <w:t xml:space="preserve">(18 células do protocolo) e</w:t>
      </w:r>
      <w:r>
        <w:t xml:space="preserve"> </w:t>
      </w:r>
      <w:r>
        <w:rPr>
          <w:rStyle w:val="VerbatimChar"/>
        </w:rPr>
        <w:t xml:space="preserve">06-analise/certeza_agrupamento_amplo.csv</w:t>
      </w:r>
      <w:r>
        <w:t xml:space="preserve"> </w:t>
      </w:r>
      <w:r>
        <w:t xml:space="preserve">(7 linhas do agrupamento amplo descritivo), todos com</w:t>
      </w:r>
      <w:r>
        <w:t xml:space="preserve"> </w:t>
      </w:r>
      <w:r>
        <w:rPr>
          <w:rStyle w:val="VerbatimChar"/>
        </w:rPr>
        <w:t xml:space="preserve">validado_humano = 0</w:t>
      </w:r>
      <w:r>
        <w:t xml:space="preserve"> </w:t>
      </w:r>
      <w:r>
        <w:t xml:space="preserve">(P036 e P042). Com SWiM, a certeza qualifica a</w:t>
      </w:r>
      <w:r>
        <w:t xml:space="preserve"> </w:t>
      </w:r>
      <w:r>
        <w:rPr>
          <w:b/>
          <w:bCs/>
        </w:rPr>
        <w:t xml:space="preserve">direção</w:t>
      </w:r>
      <w:r>
        <w:t xml:space="preserve"> </w:t>
      </w:r>
      <w:r>
        <w:t xml:space="preserve">do efeito, não a magnitude; na célula com efeito nulo por ±δ, qualifica a classificação como nulo ou trivial.</w:t>
      </w:r>
    </w:p>
    <w:bookmarkEnd w:id="28"/>
    <w:bookmarkEnd w:id="29"/>
    <w:bookmarkStart w:id="65" w:name="resultados"/>
    <w:p>
      <w:pPr>
        <w:pStyle w:val="Heading1"/>
      </w:pPr>
      <w:r>
        <w:t xml:space="preserve">Resultados</w:t>
      </w:r>
    </w:p>
    <w:bookmarkStart w:id="34" w:name="seleção-dos-estudos-16a-16b"/>
    <w:p>
      <w:pPr>
        <w:pStyle w:val="Heading2"/>
      </w:pPr>
      <w:r>
        <w:t xml:space="preserve">Seleção dos estudos (16a, 16b)</w:t>
      </w:r>
    </w:p>
    <w:tbl>
      <w:tblPr>
        <w:tblStyle w:val="Table"/>
        <w:tblW w:type="pct" w:w="5000"/>
        <w:tblLayout w:type="fixed"/>
        <w:tblLook w:firstRow="0" w:lastRow="0" w:firstColumn="0" w:lastColumn="0" w:noHBand="0" w:noVBand="0" w:val="0000"/>
      </w:tblPr>
      <w:tblGrid>
        <w:gridCol w:w="7920"/>
      </w:tblGrid>
      <w:tr>
        <w:tc>
          <w:tcPr/>
          <w:bookmarkStart w:id="33" w:name="fig-prisma"/>
          <w:p>
            <w:pPr>
              <w:pStyle w:val="Compact"/>
              <w:jc w:val="center"/>
            </w:pPr>
            <w:r>
              <w:drawing>
                <wp:inline>
                  <wp:extent cx="5334000" cy="3327234"/>
                  <wp:effectExtent b="0" l="0" r="0" t="0"/>
                  <wp:docPr descr="" title="" id="31" name="Picture"/>
                  <a:graphic>
                    <a:graphicData uri="http://schemas.openxmlformats.org/drawingml/2006/picture">
                      <pic:pic>
                        <pic:nvPicPr>
                          <pic:cNvPr descr="prisma.png" id="32" name="Picture"/>
                          <pic:cNvPicPr>
                            <a:picLocks noChangeArrowheads="1" noChangeAspect="1"/>
                          </pic:cNvPicPr>
                        </pic:nvPicPr>
                        <pic:blipFill>
                          <a:blip r:embed="rId30"/>
                          <a:stretch>
                            <a:fillRect/>
                          </a:stretch>
                        </pic:blipFill>
                        <pic:spPr bwMode="auto">
                          <a:xfrm>
                            <a:off x="0" y="0"/>
                            <a:ext cx="5334000" cy="3327234"/>
                          </a:xfrm>
                          <a:prstGeom prst="rect">
                            <a:avLst/>
                          </a:prstGeom>
                          <a:noFill/>
                          <a:ln w="9525">
                            <a:noFill/>
                            <a:headEnd/>
                            <a:tailEnd/>
                          </a:ln>
                        </pic:spPr>
                      </pic:pic>
                    </a:graphicData>
                  </a:graphic>
                </wp:inline>
              </w:drawing>
            </w:r>
          </w:p>
          <w:p>
            <w:pPr>
              <w:jc w:val="center"/>
            </w:pPr>
            <w:pPr>
              <w:jc w:val="left"/>
              <w:spacing w:before="200"/>
              <w:pStyle w:val="ImageCaption"/>
            </w:pPr>
            <w:r>
              <w:t xml:space="preserve">Figura 1: Fluxograma PRISMA 2020 calculado do ledger de decisões (rascunho).</w:t>
            </w:r>
          </w:p>
          <w:bookmarkEnd w:id="33"/>
        </w:tc>
      </w:tr>
    </w:tbl>
    <w:p>
      <w:pPr>
        <w:pStyle w:val="BodyText"/>
      </w:pPr>
      <w:r>
        <w:t xml:space="preserve">A busca identificou 1.767 registros nas bases (1.687 no OpenAlex e 80 na BDTD) e 1.706 por outros métodos (busca por citação). Antes da triagem, foram removidos 46 duplicados, 148 marcados por automação (filtro de ano de publicação anterior a 2010) e 0 por outros motivos nas bases; nos outros métodos, 4 duplicados e 648 pelo filtro de ano. Foram triados 1.573 registros das bases (1.314 excluídos) e 1.054 dos outros métodos (787 excluídos); 259 e 267 relatos foram buscados, 158 e 184 não foram recuperados, 101 e 83 foram avaliados, 59 e 70 foram excluídos, e 0 ficaram aguardando classificação. Motivos de exclusão no texto completo (bases e outros métodos): exposição fora do critério C2, 39 e 50; desenho fora do C4, 10 e 4; população ou contexto fora do C1, 8 e 13; desfecho fora do C3, 2 e 3. Foram incluídos 41 estudos (55 relatos: 42 das bases e 13 dos outros métodos). Os 1.235 registros da busca substituída B01 ficaram fora dos identificados.</w:t>
      </w:r>
    </w:p>
    <w:p>
      <w:pPr>
        <w:pStyle w:val="BodyText"/>
      </w:pPr>
      <w:r>
        <w:t xml:space="preserve">A triagem complementar da Emenda 6b mudou o fluxo, mas não o conjunto de incluídos. Dos 180 registros sem resumo que seguiram ao texto completo, 15 foram recuperados por fonte legítima e avaliados, e os 15 foram excluídos (9 por C2, 4 por C1 e 2 por C3); os outros 165 ficaram como não recuperados. Nenhum PDF foi obtido por Sci-Hub ou outra fonte não autorizada: o que não foi obtido por fontes legítimas ficou como não recuperado.</w:t>
      </w:r>
    </w:p>
    <w:p>
      <w:pPr>
        <w:pStyle w:val="BodyText"/>
      </w:pPr>
      <w:r>
        <w:t xml:space="preserve">Estudos que pareciam elegíveis e foram excluídos: experimentos de laboratório em que o participante vê a contagem corrente de votos ou o placar do próprio jogo, e não um resultado de pesquisa (Scheuerman2019, Scheuerman2020, Scheuerman2021, Yosef2017, Bischoff2012, Hizen2025, Morton2015b; C2); um experimento natural no Peru em que parte do eleitorado votou depois de conhecer um resultado que juntava bocas de urna e contagem parcial oficial, sem separar as fontes (Reveco2026; C2, decisão humana); um artigo que declara ter exposto parte da amostra a pesquisas mas não analisa esse experimento, cujo projeto é relatado por</w:t>
      </w:r>
      <w:r>
        <w:t xml:space="preserve"> </w:t>
      </w:r>
      <w:r>
        <w:t xml:space="preserve">Gasperoni e Mantovani (2015)</w:t>
      </w:r>
      <w:r>
        <w:t xml:space="preserve"> </w:t>
      </w:r>
      <w:r>
        <w:t xml:space="preserve">(Corbetta2013; C2); um estudo de efeito de terceira pessoa (Kim2018b; C3); jogos em equipe sem escolha eleitoral (Kim2025a; C1); e estudos com a pesquisa como medida agregada, sem variação identificada (Freden2021 e Mavridis2016a; C4). Esses casos estão em</w:t>
      </w:r>
      <w:r>
        <w:t xml:space="preserve"> </w:t>
      </w:r>
      <w:r>
        <w:rPr>
          <w:rStyle w:val="VerbatimChar"/>
        </w:rPr>
        <w:t xml:space="preserve">03-textos/notas_c2_limitrofes.md</w:t>
      </w:r>
      <w:r>
        <w:t xml:space="preserve"> </w:t>
      </w:r>
      <w:r>
        <w:t xml:space="preserve">e</w:t>
      </w:r>
      <w:r>
        <w:t xml:space="preserve"> </w:t>
      </w:r>
      <w:r>
        <w:rPr>
          <w:rStyle w:val="VerbatimChar"/>
        </w:rPr>
        <w:t xml:space="preserve">03-textos/elegibilidade_tc_final.csv</w:t>
      </w:r>
      <w:r>
        <w:t xml:space="preserve">, e as chaves não estão na lista de referências porque os textos foram excluídos.</w:t>
      </w:r>
    </w:p>
    <w:bookmarkEnd w:id="34"/>
    <w:bookmarkStart w:id="36" w:name="características-dos-estudos-17"/>
    <w:p>
      <w:pPr>
        <w:pStyle w:val="Heading2"/>
      </w:pPr>
      <w:r>
        <w:t xml:space="preserve">Características dos estudos (17)</w:t>
      </w:r>
    </w:p>
    <w:p>
      <w:pPr>
        <w:pStyle w:val="FirstParagraph"/>
      </w:pPr>
      <w:r>
        <w:t xml:space="preserve">Os 41 estudos incluídos (55 relatos) foram publicados de 2010 a 2024 (ano do relato principal). Os desenhos foram: 14 experimentos de survey, 9 experimentos de laboratório com preferências induzidas, 3 de laboratório com candidatos reais, 1 experimento de campo, 6 experimentos naturais, 3 painéis individuais e 5 outros desenhos. A exposição foi pesquisa pré-eleitoral em 33 estudos, agregador ou projeção em 4, boca de urna em 3 e apuração parcial oficial em 1. O contexto foi real em 25 estudos, com preferências induzidas em 9 e hipotético em 7; 32 estudos trataram de eleições com candidatos ou partidos, 8 de eleições simuladas abstratas e 1 de referendo. Mediram só apoio ao líder 24 estudos, só mobilização 10 e os dois 7. A região foi codificada como Brasil em 1 estudo, América Latina em 1, as três categorias em 1 (corte transversal de 46 países) e não relatada em 1; os outros 37 são de outras regiões, sobretudo Estados Unidos e Europa.</w:t>
      </w:r>
    </w:p>
    <w:tbl>
      <w:tblPr>
        <w:tblStyle w:val="Table"/>
        <w:tblW w:type="pct" w:w="5000"/>
        <w:tblLayout w:type="fixed"/>
        <w:tblLook w:firstRow="0" w:lastRow="0" w:firstColumn="0" w:lastColumn="0" w:noHBand="0" w:noVBand="0" w:val="0000"/>
      </w:tblPr>
      <w:tblGrid>
        <w:gridCol w:w="7920"/>
      </w:tblGrid>
      <w:tr>
        <w:tc>
          <w:tcPr/>
          <w:bookmarkStart w:id="35" w:name="tbl-caracteristicas"/>
          <w:p>
            <w:pPr>
              <w:jc w:val="center"/>
            </w:pPr>
            <w:pPr>
              <w:jc w:val="left"/>
              <w:spacing w:before="200"/>
              <w:pStyle w:val="ImageCaption"/>
            </w:pPr>
            <w:r>
              <w:t xml:space="preserve">Tabela 3: Características dos estudos incluídos (</w:t>
            </w:r>
            <w:r>
              <w:rPr>
                <w:rStyle w:val="VerbatimChar"/>
              </w:rPr>
              <w:t xml:space="preserve">05-decomposicao/fichamentos_master.csv</w:t>
            </w:r>
            <w:r>
              <w:t xml:space="preserve">; ano do relato principal em</w:t>
            </w:r>
            <w:r>
              <w:t xml:space="preserve"> </w:t>
            </w:r>
            <w:r>
              <w:rPr>
                <w:rStyle w:val="VerbatimChar"/>
              </w:rPr>
              <w:t xml:space="preserve">07-relatorio/incluidos.csv</w:t>
            </w:r>
            <w:r>
              <w:t xml:space="preserve">; risco de viés em</w:t>
            </w:r>
            <w:r>
              <w:t xml:space="preserve"> </w:t>
            </w:r>
            <w:r>
              <w:rPr>
                <w:rStyle w:val="VerbatimChar"/>
              </w:rPr>
              <w:t xml:space="preserve">04-qualidade/rob_geral.csv</w:t>
            </w:r>
            <w:r>
              <w:t xml:space="preserve">). Construto: desfechos extraídos do estudo. Risco de viés geral por resultado (ferramenta: julgamento), nenhum validado por humano.</w:t>
            </w:r>
          </w:p>
          <w:tbl>
            <w:tblPr>
              <w:tblStyle w:val="Table"/>
              <w:tblW w:type="pct" w:w="5000"/>
              <w:tblLayout w:type="fixed"/>
              <w:tblLook w:firstRow="1" w:lastRow="0" w:firstColumn="0" w:lastColumn="0" w:noHBand="0" w:noVBand="0" w:val="0020"/>
            </w:tblPr>
            <w:tblGrid>
              <w:gridCol w:w="1188"/>
              <w:gridCol w:w="396"/>
              <w:gridCol w:w="1188"/>
              <w:gridCol w:w="792"/>
              <w:gridCol w:w="1029"/>
              <w:gridCol w:w="712"/>
              <w:gridCol w:w="554"/>
              <w:gridCol w:w="712"/>
              <w:gridCol w:w="1346"/>
            </w:tblGrid>
            <w:tr>
              <w:trPr>
                <w:tblHeader w:val="on"/>
              </w:trPr>
              <w:tc>
                <w:tcPr/>
                <w:p>
                  <w:pPr>
                    <w:pStyle w:val="Compact"/>
                    <w:jc w:val="center"/>
                  </w:pPr>
                  <w:r>
                    <w:t xml:space="preserve">Estudo (relatos adicionais)</w:t>
                  </w:r>
                </w:p>
              </w:tc>
              <w:tc>
                <w:tcPr/>
                <w:p>
                  <w:pPr>
                    <w:pStyle w:val="Compact"/>
                    <w:jc w:val="center"/>
                  </w:pPr>
                  <w:r>
                    <w:t xml:space="preserve">Ano</w:t>
                  </w:r>
                </w:p>
              </w:tc>
              <w:tc>
                <w:tcPr/>
                <w:p>
                  <w:pPr>
                    <w:pStyle w:val="Compact"/>
                    <w:jc w:val="center"/>
                  </w:pPr>
                  <w:r>
                    <w:t xml:space="preserve">Desenho</w:t>
                  </w:r>
                </w:p>
              </w:tc>
              <w:tc>
                <w:tcPr/>
                <w:p>
                  <w:pPr>
                    <w:pStyle w:val="Compact"/>
                    <w:jc w:val="center"/>
                  </w:pPr>
                  <w:r>
                    <w:t xml:space="preserve">Exposição</w:t>
                  </w:r>
                </w:p>
              </w:tc>
              <w:tc>
                <w:tcPr/>
                <w:p>
                  <w:pPr>
                    <w:pStyle w:val="Compact"/>
                    <w:jc w:val="center"/>
                  </w:pPr>
                  <w:r>
                    <w:t xml:space="preserve">País (região)</w:t>
                  </w:r>
                </w:p>
              </w:tc>
              <w:tc>
                <w:tcPr/>
                <w:p>
                  <w:pPr>
                    <w:pStyle w:val="Compact"/>
                    <w:jc w:val="center"/>
                  </w:pPr>
                  <w:r>
                    <w:t xml:space="preserve">Eleição</w:t>
                  </w:r>
                </w:p>
              </w:tc>
              <w:tc>
                <w:tcPr/>
                <w:p>
                  <w:pPr>
                    <w:pStyle w:val="Compact"/>
                    <w:jc w:val="center"/>
                  </w:pPr>
                  <w:r>
                    <w:t xml:space="preserve">Contexto</w:t>
                  </w:r>
                </w:p>
              </w:tc>
              <w:tc>
                <w:tcPr/>
                <w:p>
                  <w:pPr>
                    <w:pStyle w:val="Compact"/>
                    <w:jc w:val="center"/>
                  </w:pPr>
                  <w:r>
                    <w:t xml:space="preserve">Construto</w:t>
                  </w:r>
                </w:p>
              </w:tc>
              <w:tc>
                <w:tcPr/>
                <w:p>
                  <w:pPr>
                    <w:pStyle w:val="Compact"/>
                    <w:jc w:val="center"/>
                  </w:pPr>
                  <w:r>
                    <w:t xml:space="preserve">Risco de viés geral</w:t>
                  </w:r>
                </w:p>
              </w:tc>
            </w:tr>
            <w:tr>
              <w:tc>
                <w:tcPr/>
                <w:p>
                  <w:pPr>
                    <w:pStyle w:val="Compact"/>
                    <w:jc w:val="center"/>
                  </w:pPr>
                  <w:r>
                    <w:t xml:space="preserve">Agranov et al. (2017)</w:t>
                  </w:r>
                  <w:r>
                    <w:t xml:space="preserve"> </w:t>
                  </w:r>
                  <w:r>
                    <w:t xml:space="preserve">(</w:t>
                  </w:r>
                  <w:r>
                    <w:t xml:space="preserve">Agranov et al. (2012)</w:t>
                  </w:r>
                  <w:r>
                    <w:t xml:space="preserve">)</w:t>
                  </w:r>
                </w:p>
              </w:tc>
              <w:tc>
                <w:tcPr/>
                <w:p>
                  <w:pPr>
                    <w:pStyle w:val="Compact"/>
                    <w:jc w:val="center"/>
                  </w:pPr>
                  <w:r>
                    <w:t xml:space="preserve">2017</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 e mobilização</w:t>
                  </w:r>
                </w:p>
              </w:tc>
              <w:tc>
                <w:tcPr/>
                <w:p>
                  <w:pPr>
                    <w:pStyle w:val="Compact"/>
                    <w:jc w:val="center"/>
                  </w:pPr>
                  <w:r>
                    <w:t xml:space="preserve">RoB 2: algumas preocupações (apoio); RoB 2: algumas preocupações (mobilização)</w:t>
                  </w:r>
                </w:p>
              </w:tc>
            </w:tr>
            <w:tr>
              <w:tc>
                <w:tcPr/>
                <w:p>
                  <w:pPr>
                    <w:pStyle w:val="Compact"/>
                    <w:jc w:val="center"/>
                  </w:pPr>
                  <w:r>
                    <w:t xml:space="preserve">Alabrese e Fetzer (2024)</w:t>
                  </w:r>
                  <w:r>
                    <w:t xml:space="preserve"> </w:t>
                  </w:r>
                  <w:r>
                    <w:t xml:space="preserve">(</w:t>
                  </w:r>
                  <w:r>
                    <w:t xml:space="preserve">Alabrese (2022)</w:t>
                  </w:r>
                  <w:r>
                    <w:t xml:space="preserve">)</w:t>
                  </w:r>
                </w:p>
              </w:tc>
              <w:tc>
                <w:tcPr/>
                <w:p>
                  <w:pPr>
                    <w:pStyle w:val="Compact"/>
                    <w:jc w:val="center"/>
                  </w:pPr>
                  <w:r>
                    <w:t xml:space="preserve">2024</w:t>
                  </w:r>
                </w:p>
              </w:tc>
              <w:tc>
                <w:tcPr/>
                <w:p>
                  <w:pPr>
                    <w:pStyle w:val="Compact"/>
                    <w:jc w:val="center"/>
                  </w:pPr>
                  <w:r>
                    <w:t xml:space="preserve">painel de distritos com data de entrevista quase aleatória</w:t>
                  </w:r>
                </w:p>
              </w:tc>
              <w:tc>
                <w:tcPr/>
                <w:p>
                  <w:pPr>
                    <w:pStyle w:val="Compact"/>
                    <w:jc w:val="center"/>
                  </w:pPr>
                  <w:r>
                    <w:t xml:space="preserve">pesquisa pré-eleitoral</w:t>
                  </w:r>
                </w:p>
              </w:tc>
              <w:tc>
                <w:tcPr/>
                <w:p>
                  <w:pPr>
                    <w:pStyle w:val="Compact"/>
                    <w:jc w:val="center"/>
                  </w:pPr>
                  <w:r>
                    <w:t xml:space="preserve">Reino Unido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ROBINS-I: grave (apoio); ROBINS-I: grave (mobilização)</w:t>
                  </w:r>
                </w:p>
              </w:tc>
            </w:tr>
            <w:tr>
              <w:tc>
                <w:tcPr/>
                <w:p>
                  <w:pPr>
                    <w:pStyle w:val="Compact"/>
                    <w:jc w:val="center"/>
                  </w:pPr>
                  <w:r>
                    <w:t xml:space="preserve">Araujo e Gatto (2021b)</w:t>
                  </w:r>
                  <w:r>
                    <w:t xml:space="preserve"> </w:t>
                  </w:r>
                  <w:r>
                    <w:t xml:space="preserve">(</w:t>
                  </w:r>
                  <w:r>
                    <w:t xml:space="preserve">Araujo e Gatto (2021a)</w:t>
                  </w:r>
                  <w:r>
                    <w:t xml:space="preserve">)</w:t>
                  </w:r>
                </w:p>
              </w:tc>
              <w:tc>
                <w:tcPr/>
                <w:p>
                  <w:pPr>
                    <w:pStyle w:val="Compact"/>
                    <w:jc w:val="center"/>
                  </w:pPr>
                  <w:r>
                    <w:t xml:space="preserve">2021</w:t>
                  </w:r>
                </w:p>
              </w:tc>
              <w:tc>
                <w:tcPr/>
                <w:p>
                  <w:pPr>
                    <w:pStyle w:val="Compact"/>
                    <w:jc w:val="center"/>
                  </w:pPr>
                  <w:r>
                    <w:t xml:space="preserve">experimento natural</w:t>
                  </w:r>
                </w:p>
              </w:tc>
              <w:tc>
                <w:tcPr/>
                <w:p>
                  <w:pPr>
                    <w:pStyle w:val="Compact"/>
                    <w:jc w:val="center"/>
                  </w:pPr>
                  <w:r>
                    <w:t xml:space="preserve">apuração parcial oficial</w:t>
                  </w:r>
                </w:p>
              </w:tc>
              <w:tc>
                <w:tcPr/>
                <w:p>
                  <w:pPr>
                    <w:pStyle w:val="Compact"/>
                    <w:jc w:val="center"/>
                  </w:pPr>
                  <w:r>
                    <w:t xml:space="preserve">Brasil (Brasil)</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ROBINS-I: grave</w:t>
                  </w:r>
                </w:p>
              </w:tc>
            </w:tr>
            <w:tr>
              <w:tc>
                <w:tcPr/>
                <w:p>
                  <w:pPr>
                    <w:pStyle w:val="Compact"/>
                    <w:jc w:val="center"/>
                  </w:pPr>
                  <w:r>
                    <w:t xml:space="preserve">Boukouras et al. (2020)</w:t>
                  </w:r>
                </w:p>
              </w:tc>
              <w:tc>
                <w:tcPr/>
                <w:p>
                  <w:pPr>
                    <w:pStyle w:val="Compact"/>
                    <w:jc w:val="center"/>
                  </w:pPr>
                  <w:r>
                    <w:t xml:space="preserve">2020</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Reino Unido; Estados Unidos (outras)</w:t>
                  </w:r>
                </w:p>
              </w:tc>
              <w:tc>
                <w:tcPr/>
                <w:p>
                  <w:pPr>
                    <w:pStyle w:val="Compact"/>
                    <w:jc w:val="center"/>
                  </w:pPr>
                  <w:r>
                    <w:t xml:space="preserve">candidatos ou partidos</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Brugarolas e Miller (2021)</w:t>
                  </w:r>
                </w:p>
              </w:tc>
              <w:tc>
                <w:tcPr/>
                <w:p>
                  <w:pPr>
                    <w:pStyle w:val="Compact"/>
                    <w:jc w:val="center"/>
                  </w:pPr>
                  <w:r>
                    <w:t xml:space="preserve">2021</w:t>
                  </w:r>
                </w:p>
              </w:tc>
              <w:tc>
                <w:tcPr/>
                <w:p>
                  <w:pPr>
                    <w:pStyle w:val="Compact"/>
                    <w:jc w:val="center"/>
                  </w:pPr>
                  <w:r>
                    <w:t xml:space="preserve">experimento natural</w:t>
                  </w:r>
                </w:p>
              </w:tc>
              <w:tc>
                <w:tcPr/>
                <w:p>
                  <w:pPr>
                    <w:pStyle w:val="Compact"/>
                    <w:jc w:val="center"/>
                  </w:pPr>
                  <w:r>
                    <w:t xml:space="preserve">pesquisa pré-eleitoral</w:t>
                  </w:r>
                </w:p>
              </w:tc>
              <w:tc>
                <w:tcPr/>
                <w:p>
                  <w:pPr>
                    <w:pStyle w:val="Compact"/>
                    <w:jc w:val="center"/>
                  </w:pPr>
                  <w:r>
                    <w:t xml:space="preserve">Espanha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ROBINS-I: moderado</w:t>
                  </w:r>
                </w:p>
              </w:tc>
            </w:tr>
            <w:tr>
              <w:tc>
                <w:tcPr/>
                <w:p>
                  <w:pPr>
                    <w:pStyle w:val="Compact"/>
                    <w:jc w:val="center"/>
                  </w:pPr>
                  <w:r>
                    <w:t xml:space="preserve">Bursztyn et al. (2023)</w:t>
                  </w:r>
                  <w:r>
                    <w:t xml:space="preserve"> </w:t>
                  </w:r>
                  <w:r>
                    <w:t xml:space="preserve">(</w:t>
                  </w:r>
                  <w:r>
                    <w:t xml:space="preserve">Bursztyn, Cantoni, Funk, Schönenberger, et al. (2017)</w:t>
                  </w:r>
                  <w:r>
                    <w:t xml:space="preserve">;</w:t>
                  </w:r>
                  <w:r>
                    <w:t xml:space="preserve"> </w:t>
                  </w:r>
                  <w:r>
                    <w:t xml:space="preserve">Bursztyn, Cantoni, Funk, e Yuchtman (2017)</w:t>
                  </w:r>
                  <w:r>
                    <w:t xml:space="preserve">)</w:t>
                  </w:r>
                </w:p>
              </w:tc>
              <w:tc>
                <w:tcPr/>
                <w:p>
                  <w:pPr>
                    <w:pStyle w:val="Compact"/>
                    <w:jc w:val="center"/>
                  </w:pPr>
                  <w:r>
                    <w:t xml:space="preserve">2023</w:t>
                  </w:r>
                </w:p>
              </w:tc>
              <w:tc>
                <w:tcPr/>
                <w:p>
                  <w:pPr>
                    <w:pStyle w:val="Compact"/>
                    <w:jc w:val="center"/>
                  </w:pPr>
                  <w:r>
                    <w:t xml:space="preserve">experimento natural</w:t>
                  </w:r>
                </w:p>
              </w:tc>
              <w:tc>
                <w:tcPr/>
                <w:p>
                  <w:pPr>
                    <w:pStyle w:val="Compact"/>
                    <w:jc w:val="center"/>
                  </w:pPr>
                  <w:r>
                    <w:t xml:space="preserve">pesquisa pré-eleitoral</w:t>
                  </w:r>
                </w:p>
              </w:tc>
              <w:tc>
                <w:tcPr/>
                <w:p>
                  <w:pPr>
                    <w:pStyle w:val="Compact"/>
                    <w:jc w:val="center"/>
                  </w:pPr>
                  <w:r>
                    <w:t xml:space="preserve">Suíça (outras)</w:t>
                  </w:r>
                </w:p>
              </w:tc>
              <w:tc>
                <w:tcPr/>
                <w:p>
                  <w:pPr>
                    <w:pStyle w:val="Compact"/>
                    <w:jc w:val="center"/>
                  </w:pPr>
                  <w:r>
                    <w:t xml:space="preserve">referendo</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EPOC: alto (apoio); EPOC: baixo (mobilização)</w:t>
                  </w:r>
                </w:p>
              </w:tc>
            </w:tr>
            <w:tr>
              <w:tc>
                <w:tcPr/>
                <w:p>
                  <w:pPr>
                    <w:pStyle w:val="Compact"/>
                    <w:jc w:val="center"/>
                  </w:pPr>
                  <w:r>
                    <w:t xml:space="preserve">Chatterjee e Kamal (2019)</w:t>
                  </w:r>
                </w:p>
              </w:tc>
              <w:tc>
                <w:tcPr/>
                <w:p>
                  <w:pPr>
                    <w:pStyle w:val="Compact"/>
                    <w:jc w:val="center"/>
                  </w:pPr>
                  <w:r>
                    <w:t xml:space="preserve">2019</w:t>
                  </w:r>
                </w:p>
              </w:tc>
              <w:tc>
                <w:tcPr/>
                <w:p>
                  <w:pPr>
                    <w:pStyle w:val="Compact"/>
                    <w:jc w:val="center"/>
                  </w:pPr>
                  <w:r>
                    <w:t xml:space="preserve">experimento natural</w:t>
                  </w:r>
                </w:p>
              </w:tc>
              <w:tc>
                <w:tcPr/>
                <w:p>
                  <w:pPr>
                    <w:pStyle w:val="Compact"/>
                    <w:jc w:val="center"/>
                  </w:pPr>
                  <w:r>
                    <w:t xml:space="preserve">boca de urna</w:t>
                  </w:r>
                </w:p>
              </w:tc>
              <w:tc>
                <w:tcPr/>
                <w:p>
                  <w:pPr>
                    <w:pStyle w:val="Compact"/>
                    <w:jc w:val="center"/>
                  </w:pPr>
                  <w:r>
                    <w:t xml:space="preserve">Índia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EPOC: alto (apoio); EPOC: alto (mobilização)</w:t>
                  </w:r>
                </w:p>
              </w:tc>
            </w:tr>
            <w:tr>
              <w:tc>
                <w:tcPr/>
                <w:p>
                  <w:pPr>
                    <w:pStyle w:val="Compact"/>
                    <w:jc w:val="center"/>
                  </w:pPr>
                  <w:r>
                    <w:t xml:space="preserve">Cornejo (2023)</w:t>
                  </w:r>
                </w:p>
              </w:tc>
              <w:tc>
                <w:tcPr/>
                <w:p>
                  <w:pPr>
                    <w:pStyle w:val="Compact"/>
                    <w:jc w:val="center"/>
                  </w:pPr>
                  <w:r>
                    <w:t xml:space="preserve">2023</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México (América Latina)</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Dahlgaard et al. (2016)</w:t>
                  </w:r>
                  <w:r>
                    <w:t xml:space="preserve"> </w:t>
                  </w:r>
                  <w:r>
                    <w:t xml:space="preserve">(</w:t>
                  </w:r>
                  <w:r>
                    <w:t xml:space="preserve">Dahlgaard et al. (2015a)</w:t>
                  </w:r>
                  <w:r>
                    <w:t xml:space="preserve">;</w:t>
                  </w:r>
                  <w:r>
                    <w:t xml:space="preserve"> </w:t>
                  </w:r>
                  <w:r>
                    <w:t xml:space="preserve">Dahlgaard et al. (2015b)</w:t>
                  </w:r>
                  <w:r>
                    <w:t xml:space="preserve">;</w:t>
                  </w:r>
                  <w:r>
                    <w:t xml:space="preserve"> </w:t>
                  </w:r>
                  <w:r>
                    <w:t xml:space="preserve">Dahlgaard et al. (2017)</w:t>
                  </w:r>
                  <w:r>
                    <w:t xml:space="preserve">)</w:t>
                  </w:r>
                </w:p>
              </w:tc>
              <w:tc>
                <w:tcPr/>
                <w:p>
                  <w:pPr>
                    <w:pStyle w:val="Compact"/>
                    <w:jc w:val="center"/>
                  </w:pPr>
                  <w:r>
                    <w:t xml:space="preserve">2016</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Dinamarca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Erlich (2023)</w:t>
                  </w:r>
                </w:p>
              </w:tc>
              <w:tc>
                <w:tcPr/>
                <w:p>
                  <w:pPr>
                    <w:pStyle w:val="Compact"/>
                    <w:jc w:val="center"/>
                  </w:pPr>
                  <w:r>
                    <w:t xml:space="preserve">2023</w:t>
                  </w:r>
                </w:p>
              </w:tc>
              <w:tc>
                <w:tcPr/>
                <w:p>
                  <w:pPr>
                    <w:pStyle w:val="Compact"/>
                    <w:jc w:val="center"/>
                  </w:pPr>
                  <w:r>
                    <w:t xml:space="preserve">laboratório, candidatos reais</w:t>
                  </w:r>
                </w:p>
              </w:tc>
              <w:tc>
                <w:tcPr/>
                <w:p>
                  <w:pPr>
                    <w:pStyle w:val="Compact"/>
                    <w:jc w:val="center"/>
                  </w:pPr>
                  <w:r>
                    <w:t xml:space="preserve">pesquisa pré-eleitoral</w:t>
                  </w:r>
                </w:p>
              </w:tc>
              <w:tc>
                <w:tcPr/>
                <w:p>
                  <w:pPr>
                    <w:pStyle w:val="Compact"/>
                    <w:jc w:val="center"/>
                  </w:pPr>
                  <w:r>
                    <w:t xml:space="preserve">Geórgia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 2: alto</w:t>
                  </w:r>
                </w:p>
              </w:tc>
            </w:tr>
            <w:tr>
              <w:tc>
                <w:tcPr/>
                <w:p>
                  <w:pPr>
                    <w:pStyle w:val="Compact"/>
                    <w:jc w:val="center"/>
                  </w:pPr>
                  <w:r>
                    <w:t xml:space="preserve">Farjam (2020)</w:t>
                  </w:r>
                </w:p>
              </w:tc>
              <w:tc>
                <w:tcPr/>
                <w:p>
                  <w:pPr>
                    <w:pStyle w:val="Compact"/>
                    <w:jc w:val="center"/>
                  </w:pPr>
                  <w:r>
                    <w:t xml:space="preserve">2020</w:t>
                  </w:r>
                </w:p>
              </w:tc>
              <w:tc>
                <w:tcPr/>
                <w:p>
                  <w:pPr>
                    <w:pStyle w:val="Compact"/>
                    <w:jc w:val="center"/>
                  </w:pPr>
                  <w:r>
                    <w:t xml:space="preserve">laboratório, candidatos reais</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Feltovich e Giovannoni (2022)</w:t>
                  </w:r>
                </w:p>
              </w:tc>
              <w:tc>
                <w:tcPr/>
                <w:p>
                  <w:pPr>
                    <w:pStyle w:val="Compact"/>
                    <w:jc w:val="center"/>
                  </w:pPr>
                  <w:r>
                    <w:t xml:space="preserve">2022</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Austrália (outras)</w:t>
                  </w:r>
                </w:p>
              </w:tc>
              <w:tc>
                <w:tcPr/>
                <w:p>
                  <w:pPr>
                    <w:pStyle w:val="Compact"/>
                    <w:jc w:val="center"/>
                  </w:pPr>
                  <w:r>
                    <w:t xml:space="preserve">candidatos ou partidos</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ROBINS-I: grave</w:t>
                  </w:r>
                </w:p>
              </w:tc>
            </w:tr>
            <w:tr>
              <w:tc>
                <w:tcPr/>
                <w:p>
                  <w:pPr>
                    <w:pStyle w:val="Compact"/>
                    <w:jc w:val="center"/>
                  </w:pPr>
                  <w:r>
                    <w:t xml:space="preserve">Fichnová e Wojciechowski (2015)</w:t>
                  </w:r>
                </w:p>
              </w:tc>
              <w:tc>
                <w:tcPr/>
                <w:p>
                  <w:pPr>
                    <w:pStyle w:val="Compact"/>
                    <w:jc w:val="center"/>
                  </w:pPr>
                  <w:r>
                    <w:t xml:space="preserve">2015</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Eslováquia; Polônia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Fredén (2016)</w:t>
                  </w:r>
                </w:p>
              </w:tc>
              <w:tc>
                <w:tcPr/>
                <w:p>
                  <w:pPr>
                    <w:pStyle w:val="Compact"/>
                    <w:jc w:val="center"/>
                  </w:pPr>
                  <w:r>
                    <w:t xml:space="preserve">2016</w:t>
                  </w:r>
                </w:p>
              </w:tc>
              <w:tc>
                <w:tcPr/>
                <w:p>
                  <w:pPr>
                    <w:pStyle w:val="Compact"/>
                    <w:jc w:val="center"/>
                  </w:pPr>
                  <w:r>
                    <w:t xml:space="preserve">experimento de survey (artigo 2 da tese)</w:t>
                  </w:r>
                </w:p>
              </w:tc>
              <w:tc>
                <w:tcPr/>
                <w:p>
                  <w:pPr>
                    <w:pStyle w:val="Compact"/>
                    <w:jc w:val="center"/>
                  </w:pPr>
                  <w:r>
                    <w:t xml:space="preserve">pesquisa pré-eleitoral</w:t>
                  </w:r>
                </w:p>
              </w:tc>
              <w:tc>
                <w:tcPr/>
                <w:p>
                  <w:pPr>
                    <w:pStyle w:val="Compact"/>
                    <w:jc w:val="center"/>
                  </w:pPr>
                  <w:r>
                    <w:t xml:space="preserve">Suécia; Canadá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não avaliado (sem efeito principal extraído)</w:t>
                  </w:r>
                </w:p>
              </w:tc>
            </w:tr>
            <w:tr>
              <w:tc>
                <w:tcPr/>
                <w:p>
                  <w:pPr>
                    <w:pStyle w:val="Compact"/>
                    <w:jc w:val="center"/>
                  </w:pPr>
                  <w:r>
                    <w:t xml:space="preserve">Fredén et al. (2024)</w:t>
                  </w:r>
                </w:p>
              </w:tc>
              <w:tc>
                <w:tcPr/>
                <w:p>
                  <w:pPr>
                    <w:pStyle w:val="Compact"/>
                    <w:jc w:val="center"/>
                  </w:pPr>
                  <w:r>
                    <w:t xml:space="preserve">2024</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Suécia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Gandhi e Ong (2019)</w:t>
                  </w:r>
                </w:p>
              </w:tc>
              <w:tc>
                <w:tcPr/>
                <w:p>
                  <w:pPr>
                    <w:pStyle w:val="Compact"/>
                    <w:jc w:val="center"/>
                  </w:pPr>
                  <w:r>
                    <w:t xml:space="preserve">2019</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Malásia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Gasperoni e Mantovani (2015)</w:t>
                  </w:r>
                </w:p>
              </w:tc>
              <w:tc>
                <w:tcPr/>
                <w:p>
                  <w:pPr>
                    <w:pStyle w:val="Compact"/>
                    <w:jc w:val="center"/>
                  </w:pPr>
                  <w:r>
                    <w:t xml:space="preserve">2015</w:t>
                  </w:r>
                </w:p>
              </w:tc>
              <w:tc>
                <w:tcPr/>
                <w:p>
                  <w:pPr>
                    <w:pStyle w:val="Compact"/>
                    <w:jc w:val="center"/>
                  </w:pPr>
                  <w:r>
                    <w:t xml:space="preserve">campanha simulada online (DPTE)</w:t>
                  </w:r>
                </w:p>
              </w:tc>
              <w:tc>
                <w:tcPr/>
                <w:p>
                  <w:pPr>
                    <w:pStyle w:val="Compact"/>
                    <w:jc w:val="center"/>
                  </w:pPr>
                  <w:r>
                    <w:t xml:space="preserve">pesquisa pré-eleitoral</w:t>
                  </w:r>
                </w:p>
              </w:tc>
              <w:tc>
                <w:tcPr/>
                <w:p>
                  <w:pPr>
                    <w:pStyle w:val="Compact"/>
                    <w:jc w:val="center"/>
                  </w:pPr>
                  <w:r>
                    <w:t xml:space="preserve">Itália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ROBINS-I: crítico</w:t>
                  </w:r>
                </w:p>
              </w:tc>
            </w:tr>
            <w:tr>
              <w:tc>
                <w:tcPr/>
                <w:p>
                  <w:pPr>
                    <w:pStyle w:val="Compact"/>
                    <w:jc w:val="center"/>
                  </w:pPr>
                  <w:r>
                    <w:t xml:space="preserve">Geers et al. (2018)</w:t>
                  </w:r>
                </w:p>
              </w:tc>
              <w:tc>
                <w:tcPr/>
                <w:p>
                  <w:pPr>
                    <w:pStyle w:val="Compact"/>
                    <w:jc w:val="center"/>
                  </w:pPr>
                  <w:r>
                    <w:t xml:space="preserve">2018</w:t>
                  </w:r>
                </w:p>
              </w:tc>
              <w:tc>
                <w:tcPr/>
                <w:p>
                  <w:pPr>
                    <w:pStyle w:val="Compact"/>
                    <w:jc w:val="center"/>
                  </w:pPr>
                  <w:r>
                    <w:t xml:space="preserve">painel individual</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ROBINS-I: grave</w:t>
                  </w:r>
                </w:p>
              </w:tc>
            </w:tr>
            <w:tr>
              <w:tc>
                <w:tcPr/>
                <w:p>
                  <w:pPr>
                    <w:pStyle w:val="Compact"/>
                    <w:jc w:val="center"/>
                  </w:pPr>
                  <w:r>
                    <w:t xml:space="preserve">Gerber et al. (2020)</w:t>
                  </w:r>
                  <w:r>
                    <w:t xml:space="preserve"> </w:t>
                  </w:r>
                  <w:r>
                    <w:t xml:space="preserve">(</w:t>
                  </w:r>
                  <w:r>
                    <w:t xml:space="preserve">Gerber et al. (2017a)</w:t>
                  </w:r>
                  <w:r>
                    <w:t xml:space="preserve">;</w:t>
                  </w:r>
                  <w:r>
                    <w:t xml:space="preserve"> </w:t>
                  </w:r>
                  <w:r>
                    <w:t xml:space="preserve">Gerber et al. (2017b)</w:t>
                  </w:r>
                  <w:r>
                    <w:t xml:space="preserve">)</w:t>
                  </w:r>
                </w:p>
              </w:tc>
              <w:tc>
                <w:tcPr/>
                <w:p>
                  <w:pPr>
                    <w:pStyle w:val="Compact"/>
                    <w:jc w:val="center"/>
                  </w:pPr>
                  <w:r>
                    <w:t xml:space="preserve">2020</w:t>
                  </w:r>
                </w:p>
              </w:tc>
              <w:tc>
                <w:tcPr/>
                <w:p>
                  <w:pPr>
                    <w:pStyle w:val="Compact"/>
                    <w:jc w:val="center"/>
                  </w:pPr>
                  <w:r>
                    <w:t xml:space="preserve">experimento de campo</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RoB 2: algumas preocupações (mobilização)</w:t>
                  </w:r>
                </w:p>
              </w:tc>
            </w:tr>
            <w:tr>
              <w:tc>
                <w:tcPr/>
                <w:p>
                  <w:pPr>
                    <w:pStyle w:val="Compact"/>
                    <w:jc w:val="center"/>
                  </w:pPr>
                  <w:r>
                    <w:t xml:space="preserve">Grillo e Raiber (2024)</w:t>
                  </w:r>
                </w:p>
              </w:tc>
              <w:tc>
                <w:tcPr/>
                <w:p>
                  <w:pPr>
                    <w:pStyle w:val="Compact"/>
                    <w:jc w:val="center"/>
                  </w:pPr>
                  <w:r>
                    <w:t xml:space="preserve">2024</w:t>
                  </w:r>
                </w:p>
              </w:tc>
              <w:tc>
                <w:tcPr/>
                <w:p>
                  <w:pPr>
                    <w:pStyle w:val="Compact"/>
                    <w:jc w:val="center"/>
                  </w:pPr>
                  <w:r>
                    <w:t xml:space="preserve">experimento natural</w:t>
                  </w:r>
                </w:p>
              </w:tc>
              <w:tc>
                <w:tcPr/>
                <w:p>
                  <w:pPr>
                    <w:pStyle w:val="Compact"/>
                    <w:jc w:val="center"/>
                  </w:pPr>
                  <w:r>
                    <w:t xml:space="preserve">boca de urna</w:t>
                  </w:r>
                </w:p>
              </w:tc>
              <w:tc>
                <w:tcPr/>
                <w:p>
                  <w:pPr>
                    <w:pStyle w:val="Compact"/>
                    <w:jc w:val="center"/>
                  </w:pPr>
                  <w:r>
                    <w:t xml:space="preserve">França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EPOC: alto</w:t>
                  </w:r>
                </w:p>
              </w:tc>
            </w:tr>
            <w:tr>
              <w:tc>
                <w:tcPr/>
                <w:p>
                  <w:pPr>
                    <w:pStyle w:val="Compact"/>
                    <w:jc w:val="center"/>
                  </w:pPr>
                  <w:r>
                    <w:t xml:space="preserve">Großer e Schram (2010)</w:t>
                  </w:r>
                </w:p>
              </w:tc>
              <w:tc>
                <w:tcPr/>
                <w:p>
                  <w:pPr>
                    <w:pStyle w:val="Compact"/>
                    <w:jc w:val="center"/>
                  </w:pPr>
                  <w:r>
                    <w:t xml:space="preserve">2010</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NR (NR)</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mobilização</w:t>
                  </w:r>
                </w:p>
              </w:tc>
              <w:tc>
                <w:tcPr/>
                <w:p>
                  <w:pPr>
                    <w:pStyle w:val="Compact"/>
                    <w:jc w:val="center"/>
                  </w:pPr>
                  <w:r>
                    <w:t xml:space="preserve">RoB 2: algumas preocupações</w:t>
                  </w:r>
                </w:p>
              </w:tc>
            </w:tr>
            <w:tr>
              <w:tc>
                <w:tcPr/>
                <w:p>
                  <w:pPr>
                    <w:pStyle w:val="Compact"/>
                    <w:jc w:val="center"/>
                  </w:pPr>
                  <w:r>
                    <w:t xml:space="preserve">Kaplan (2019)</w:t>
                  </w:r>
                </w:p>
              </w:tc>
              <w:tc>
                <w:tcPr/>
                <w:p>
                  <w:pPr>
                    <w:pStyle w:val="Compact"/>
                    <w:jc w:val="center"/>
                  </w:pPr>
                  <w:r>
                    <w:t xml:space="preserve">2019</w:t>
                  </w:r>
                </w:p>
              </w:tc>
              <w:tc>
                <w:tcPr/>
                <w:p>
                  <w:pPr>
                    <w:pStyle w:val="Compact"/>
                    <w:jc w:val="center"/>
                  </w:pPr>
                  <w:r>
                    <w:t xml:space="preserve">experimento de survey</w:t>
                  </w:r>
                </w:p>
              </w:tc>
              <w:tc>
                <w:tcPr/>
                <w:p>
                  <w:pPr>
                    <w:pStyle w:val="Compact"/>
                    <w:jc w:val="center"/>
                  </w:pPr>
                  <w:r>
                    <w:t xml:space="preserve">agregador ou projeção</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mobilização</w:t>
                  </w:r>
                </w:p>
              </w:tc>
              <w:tc>
                <w:tcPr/>
                <w:p>
                  <w:pPr>
                    <w:pStyle w:val="Compact"/>
                    <w:jc w:val="center"/>
                  </w:pPr>
                  <w:r>
                    <w:t xml:space="preserve">ROBINS-I: crítico</w:t>
                  </w:r>
                </w:p>
              </w:tc>
            </w:tr>
            <w:tr>
              <w:tc>
                <w:tcPr/>
                <w:p>
                  <w:pPr>
                    <w:pStyle w:val="Compact"/>
                    <w:jc w:val="center"/>
                  </w:pPr>
                  <w:r>
                    <w:t xml:space="preserve">Klor e Winter (2017)</w:t>
                  </w:r>
                </w:p>
              </w:tc>
              <w:tc>
                <w:tcPr/>
                <w:p>
                  <w:pPr>
                    <w:pStyle w:val="Compact"/>
                    <w:jc w:val="center"/>
                  </w:pPr>
                  <w:r>
                    <w:t xml:space="preserve">2017</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Israel; Estados Unidos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 e mobilização</w:t>
                  </w:r>
                </w:p>
              </w:tc>
              <w:tc>
                <w:tcPr/>
                <w:p>
                  <w:pPr>
                    <w:pStyle w:val="Compact"/>
                    <w:jc w:val="center"/>
                  </w:pPr>
                  <w:r>
                    <w:t xml:space="preserve">RoB 2: algumas preocupações (apoio); ROBINS-I: moderado (mobilização)</w:t>
                  </w:r>
                </w:p>
              </w:tc>
            </w:tr>
            <w:tr>
              <w:tc>
                <w:tcPr/>
                <w:p>
                  <w:pPr>
                    <w:pStyle w:val="Compact"/>
                    <w:jc w:val="center"/>
                  </w:pPr>
                  <w:r>
                    <w:t xml:space="preserve">Lago et al. (2015)</w:t>
                  </w:r>
                </w:p>
              </w:tc>
              <w:tc>
                <w:tcPr/>
                <w:p>
                  <w:pPr>
                    <w:pStyle w:val="Compact"/>
                    <w:jc w:val="center"/>
                  </w:pPr>
                  <w:r>
                    <w:t xml:space="preserve">2015</w:t>
                  </w:r>
                </w:p>
              </w:tc>
              <w:tc>
                <w:tcPr/>
                <w:p>
                  <w:pPr>
                    <w:pStyle w:val="Compact"/>
                    <w:jc w:val="center"/>
                  </w:pPr>
                  <w:r>
                    <w:t xml:space="preserve">corte transversal agregado de 46 países</w:t>
                  </w:r>
                </w:p>
              </w:tc>
              <w:tc>
                <w:tcPr/>
                <w:p>
                  <w:pPr>
                    <w:pStyle w:val="Compact"/>
                    <w:jc w:val="center"/>
                  </w:pPr>
                  <w:r>
                    <w:t xml:space="preserve">pesquisa pré-eleitoral</w:t>
                  </w:r>
                </w:p>
              </w:tc>
              <w:tc>
                <w:tcPr/>
                <w:p>
                  <w:pPr>
                    <w:pStyle w:val="Compact"/>
                    <w:jc w:val="center"/>
                  </w:pPr>
                  <w:r>
                    <w:t xml:space="preserve">46 países, entre eles o Brasil (América Latina, Brasil,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ROBINS-I: grave</w:t>
                  </w:r>
                </w:p>
              </w:tc>
            </w:tr>
            <w:tr>
              <w:tc>
                <w:tcPr/>
                <w:p>
                  <w:pPr>
                    <w:pStyle w:val="Compact"/>
                    <w:jc w:val="center"/>
                  </w:pPr>
                  <w:r>
                    <w:t xml:space="preserve">Lammers et al. (2022)</w:t>
                  </w:r>
                </w:p>
              </w:tc>
              <w:tc>
                <w:tcPr/>
                <w:p>
                  <w:pPr>
                    <w:pStyle w:val="Compact"/>
                    <w:jc w:val="center"/>
                  </w:pPr>
                  <w:r>
                    <w:t xml:space="preserve">2022</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Polônia; Estados Unidos; União Europeia ou Reino Unido (outras)</w:t>
                  </w:r>
                </w:p>
              </w:tc>
              <w:tc>
                <w:tcPr/>
                <w:p>
                  <w:pPr>
                    <w:pStyle w:val="Compact"/>
                    <w:jc w:val="center"/>
                  </w:pPr>
                  <w:r>
                    <w:t xml:space="preserve">simulada abstrata</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Meer et al. (2015)</w:t>
                  </w:r>
                </w:p>
              </w:tc>
              <w:tc>
                <w:tcPr/>
                <w:p>
                  <w:pPr>
                    <w:pStyle w:val="Compact"/>
                    <w:jc w:val="center"/>
                  </w:pPr>
                  <w:r>
                    <w:t xml:space="preserve">2015</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Meffert e Gschwend (2011)</w:t>
                  </w:r>
                </w:p>
              </w:tc>
              <w:tc>
                <w:tcPr/>
                <w:p>
                  <w:pPr>
                    <w:pStyle w:val="Compact"/>
                    <w:jc w:val="center"/>
                  </w:pPr>
                  <w:r>
                    <w:t xml:space="preserve">2011</w:t>
                  </w:r>
                </w:p>
              </w:tc>
              <w:tc>
                <w:tcPr/>
                <w:p>
                  <w:pPr>
                    <w:pStyle w:val="Compact"/>
                    <w:jc w:val="center"/>
                  </w:pPr>
                  <w:r>
                    <w:t xml:space="preserve">laboratório, candidatos reais</w:t>
                  </w:r>
                </w:p>
              </w:tc>
              <w:tc>
                <w:tcPr/>
                <w:p>
                  <w:pPr>
                    <w:pStyle w:val="Compact"/>
                    <w:jc w:val="center"/>
                  </w:pPr>
                  <w:r>
                    <w:t xml:space="preserve">pesquisa pré-eleitoral</w:t>
                  </w:r>
                </w:p>
              </w:tc>
              <w:tc>
                <w:tcPr/>
                <w:p>
                  <w:pPr>
                    <w:pStyle w:val="Compact"/>
                    <w:jc w:val="center"/>
                  </w:pPr>
                  <w:r>
                    <w:t xml:space="preserve">Alemanha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Meffert e Gschwend (2012)</w:t>
                  </w:r>
                </w:p>
              </w:tc>
              <w:tc>
                <w:tcPr/>
                <w:p>
                  <w:pPr>
                    <w:pStyle w:val="Compact"/>
                    <w:jc w:val="center"/>
                  </w:pPr>
                  <w:r>
                    <w:t xml:space="preserve">2012</w:t>
                  </w:r>
                </w:p>
              </w:tc>
              <w:tc>
                <w:tcPr/>
                <w:p>
                  <w:pPr>
                    <w:pStyle w:val="Compact"/>
                    <w:jc w:val="center"/>
                  </w:pPr>
                  <w:r>
                    <w:t xml:space="preserve">três desenhos (laboratório induzido, laboratório real, vinheta)</w:t>
                  </w:r>
                </w:p>
              </w:tc>
              <w:tc>
                <w:tcPr/>
                <w:p>
                  <w:pPr>
                    <w:pStyle w:val="Compact"/>
                    <w:jc w:val="center"/>
                  </w:pPr>
                  <w:r>
                    <w:t xml:space="preserve">pesquisa pré-eleitoral</w:t>
                  </w:r>
                </w:p>
              </w:tc>
              <w:tc>
                <w:tcPr/>
                <w:p>
                  <w:pPr>
                    <w:pStyle w:val="Compact"/>
                    <w:jc w:val="center"/>
                  </w:pPr>
                  <w:r>
                    <w:t xml:space="preserve">Alemanha; Áustria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não avaliado (sem efeito principal extraído)</w:t>
                  </w:r>
                </w:p>
              </w:tc>
            </w:tr>
            <w:tr>
              <w:tc>
                <w:tcPr/>
                <w:p>
                  <w:pPr>
                    <w:pStyle w:val="Compact"/>
                    <w:jc w:val="center"/>
                  </w:pPr>
                  <w:r>
                    <w:t xml:space="preserve">Morton et al. (2015)</w:t>
                  </w:r>
                  <w:r>
                    <w:t xml:space="preserve"> </w:t>
                  </w:r>
                  <w:r>
                    <w:t xml:space="preserve">(</w:t>
                  </w:r>
                  <w:r>
                    <w:t xml:space="preserve">Morton et al. (2013)</w:t>
                  </w:r>
                  <w:r>
                    <w:t xml:space="preserve">)</w:t>
                  </w:r>
                </w:p>
              </w:tc>
              <w:tc>
                <w:tcPr/>
                <w:p>
                  <w:pPr>
                    <w:pStyle w:val="Compact"/>
                    <w:jc w:val="center"/>
                  </w:pPr>
                  <w:r>
                    <w:t xml:space="preserve">2015</w:t>
                  </w:r>
                </w:p>
              </w:tc>
              <w:tc>
                <w:tcPr/>
                <w:p>
                  <w:pPr>
                    <w:pStyle w:val="Compact"/>
                    <w:jc w:val="center"/>
                  </w:pPr>
                  <w:r>
                    <w:t xml:space="preserve">experimento natural</w:t>
                  </w:r>
                </w:p>
              </w:tc>
              <w:tc>
                <w:tcPr/>
                <w:p>
                  <w:pPr>
                    <w:pStyle w:val="Compact"/>
                    <w:jc w:val="center"/>
                  </w:pPr>
                  <w:r>
                    <w:t xml:space="preserve">boca de urna</w:t>
                  </w:r>
                </w:p>
              </w:tc>
              <w:tc>
                <w:tcPr/>
                <w:p>
                  <w:pPr>
                    <w:pStyle w:val="Compact"/>
                    <w:jc w:val="center"/>
                  </w:pPr>
                  <w:r>
                    <w:t xml:space="preserve">França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EPOC: alto (apoio); EPOC: alto (mobilização)</w:t>
                  </w:r>
                </w:p>
              </w:tc>
            </w:tr>
            <w:tr>
              <w:tc>
                <w:tcPr/>
                <w:p>
                  <w:pPr>
                    <w:pStyle w:val="Compact"/>
                    <w:jc w:val="center"/>
                  </w:pPr>
                  <w:r>
                    <w:t xml:space="preserve">Schlegel et al. (2023)</w:t>
                  </w:r>
                </w:p>
              </w:tc>
              <w:tc>
                <w:tcPr/>
                <w:p>
                  <w:pPr>
                    <w:pStyle w:val="Compact"/>
                    <w:jc w:val="center"/>
                  </w:pPr>
                  <w:r>
                    <w:t xml:space="preserve">2023</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Reino Unido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Stolwijk et al. (2016)</w:t>
                  </w:r>
                  <w:r>
                    <w:t xml:space="preserve"> </w:t>
                  </w:r>
                  <w:r>
                    <w:t xml:space="preserve">(</w:t>
                  </w:r>
                  <w:r>
                    <w:t xml:space="preserve">Stolwijk (2017)</w:t>
                  </w:r>
                  <w:r>
                    <w:t xml:space="preserve">)</w:t>
                  </w:r>
                </w:p>
              </w:tc>
              <w:tc>
                <w:tcPr/>
                <w:p>
                  <w:pPr>
                    <w:pStyle w:val="Compact"/>
                    <w:jc w:val="center"/>
                  </w:pPr>
                  <w:r>
                    <w:t xml:space="preserve">2016</w:t>
                  </w:r>
                </w:p>
              </w:tc>
              <w:tc>
                <w:tcPr/>
                <w:p>
                  <w:pPr>
                    <w:pStyle w:val="Compact"/>
                    <w:jc w:val="center"/>
                  </w:pPr>
                  <w:r>
                    <w:t xml:space="preserve">painel individual</w:t>
                  </w:r>
                </w:p>
              </w:tc>
              <w:tc>
                <w:tcPr/>
                <w:p>
                  <w:pPr>
                    <w:pStyle w:val="Compact"/>
                    <w:jc w:val="center"/>
                  </w:pPr>
                  <w:r>
                    <w:t xml:space="preserve">pesquisa pré-eleitoral</w:t>
                  </w:r>
                </w:p>
              </w:tc>
              <w:tc>
                <w:tcPr/>
                <w:p>
                  <w:pPr>
                    <w:pStyle w:val="Compact"/>
                    <w:jc w:val="center"/>
                  </w:pPr>
                  <w:r>
                    <w:t xml:space="preserve">Alemanha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ROBINS-I: grave</w:t>
                  </w:r>
                </w:p>
              </w:tc>
            </w:tr>
            <w:tr>
              <w:tc>
                <w:tcPr/>
                <w:p>
                  <w:pPr>
                    <w:pStyle w:val="Compact"/>
                    <w:jc w:val="center"/>
                  </w:pPr>
                  <w:r>
                    <w:t xml:space="preserve">Stolwijk e Schuck (2019)</w:t>
                  </w:r>
                </w:p>
              </w:tc>
              <w:tc>
                <w:tcPr/>
                <w:p>
                  <w:pPr>
                    <w:pStyle w:val="Compact"/>
                    <w:jc w:val="center"/>
                  </w:pPr>
                  <w:r>
                    <w:t xml:space="preserve">2019</w:t>
                  </w:r>
                </w:p>
              </w:tc>
              <w:tc>
                <w:tcPr/>
                <w:p>
                  <w:pPr>
                    <w:pStyle w:val="Compact"/>
                    <w:jc w:val="center"/>
                  </w:pPr>
                  <w:r>
                    <w:t xml:space="preserve">painel individual</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ROBINS-I: grave</w:t>
                  </w:r>
                </w:p>
              </w:tc>
            </w:tr>
            <w:tr>
              <w:tc>
                <w:tcPr/>
                <w:p>
                  <w:pPr>
                    <w:pStyle w:val="Compact"/>
                    <w:jc w:val="center"/>
                  </w:pPr>
                  <w:r>
                    <w:t xml:space="preserve">Tal et al. (2015)</w:t>
                  </w:r>
                  <w:r>
                    <w:t xml:space="preserve"> </w:t>
                  </w:r>
                  <w:r>
                    <w:t xml:space="preserve">(</w:t>
                  </w:r>
                  <w:r>
                    <w:t xml:space="preserve">Fairstein et al. (2018)</w:t>
                  </w:r>
                  <w:r>
                    <w:t xml:space="preserve">;</w:t>
                  </w:r>
                  <w:r>
                    <w:t xml:space="preserve"> </w:t>
                  </w:r>
                  <w:r>
                    <w:t xml:space="preserve">Fairstein et al. (2019)</w:t>
                  </w:r>
                  <w:r>
                    <w:t xml:space="preserve">)</w:t>
                  </w:r>
                </w:p>
              </w:tc>
              <w:tc>
                <w:tcPr/>
                <w:p>
                  <w:pPr>
                    <w:pStyle w:val="Compact"/>
                    <w:jc w:val="center"/>
                  </w:pPr>
                  <w:r>
                    <w:t xml:space="preserve">2015</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Timotei (2013)</w:t>
                  </w:r>
                </w:p>
              </w:tc>
              <w:tc>
                <w:tcPr/>
                <w:p>
                  <w:pPr>
                    <w:pStyle w:val="Compact"/>
                    <w:jc w:val="center"/>
                  </w:pPr>
                  <w:r>
                    <w:t xml:space="preserve">2013</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Romênia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Tyszler e Schram (2013)</w:t>
                  </w:r>
                </w:p>
              </w:tc>
              <w:tc>
                <w:tcPr/>
                <w:p>
                  <w:pPr>
                    <w:pStyle w:val="Compact"/>
                    <w:jc w:val="center"/>
                  </w:pPr>
                  <w:r>
                    <w:t xml:space="preserve">2013</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não avaliado (sem efeito principal extraído)</w:t>
                  </w:r>
                </w:p>
              </w:tc>
            </w:tr>
            <w:tr>
              <w:tc>
                <w:tcPr/>
                <w:p>
                  <w:pPr>
                    <w:pStyle w:val="Compact"/>
                    <w:jc w:val="center"/>
                  </w:pPr>
                  <w:r>
                    <w:t xml:space="preserve">Tyszler e Schram (2015)</w:t>
                  </w:r>
                </w:p>
              </w:tc>
              <w:tc>
                <w:tcPr/>
                <w:p>
                  <w:pPr>
                    <w:pStyle w:val="Compact"/>
                    <w:jc w:val="center"/>
                  </w:pPr>
                  <w:r>
                    <w:t xml:space="preserve">2015</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Unkelbach et al. (2022)</w:t>
                  </w:r>
                </w:p>
              </w:tc>
              <w:tc>
                <w:tcPr/>
                <w:p>
                  <w:pPr>
                    <w:pStyle w:val="Compact"/>
                    <w:jc w:val="center"/>
                  </w:pPr>
                  <w:r>
                    <w:t xml:space="preserve">2022</w:t>
                  </w:r>
                </w:p>
              </w:tc>
              <w:tc>
                <w:tcPr/>
                <w:p>
                  <w:pPr>
                    <w:pStyle w:val="Compact"/>
                    <w:jc w:val="center"/>
                  </w:pPr>
                  <w:r>
                    <w:rPr>
                      <w:i/>
                      <w:iCs/>
                    </w:rPr>
                    <w:t xml:space="preserve">rolling cross-section</w:t>
                  </w:r>
                  <w:r>
                    <w:t xml:space="preserve"> </w:t>
                  </w:r>
                  <w:r>
                    <w:t xml:space="preserve">com pesquisas do dia anterior</w:t>
                  </w:r>
                </w:p>
              </w:tc>
              <w:tc>
                <w:tcPr/>
                <w:p>
                  <w:pPr>
                    <w:pStyle w:val="Compact"/>
                    <w:jc w:val="center"/>
                  </w:pPr>
                  <w:r>
                    <w:t xml:space="preserve">pesquisa pré-eleitoral</w:t>
                  </w:r>
                </w:p>
              </w:tc>
              <w:tc>
                <w:tcPr/>
                <w:p>
                  <w:pPr>
                    <w:pStyle w:val="Compact"/>
                    <w:jc w:val="center"/>
                  </w:pPr>
                  <w:r>
                    <w:t xml:space="preserve">Alemanha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ROBINS-I: crítico</w:t>
                  </w:r>
                </w:p>
              </w:tc>
            </w:tr>
            <w:tr>
              <w:tc>
                <w:tcPr/>
                <w:p>
                  <w:pPr>
                    <w:pStyle w:val="Compact"/>
                    <w:jc w:val="center"/>
                  </w:pPr>
                  <w:r>
                    <w:t xml:space="preserve">Urminsky e Shen (2019)</w:t>
                  </w:r>
                </w:p>
              </w:tc>
              <w:tc>
                <w:tcPr/>
                <w:p>
                  <w:pPr>
                    <w:pStyle w:val="Compact"/>
                    <w:jc w:val="center"/>
                  </w:pPr>
                  <w:r>
                    <w:t xml:space="preserve">2019</w:t>
                  </w:r>
                </w:p>
              </w:tc>
              <w:tc>
                <w:tcPr/>
                <w:p>
                  <w:pPr>
                    <w:pStyle w:val="Compact"/>
                    <w:jc w:val="center"/>
                  </w:pPr>
                  <w:r>
                    <w:t xml:space="preserve">experimento de survey</w:t>
                  </w:r>
                </w:p>
              </w:tc>
              <w:tc>
                <w:tcPr/>
                <w:p>
                  <w:pPr>
                    <w:pStyle w:val="Compact"/>
                    <w:jc w:val="center"/>
                  </w:pPr>
                  <w:r>
                    <w:t xml:space="preserve">agregador ou projeção</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 2: algumas preocupações</w:t>
                  </w:r>
                </w:p>
              </w:tc>
            </w:tr>
            <w:tr>
              <w:tc>
                <w:tcPr/>
                <w:p>
                  <w:pPr>
                    <w:pStyle w:val="Compact"/>
                    <w:jc w:val="center"/>
                  </w:pPr>
                  <w:r>
                    <w:t xml:space="preserve">Westwood et al. (2020)</w:t>
                  </w:r>
                </w:p>
              </w:tc>
              <w:tc>
                <w:tcPr/>
                <w:p>
                  <w:pPr>
                    <w:pStyle w:val="Compact"/>
                    <w:jc w:val="center"/>
                  </w:pPr>
                  <w:r>
                    <w:t xml:space="preserve">2020</w:t>
                  </w:r>
                </w:p>
              </w:tc>
              <w:tc>
                <w:tcPr/>
                <w:p>
                  <w:pPr>
                    <w:pStyle w:val="Compact"/>
                    <w:jc w:val="center"/>
                  </w:pPr>
                  <w:r>
                    <w:t xml:space="preserve">laboratório, preferências induzidas</w:t>
                  </w:r>
                </w:p>
              </w:tc>
              <w:tc>
                <w:tcPr/>
                <w:p>
                  <w:pPr>
                    <w:pStyle w:val="Compact"/>
                    <w:jc w:val="center"/>
                  </w:pPr>
                  <w:r>
                    <w:t xml:space="preserve">agregador ou projeção</w:t>
                  </w:r>
                </w:p>
              </w:tc>
              <w:tc>
                <w:tcPr/>
                <w:p>
                  <w:pPr>
                    <w:pStyle w:val="Compact"/>
                    <w:jc w:val="center"/>
                  </w:pPr>
                  <w:r>
                    <w:t xml:space="preserve">Estados Unidos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mobilização</w:t>
                  </w:r>
                </w:p>
              </w:tc>
              <w:tc>
                <w:tcPr/>
                <w:p>
                  <w:pPr>
                    <w:pStyle w:val="Compact"/>
                    <w:jc w:val="center"/>
                  </w:pPr>
                  <w:r>
                    <w:t xml:space="preserve">RoB 2: algumas preocupações</w:t>
                  </w:r>
                </w:p>
              </w:tc>
            </w:tr>
            <w:tr>
              <w:tc>
                <w:tcPr/>
                <w:p>
                  <w:pPr>
                    <w:pStyle w:val="Compact"/>
                    <w:jc w:val="center"/>
                  </w:pPr>
                  <w:r>
                    <w:t xml:space="preserve">Witsman (2016)</w:t>
                  </w:r>
                </w:p>
              </w:tc>
              <w:tc>
                <w:tcPr/>
                <w:p>
                  <w:pPr>
                    <w:pStyle w:val="Compact"/>
                    <w:jc w:val="center"/>
                  </w:pPr>
                  <w:r>
                    <w:t xml:space="preserve">2016</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Yang et al. (2023)</w:t>
                  </w:r>
                </w:p>
              </w:tc>
              <w:tc>
                <w:tcPr/>
                <w:p>
                  <w:pPr>
                    <w:pStyle w:val="Compact"/>
                    <w:jc w:val="center"/>
                  </w:pPr>
                  <w:r>
                    <w:t xml:space="preserve">2023</w:t>
                  </w:r>
                </w:p>
              </w:tc>
              <w:tc>
                <w:tcPr/>
                <w:p>
                  <w:pPr>
                    <w:pStyle w:val="Compact"/>
                    <w:jc w:val="center"/>
                  </w:pPr>
                  <w:r>
                    <w:t xml:space="preserve">experimento de survey</w:t>
                  </w:r>
                </w:p>
              </w:tc>
              <w:tc>
                <w:tcPr/>
                <w:p>
                  <w:pPr>
                    <w:pStyle w:val="Compact"/>
                    <w:jc w:val="center"/>
                  </w:pPr>
                  <w:r>
                    <w:t xml:space="preserve">agregador ou projeção</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não avaliado (sem efeito principal extraído)</w:t>
                  </w:r>
                </w:p>
              </w:tc>
            </w:tr>
          </w:tbl>
          <w:bookmarkEnd w:id="35"/>
          <w:p/>
        </w:tc>
      </w:tr>
    </w:tbl>
    <w:p>
      <w:pPr>
        <w:pStyle w:val="BodyText"/>
      </w:pPr>
      <w:r>
        <w:t xml:space="preserve">Destino de cada estudo na síntese: 27 entram na SWiM principal; 3 têm os resultados principais em risco de viés crítico e ficam só na sensibilidade (</w:t>
      </w:r>
      <w:r>
        <w:t xml:space="preserve">Gasperoni e Mantovani (2015)</w:t>
      </w:r>
      <w:r>
        <w:t xml:space="preserve">, que também está no dicionário</w:t>
      </w:r>
      <w:r>
        <w:t xml:space="preserve"> </w:t>
      </w:r>
      <w:r>
        <w:rPr>
          <w:rStyle w:val="VerbatimChar"/>
        </w:rPr>
        <w:t xml:space="preserve">FORA</w:t>
      </w:r>
      <w:r>
        <w:t xml:space="preserve">,</w:t>
      </w:r>
      <w:r>
        <w:t xml:space="preserve"> </w:t>
      </w:r>
      <w:r>
        <w:t xml:space="preserve">Kaplan (2019)</w:t>
      </w:r>
      <w:r>
        <w:t xml:space="preserve"> </w:t>
      </w:r>
      <w:r>
        <w:t xml:space="preserve">e</w:t>
      </w:r>
      <w:r>
        <w:t xml:space="preserve"> </w:t>
      </w:r>
      <w:r>
        <w:t xml:space="preserve">Unkelbach et al. (2022)</w:t>
      </w:r>
      <w:r>
        <w:t xml:space="preserve">); 7 têm todos os efeitos principais fora da contagem e ficam só na síntese narrativa e na sensibilidade com esses efeitos (</w:t>
      </w:r>
      <w:r>
        <w:t xml:space="preserve">Alabrese e Fetzer (2024)</w:t>
      </w:r>
      <w:r>
        <w:t xml:space="preserve">,</w:t>
      </w:r>
      <w:r>
        <w:t xml:space="preserve"> </w:t>
      </w:r>
      <w:r>
        <w:t xml:space="preserve">Bursztyn et al. (2023)</w:t>
      </w:r>
      <w:r>
        <w:t xml:space="preserve">,</w:t>
      </w:r>
      <w:r>
        <w:t xml:space="preserve"> </w:t>
      </w:r>
      <w:r>
        <w:t xml:space="preserve">Gandhi e Ong (2019)</w:t>
      </w:r>
      <w:r>
        <w:t xml:space="preserve">,</w:t>
      </w:r>
      <w:r>
        <w:t xml:space="preserve"> </w:t>
      </w:r>
      <w:r>
        <w:t xml:space="preserve">Geers et al. (2018)</w:t>
      </w:r>
      <w:r>
        <w:t xml:space="preserve">,</w:t>
      </w:r>
      <w:r>
        <w:t xml:space="preserve"> </w:t>
      </w:r>
      <w:r>
        <w:t xml:space="preserve">Lago et al. (2015)</w:t>
      </w:r>
      <w:r>
        <w:t xml:space="preserve">,</w:t>
      </w:r>
      <w:r>
        <w:t xml:space="preserve"> </w:t>
      </w:r>
      <w:r>
        <w:t xml:space="preserve">Meffert e Gschwend (2011)</w:t>
      </w:r>
      <w:r>
        <w:t xml:space="preserve">,</w:t>
      </w:r>
      <w:r>
        <w:t xml:space="preserve"> </w:t>
      </w:r>
      <w:r>
        <w:t xml:space="preserve">Urminsky e Shen (2019)</w:t>
      </w:r>
      <w:r>
        <w:t xml:space="preserve">); e 4 não têm efeito principal extraído. Em</w:t>
      </w:r>
      <w:r>
        <w:t xml:space="preserve"> </w:t>
      </w:r>
      <w:r>
        <w:t xml:space="preserve">Fredén (2016)</w:t>
      </w:r>
      <w:r>
        <w:t xml:space="preserve">, o PDF recuperado é o capítulo introdutório da tese; o artigo que manipula pesquisas foi publicado à parte, como Freden2016a no corpus, e não foi recuperado por fonte legítima (</w:t>
      </w:r>
      <w:r>
        <w:rPr>
          <w:rStyle w:val="VerbatimChar"/>
        </w:rPr>
        <w:t xml:space="preserve">03-textos/sessao_2026-09-23/relatorio_textos_versoes.md</w:t>
      </w:r>
      <w:r>
        <w:t xml:space="preserve">). Em</w:t>
      </w:r>
      <w:r>
        <w:t xml:space="preserve"> </w:t>
      </w:r>
      <w:r>
        <w:t xml:space="preserve">Meffert e Gschwend (2012)</w:t>
      </w:r>
      <w:r>
        <w:t xml:space="preserve">, os desfechos restantes não se relacionam ao apoio ao líder (o experimento de laboratório com partidos reais é o de</w:t>
      </w:r>
      <w:r>
        <w:t xml:space="preserve"> </w:t>
      </w:r>
      <w:r>
        <w:t xml:space="preserve">Meffert e Gschwend (2011)</w:t>
      </w:r>
      <w:r>
        <w:t xml:space="preserve">); em</w:t>
      </w:r>
      <w:r>
        <w:t xml:space="preserve"> </w:t>
      </w:r>
      <w:r>
        <w:t xml:space="preserve">Tyszler e Schram (2013)</w:t>
      </w:r>
      <w:r>
        <w:t xml:space="preserve">, os efeitos misturam deserções para o líder e para outro candidato; em</w:t>
      </w:r>
      <w:r>
        <w:t xml:space="preserve"> </w:t>
      </w:r>
      <w:r>
        <w:t xml:space="preserve">Yang et al. (2023)</w:t>
      </w:r>
      <w:r>
        <w:t xml:space="preserve">, os contrastes são entre formatos de apresentação da mesma previsão.</w:t>
      </w:r>
    </w:p>
    <w:bookmarkEnd w:id="36"/>
    <w:bookmarkStart w:id="40" w:name="risco-de-viés-nos-estudos-18"/>
    <w:p>
      <w:pPr>
        <w:pStyle w:val="Heading2"/>
      </w:pPr>
      <w:r>
        <w:t xml:space="preserve">Risco de viés nos estudos (18)</w:t>
      </w:r>
    </w:p>
    <w:p>
      <w:pPr>
        <w:pStyle w:val="FirstParagraph"/>
      </w:pPr>
      <w:r>
        <w:t xml:space="preserve">Foram avaliados 43 resultados de 37 estudos: 23 com RoB 2 (17 com algumas preocupações e 6 em risco alto), 13 com ROBINS-I V2 (2 moderado, 8 grave e 3 crítico) e 7 com EPOC (6 alto e 1 baixo). Nenhum resultado randomizado ficou em risco baixo no geral; o domínio de relato seletivo (D5) teve algumas preocupações em 21 dos 23 resultados avaliados com RoB 2. Nos não randomizados, o confundimento foi grave ou crítico em 11 dos 13 resultados avaliados com ROBINS-I. A concordância entre os avaliadores A e B antes da arbitragem foi baixa: no RoB 2, de 0,43 (D2) a 0,74 (D3 e D4), com 1,00 em D1b; no ROBINS-I, de 0,38 (D1 e D6) a 0,77 (D4); no EPOC, de 0,60 a 1,00. Dos 259 domínios julgados, 171 tiveram consenso automático e 88 foram arbitrados. O árbitro seguiu o avaliador A em 79 dos 88 domínios, B em 7 e propôs terceiro valor em 2; como A e o árbitro são o mesmo modelo, a proporção é declarada como possível viés de afinidade. Nenhum dos 259 julgamentos foi validado por humano (P033). A arbitragem dos efeitos de 23/09/2026 não mudou nenhum julgamento de risco de viés, mas levantou um ponto para a revisão humana: em</w:t>
      </w:r>
      <w:r>
        <w:t xml:space="preserve"> </w:t>
      </w:r>
      <w:r>
        <w:t xml:space="preserve">Fichnová e Wojciechowski (2015)</w:t>
      </w:r>
      <w:r>
        <w:t xml:space="preserve">, 17 dos 37 respondentes eslovacos não aparecem nas tabelas, com D3 julgado baixo.</w:t>
      </w:r>
    </w:p>
    <w:tbl>
      <w:tblPr>
        <w:tblStyle w:val="Table"/>
        <w:tblW w:type="pct" w:w="5000"/>
        <w:tblLayout w:type="fixed"/>
        <w:tblLook w:firstRow="0" w:lastRow="0" w:firstColumn="0" w:lastColumn="0" w:noHBand="0" w:noVBand="0" w:val="0000"/>
      </w:tblPr>
      <w:tblGrid>
        <w:gridCol w:w="7920"/>
      </w:tblGrid>
      <w:tr>
        <w:tc>
          <w:tcPr/>
          <w:bookmarkStart w:id="37" w:name="tbl-rob2"/>
          <w:p>
            <w:pPr>
              <w:jc w:val="center"/>
            </w:pPr>
            <w:pPr>
              <w:jc w:val="left"/>
              <w:spacing w:before="200"/>
              <w:pStyle w:val="ImageCaption"/>
            </w:pPr>
            <w:r>
              <w:t xml:space="preserve">Tabela 4: RoB 2 por domínio (consenso). † = domínio em desacordo entre os avaliadores de IA A e B, com consenso proposto pelo árbitro de IA (</w:t>
            </w:r>
            <w:r>
              <w:rPr>
                <w:rStyle w:val="VerbatimChar"/>
              </w:rPr>
              <w:t xml:space="preserve">claude-opus-5-5</w:t>
            </w:r>
            <w:r>
              <w:t xml:space="preserve">); nenhum julgamento validado por humano (Emenda 6a).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Estudo</w:t>
                  </w:r>
                </w:p>
              </w:tc>
              <w:tc>
                <w:tcPr/>
                <w:p>
                  <w:pPr>
                    <w:pStyle w:val="Compact"/>
                    <w:jc w:val="center"/>
                  </w:pPr>
                  <w:r>
                    <w:t xml:space="preserve">Construto</w:t>
                  </w:r>
                </w:p>
              </w:tc>
              <w:tc>
                <w:tcPr/>
                <w:p>
                  <w:pPr>
                    <w:pStyle w:val="Compact"/>
                    <w:jc w:val="center"/>
                  </w:pPr>
                  <w:r>
                    <w:t xml:space="preserve">D1 randomização</w:t>
                  </w:r>
                </w:p>
              </w:tc>
              <w:tc>
                <w:tcPr/>
                <w:p>
                  <w:pPr>
                    <w:pStyle w:val="Compact"/>
                    <w:jc w:val="center"/>
                  </w:pPr>
                  <w:r>
                    <w:t xml:space="preserve">D1b recrutamento (conglomerado)</w:t>
                  </w:r>
                </w:p>
              </w:tc>
              <w:tc>
                <w:tcPr/>
                <w:p>
                  <w:pPr>
                    <w:pStyle w:val="Compact"/>
                    <w:jc w:val="center"/>
                  </w:pPr>
                  <w:r>
                    <w:t xml:space="preserve">D2 desvios</w:t>
                  </w:r>
                </w:p>
              </w:tc>
              <w:tc>
                <w:tcPr/>
                <w:p>
                  <w:pPr>
                    <w:pStyle w:val="Compact"/>
                    <w:jc w:val="center"/>
                  </w:pPr>
                  <w:r>
                    <w:t xml:space="preserve">D3 dados faltantes</w:t>
                  </w:r>
                </w:p>
              </w:tc>
              <w:tc>
                <w:tcPr/>
                <w:p>
                  <w:pPr>
                    <w:pStyle w:val="Compact"/>
                    <w:jc w:val="center"/>
                  </w:pPr>
                  <w:r>
                    <w:t xml:space="preserve">D4 mensuração</w:t>
                  </w:r>
                </w:p>
              </w:tc>
              <w:tc>
                <w:tcPr/>
                <w:p>
                  <w:pPr>
                    <w:pStyle w:val="Compact"/>
                    <w:jc w:val="center"/>
                  </w:pPr>
                  <w:r>
                    <w:t xml:space="preserve">D5 relato seletivo</w:t>
                  </w:r>
                </w:p>
              </w:tc>
              <w:tc>
                <w:tcPr/>
                <w:p>
                  <w:pPr>
                    <w:pStyle w:val="Compact"/>
                    <w:jc w:val="center"/>
                  </w:pPr>
                  <w:r>
                    <w:t xml:space="preserve">Geral</w:t>
                  </w:r>
                </w:p>
              </w:tc>
            </w:tr>
            <w:tr>
              <w:tc>
                <w:tcPr/>
                <w:p>
                  <w:pPr>
                    <w:pStyle w:val="Compact"/>
                    <w:jc w:val="center"/>
                  </w:pPr>
                  <w:r>
                    <w:t xml:space="preserve">Agranov et al. (2017)</w:t>
                  </w:r>
                </w:p>
              </w:tc>
              <w:tc>
                <w:tcPr/>
                <w:p>
                  <w:pPr>
                    <w:pStyle w:val="Compact"/>
                    <w:jc w:val="center"/>
                  </w:pPr>
                  <w:r>
                    <w:t xml:space="preserve">apoio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Agranov et al. (2017)</w:t>
                  </w:r>
                </w:p>
              </w:tc>
              <w:tc>
                <w:tcPr/>
                <w:p>
                  <w:pPr>
                    <w:pStyle w:val="Compact"/>
                    <w:jc w:val="center"/>
                  </w:pPr>
                  <w:r>
                    <w:t xml:space="preserve">mobilização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Boukouras et al. (2020)</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Cornejo (2023)</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Dahlgaard et al. (2016)</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Erlich (2023)</w:t>
                  </w:r>
                </w:p>
              </w:tc>
              <w:tc>
                <w:tcPr/>
                <w:p>
                  <w:pPr>
                    <w:pStyle w:val="Compact"/>
                    <w:jc w:val="center"/>
                  </w:pPr>
                  <w:r>
                    <w:t xml:space="preserve">mobilização</w:t>
                  </w:r>
                </w:p>
              </w:tc>
              <w:tc>
                <w:tcPr/>
                <w:p>
                  <w:pPr>
                    <w:pStyle w:val="Compact"/>
                    <w:jc w:val="center"/>
                  </w:pPr>
                  <w:r>
                    <w:t xml:space="preserve">algumas preocupações</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alto</w:t>
                  </w:r>
                </w:p>
              </w:tc>
            </w:tr>
            <w:tr>
              <w:tc>
                <w:tcPr/>
                <w:p>
                  <w:pPr>
                    <w:pStyle w:val="Compact"/>
                    <w:jc w:val="center"/>
                  </w:pPr>
                  <w:r>
                    <w:t xml:space="preserve">Farjam (2020)</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Fichnová e Wojciechowski (2015)</w:t>
                  </w:r>
                </w:p>
              </w:tc>
              <w:tc>
                <w:tcPr/>
                <w:p>
                  <w:pPr>
                    <w:pStyle w:val="Compact"/>
                    <w:jc w:val="center"/>
                  </w:pPr>
                  <w:r>
                    <w:t xml:space="preserve">apoio</w:t>
                  </w:r>
                </w:p>
              </w:tc>
              <w:tc>
                <w:tcPr/>
                <w:p>
                  <w:pPr>
                    <w:pStyle w:val="Compact"/>
                    <w:jc w:val="center"/>
                  </w:pPr>
                  <w:r>
                    <w:t xml:space="preserve">algumas preocupações</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algumas preocupações†</w:t>
                  </w:r>
                </w:p>
              </w:tc>
              <w:tc>
                <w:tcPr/>
                <w:p>
                  <w:pPr>
                    <w:pStyle w:val="Compact"/>
                    <w:jc w:val="center"/>
                  </w:pPr>
                  <w:r>
                    <w:t xml:space="preserve">alto</w:t>
                  </w:r>
                </w:p>
              </w:tc>
            </w:tr>
            <w:tr>
              <w:tc>
                <w:tcPr/>
                <w:p>
                  <w:pPr>
                    <w:pStyle w:val="Compact"/>
                    <w:jc w:val="center"/>
                  </w:pPr>
                  <w:r>
                    <w:t xml:space="preserve">Fredén et al. (2024)</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Gandhi e Ong (2019)</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Gerber et al. (2020)</w:t>
                  </w:r>
                </w:p>
              </w:tc>
              <w:tc>
                <w:tcPr/>
                <w:p>
                  <w:pPr>
                    <w:pStyle w:val="Compact"/>
                    <w:jc w:val="center"/>
                  </w:pPr>
                  <w:r>
                    <w:t xml:space="preserve">mobilização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Großer e Schram (2010)</w:t>
                  </w:r>
                </w:p>
              </w:tc>
              <w:tc>
                <w:tcPr/>
                <w:p>
                  <w:pPr>
                    <w:pStyle w:val="Compact"/>
                    <w:jc w:val="center"/>
                  </w:pPr>
                  <w:r>
                    <w:t xml:space="preserve">mobilização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Klor e Winter (2017)</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Lammers et al. (2022)</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alto</w:t>
                  </w:r>
                </w:p>
              </w:tc>
            </w:tr>
            <w:tr>
              <w:tc>
                <w:tcPr/>
                <w:p>
                  <w:pPr>
                    <w:pStyle w:val="Compact"/>
                    <w:jc w:val="center"/>
                  </w:pPr>
                  <w:r>
                    <w:t xml:space="preserve">Meer et al. (2015)</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Meffert e Gschwend (2011)</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alto</w:t>
                  </w:r>
                </w:p>
              </w:tc>
            </w:tr>
            <w:tr>
              <w:tc>
                <w:tcPr/>
                <w:p>
                  <w:pPr>
                    <w:pStyle w:val="Compact"/>
                    <w:jc w:val="center"/>
                  </w:pPr>
                  <w:r>
                    <w:t xml:space="preserve">Schlegel et al. (2023)</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algumas preocupações</w:t>
                  </w:r>
                </w:p>
              </w:tc>
            </w:tr>
            <w:tr>
              <w:tc>
                <w:tcPr/>
                <w:p>
                  <w:pPr>
                    <w:pStyle w:val="Compact"/>
                    <w:jc w:val="center"/>
                  </w:pPr>
                  <w:r>
                    <w:t xml:space="preserve">Tal et al. (2015)</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alto</w:t>
                  </w:r>
                </w:p>
              </w:tc>
            </w:tr>
            <w:tr>
              <w:tc>
                <w:tcPr/>
                <w:p>
                  <w:pPr>
                    <w:pStyle w:val="Compact"/>
                    <w:jc w:val="center"/>
                  </w:pPr>
                  <w:r>
                    <w:t xml:space="preserve">Timotei (2013)</w:t>
                  </w:r>
                </w:p>
              </w:tc>
              <w:tc>
                <w:tcPr/>
                <w:p>
                  <w:pPr>
                    <w:pStyle w:val="Compact"/>
                    <w:jc w:val="center"/>
                  </w:pPr>
                  <w:r>
                    <w:t xml:space="preserve">apoio</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Tyszler e Schram (2015)</w:t>
                  </w:r>
                </w:p>
              </w:tc>
              <w:tc>
                <w:tcPr/>
                <w:p>
                  <w:pPr>
                    <w:pStyle w:val="Compact"/>
                    <w:jc w:val="center"/>
                  </w:pPr>
                  <w:r>
                    <w:t xml:space="preserve">apoio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Urminsky e Shen (2019)</w:t>
                  </w:r>
                </w:p>
              </w:tc>
              <w:tc>
                <w:tcPr/>
                <w:p>
                  <w:pPr>
                    <w:pStyle w:val="Compact"/>
                    <w:jc w:val="center"/>
                  </w:pPr>
                  <w:r>
                    <w:t xml:space="preserve">mobilização</w:t>
                  </w:r>
                </w:p>
              </w:tc>
              <w:tc>
                <w:tcPr/>
                <w:p>
                  <w:pPr>
                    <w:pStyle w:val="Compact"/>
                    <w:jc w:val="center"/>
                  </w:pPr>
                  <w:r>
                    <w:t xml:space="preserve">algumas preocupações†</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Westwood et al. (2020)</w:t>
                  </w:r>
                </w:p>
              </w:tc>
              <w:tc>
                <w:tcPr/>
                <w:p>
                  <w:pPr>
                    <w:pStyle w:val="Compact"/>
                    <w:jc w:val="center"/>
                  </w:pPr>
                  <w:r>
                    <w:t xml:space="preserve">mobilização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Witsman (2016)</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alto</w:t>
                  </w:r>
                </w:p>
              </w:tc>
            </w:tr>
          </w:tbl>
          <w:bookmarkEnd w:id="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tbl-robins"/>
          <w:p>
            <w:pPr>
              <w:jc w:val="center"/>
            </w:pPr>
            <w:pPr>
              <w:jc w:val="left"/>
              <w:spacing w:before="200"/>
              <w:pStyle w:val="ImageCaption"/>
            </w:pPr>
            <w:r>
              <w:t xml:space="preserve">Tabela 5: ROBINS-I V2 por domínio (consenso). † como na tabela anterior.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Estudo</w:t>
                  </w:r>
                </w:p>
              </w:tc>
              <w:tc>
                <w:tcPr/>
                <w:p>
                  <w:pPr>
                    <w:pStyle w:val="Compact"/>
                    <w:jc w:val="center"/>
                  </w:pPr>
                  <w:r>
                    <w:t xml:space="preserve">Construto</w:t>
                  </w:r>
                </w:p>
              </w:tc>
              <w:tc>
                <w:tcPr/>
                <w:p>
                  <w:pPr>
                    <w:pStyle w:val="Compact"/>
                    <w:jc w:val="center"/>
                  </w:pPr>
                  <w:r>
                    <w:t xml:space="preserve">D1 confundimento</w:t>
                  </w:r>
                </w:p>
              </w:tc>
              <w:tc>
                <w:tcPr/>
                <w:p>
                  <w:pPr>
                    <w:pStyle w:val="Compact"/>
                    <w:jc w:val="center"/>
                  </w:pPr>
                  <w:r>
                    <w:t xml:space="preserve">D2 classificação da exposição</w:t>
                  </w:r>
                </w:p>
              </w:tc>
              <w:tc>
                <w:tcPr/>
                <w:p>
                  <w:pPr>
                    <w:pStyle w:val="Compact"/>
                    <w:jc w:val="center"/>
                  </w:pPr>
                  <w:r>
                    <w:t xml:space="preserve">D3 seleção</w:t>
                  </w:r>
                </w:p>
              </w:tc>
              <w:tc>
                <w:tcPr/>
                <w:p>
                  <w:pPr>
                    <w:pStyle w:val="Compact"/>
                    <w:jc w:val="center"/>
                  </w:pPr>
                  <w:r>
                    <w:t xml:space="preserve">D4 dados faltantes</w:t>
                  </w:r>
                </w:p>
              </w:tc>
              <w:tc>
                <w:tcPr/>
                <w:p>
                  <w:pPr>
                    <w:pStyle w:val="Compact"/>
                    <w:jc w:val="center"/>
                  </w:pPr>
                  <w:r>
                    <w:t xml:space="preserve">D5 mensuração</w:t>
                  </w:r>
                </w:p>
              </w:tc>
              <w:tc>
                <w:tcPr/>
                <w:p>
                  <w:pPr>
                    <w:pStyle w:val="Compact"/>
                    <w:jc w:val="center"/>
                  </w:pPr>
                  <w:r>
                    <w:t xml:space="preserve">D6 relato seletivo</w:t>
                  </w:r>
                </w:p>
              </w:tc>
              <w:tc>
                <w:tcPr/>
                <w:p>
                  <w:pPr>
                    <w:pStyle w:val="Compact"/>
                    <w:jc w:val="center"/>
                  </w:pPr>
                  <w:r>
                    <w:t xml:space="preserve">Geral</w:t>
                  </w:r>
                </w:p>
              </w:tc>
            </w:tr>
            <w:tr>
              <w:tc>
                <w:tcPr/>
                <w:p>
                  <w:pPr>
                    <w:pStyle w:val="Compact"/>
                    <w:jc w:val="center"/>
                  </w:pPr>
                  <w:r>
                    <w:t xml:space="preserve">Alabrese e Fetzer (2024)</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Alabrese e Fetzer (2024)</w:t>
                  </w:r>
                </w:p>
              </w:tc>
              <w:tc>
                <w:tcPr/>
                <w:p>
                  <w:pPr>
                    <w:pStyle w:val="Compact"/>
                    <w:jc w:val="center"/>
                  </w:pPr>
                  <w:r>
                    <w:t xml:space="preserve">mobilização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Araujo e Gatto (2021b)</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Brugarolas e Miller (2021)</w:t>
                  </w:r>
                </w:p>
              </w:tc>
              <w:tc>
                <w:tcPr/>
                <w:p>
                  <w:pPr>
                    <w:pStyle w:val="Compact"/>
                    <w:jc w:val="center"/>
                  </w:pPr>
                  <w:r>
                    <w:t xml:space="preserve">mobilização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moderado</w:t>
                  </w:r>
                </w:p>
              </w:tc>
            </w:tr>
            <w:tr>
              <w:tc>
                <w:tcPr/>
                <w:p>
                  <w:pPr>
                    <w:pStyle w:val="Compact"/>
                    <w:jc w:val="center"/>
                  </w:pPr>
                  <w:r>
                    <w:t xml:space="preserve">Feltovich e Giovannoni (2022)</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Gasperoni e Mantovani (2015)</w:t>
                  </w:r>
                </w:p>
              </w:tc>
              <w:tc>
                <w:tcPr/>
                <w:p>
                  <w:pPr>
                    <w:pStyle w:val="Compact"/>
                    <w:jc w:val="center"/>
                  </w:pPr>
                  <w:r>
                    <w:t xml:space="preserve">apoio</w:t>
                  </w:r>
                </w:p>
              </w:tc>
              <w:tc>
                <w:tcPr/>
                <w:p>
                  <w:pPr>
                    <w:pStyle w:val="Compact"/>
                    <w:jc w:val="center"/>
                  </w:pPr>
                  <w:r>
                    <w:t xml:space="preserve">crítico†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crítico</w:t>
                  </w:r>
                </w:p>
              </w:tc>
            </w:tr>
            <w:tr>
              <w:tc>
                <w:tcPr/>
                <w:p>
                  <w:pPr>
                    <w:pStyle w:val="Compact"/>
                    <w:jc w:val="center"/>
                  </w:pPr>
                  <w:r>
                    <w:t xml:space="preserve">Geers et al. (2018)</w:t>
                  </w:r>
                </w:p>
              </w:tc>
              <w:tc>
                <w:tcPr/>
                <w:p>
                  <w:pPr>
                    <w:pStyle w:val="Compact"/>
                    <w:jc w:val="center"/>
                  </w:pPr>
                  <w:r>
                    <w:t xml:space="preserve">mobilização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Kaplan (2019)</w:t>
                  </w:r>
                </w:p>
              </w:tc>
              <w:tc>
                <w:tcPr/>
                <w:p>
                  <w:pPr>
                    <w:pStyle w:val="Compact"/>
                    <w:jc w:val="center"/>
                  </w:pPr>
                  <w:r>
                    <w:t xml:space="preserve">mobilização</w:t>
                  </w:r>
                </w:p>
              </w:tc>
              <w:tc>
                <w:tcPr/>
                <w:p>
                  <w:pPr>
                    <w:pStyle w:val="Compact"/>
                    <w:jc w:val="center"/>
                  </w:pPr>
                  <w:r>
                    <w:t xml:space="preserve">crítico†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crítico</w:t>
                  </w:r>
                </w:p>
              </w:tc>
            </w:tr>
            <w:tr>
              <w:tc>
                <w:tcPr/>
                <w:p>
                  <w:pPr>
                    <w:pStyle w:val="Compact"/>
                    <w:jc w:val="center"/>
                  </w:pPr>
                  <w:r>
                    <w:t xml:space="preserve">Klor e Winter (2017)</w:t>
                  </w:r>
                </w:p>
              </w:tc>
              <w:tc>
                <w:tcPr/>
                <w:p>
                  <w:pPr>
                    <w:pStyle w:val="Compact"/>
                    <w:jc w:val="center"/>
                  </w:pPr>
                  <w:r>
                    <w:t xml:space="preserve">mobilização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moderado</w:t>
                  </w:r>
                </w:p>
              </w:tc>
            </w:tr>
            <w:tr>
              <w:tc>
                <w:tcPr/>
                <w:p>
                  <w:pPr>
                    <w:pStyle w:val="Compact"/>
                    <w:jc w:val="center"/>
                  </w:pPr>
                  <w:r>
                    <w:t xml:space="preserve">Lago et al. (2015)</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Stolwijk et al. (2016)</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Stolwijk e Schuck (2019)</w:t>
                  </w:r>
                </w:p>
              </w:tc>
              <w:tc>
                <w:tcPr/>
                <w:p>
                  <w:pPr>
                    <w:pStyle w:val="Compact"/>
                    <w:jc w:val="center"/>
                  </w:pPr>
                  <w:r>
                    <w:t xml:space="preserve">mobilização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Unkelbach et al. (2022)</w:t>
                  </w:r>
                </w:p>
              </w:tc>
              <w:tc>
                <w:tcPr/>
                <w:p>
                  <w:pPr>
                    <w:pStyle w:val="Compact"/>
                    <w:jc w:val="center"/>
                  </w:pPr>
                  <w:r>
                    <w:t xml:space="preserve">apoio</w:t>
                  </w:r>
                </w:p>
              </w:tc>
              <w:tc>
                <w:tcPr/>
                <w:p>
                  <w:pPr>
                    <w:pStyle w:val="Compact"/>
                    <w:jc w:val="center"/>
                  </w:pPr>
                  <w:r>
                    <w:t xml:space="preserve">crítico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crítico</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tbl-epoc"/>
          <w:p>
            <w:pPr>
              <w:jc w:val="center"/>
            </w:pPr>
            <w:pPr>
              <w:jc w:val="left"/>
              <w:spacing w:before="200"/>
              <w:pStyle w:val="ImageCaption"/>
            </w:pPr>
            <w:r>
              <w:t xml:space="preserve">Tabela 6: EPOC por critério (consenso). GC = critérios para desenho com grupo controle; ITS = série temporal interrompida. Sequência aleatória e ocultação da alocação ficam fora do geral (Emenda 4a). † como nas tabelas anteriores.</w:t>
            </w:r>
          </w:p>
          <w:tbl>
            <w:tblPr>
              <w:tblStyle w:val="Table"/>
              <w:tblW w:type="pct" w:w="5000"/>
              <w:tblLayout w:type="fixed"/>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jc w:val="center"/>
                  </w:pPr>
                  <w:r>
                    <w:t xml:space="preserve">Estudo</w:t>
                  </w:r>
                </w:p>
              </w:tc>
              <w:tc>
                <w:tcPr/>
                <w:p>
                  <w:pPr>
                    <w:pStyle w:val="Compact"/>
                    <w:jc w:val="center"/>
                  </w:pPr>
                  <w:r>
                    <w:t xml:space="preserve">Construto</w:t>
                  </w:r>
                </w:p>
              </w:tc>
              <w:tc>
                <w:tcPr/>
                <w:p>
                  <w:pPr>
                    <w:pStyle w:val="Compact"/>
                    <w:jc w:val="center"/>
                  </w:pPr>
                  <w:r>
                    <w:t xml:space="preserve">GC seq.</w:t>
                  </w:r>
                </w:p>
              </w:tc>
              <w:tc>
                <w:tcPr/>
                <w:p>
                  <w:pPr>
                    <w:pStyle w:val="Compact"/>
                    <w:jc w:val="center"/>
                  </w:pPr>
                  <w:r>
                    <w:t xml:space="preserve">GC ocult.</w:t>
                  </w:r>
                </w:p>
              </w:tc>
              <w:tc>
                <w:tcPr/>
                <w:p>
                  <w:pPr>
                    <w:pStyle w:val="Compact"/>
                    <w:jc w:val="center"/>
                  </w:pPr>
                  <w:r>
                    <w:t xml:space="preserve">GC caract. base</w:t>
                  </w:r>
                </w:p>
              </w:tc>
              <w:tc>
                <w:tcPr/>
                <w:p>
                  <w:pPr>
                    <w:pStyle w:val="Compact"/>
                    <w:jc w:val="center"/>
                  </w:pPr>
                  <w:r>
                    <w:t xml:space="preserve">GC desfecho base</w:t>
                  </w:r>
                </w:p>
              </w:tc>
              <w:tc>
                <w:tcPr/>
                <w:p>
                  <w:pPr>
                    <w:pStyle w:val="Compact"/>
                    <w:jc w:val="center"/>
                  </w:pPr>
                  <w:r>
                    <w:t xml:space="preserve">GC dados incompl.</w:t>
                  </w:r>
                </w:p>
              </w:tc>
              <w:tc>
                <w:tcPr/>
                <w:p>
                  <w:pPr>
                    <w:pStyle w:val="Compact"/>
                    <w:jc w:val="center"/>
                  </w:pPr>
                  <w:r>
                    <w:t xml:space="preserve">GC conhec.</w:t>
                  </w:r>
                </w:p>
              </w:tc>
              <w:tc>
                <w:tcPr/>
                <w:p>
                  <w:pPr>
                    <w:pStyle w:val="Compact"/>
                    <w:jc w:val="center"/>
                  </w:pPr>
                  <w:r>
                    <w:t xml:space="preserve">GC contam.</w:t>
                  </w:r>
                </w:p>
              </w:tc>
              <w:tc>
                <w:tcPr/>
                <w:p>
                  <w:pPr>
                    <w:pStyle w:val="Compact"/>
                    <w:jc w:val="center"/>
                  </w:pPr>
                  <w:r>
                    <w:t xml:space="preserve">GC relato sel.</w:t>
                  </w:r>
                </w:p>
              </w:tc>
              <w:tc>
                <w:tcPr/>
                <w:p>
                  <w:pPr>
                    <w:pStyle w:val="Compact"/>
                    <w:jc w:val="center"/>
                  </w:pPr>
                  <w:r>
                    <w:t xml:space="preserve">GC outros</w:t>
                  </w:r>
                </w:p>
              </w:tc>
              <w:tc>
                <w:tcPr/>
                <w:p>
                  <w:pPr>
                    <w:pStyle w:val="Compact"/>
                    <w:jc w:val="center"/>
                  </w:pPr>
                  <w:r>
                    <w:t xml:space="preserve">ITS indep.</w:t>
                  </w:r>
                </w:p>
              </w:tc>
              <w:tc>
                <w:tcPr/>
                <w:p>
                  <w:pPr>
                    <w:pStyle w:val="Compact"/>
                    <w:jc w:val="center"/>
                  </w:pPr>
                  <w:r>
                    <w:t xml:space="preserve">ITS forma pré-esp.</w:t>
                  </w:r>
                </w:p>
              </w:tc>
              <w:tc>
                <w:tcPr/>
                <w:p>
                  <w:pPr>
                    <w:pStyle w:val="Compact"/>
                    <w:jc w:val="center"/>
                  </w:pPr>
                  <w:r>
                    <w:t xml:space="preserve">ITS coleta</w:t>
                  </w:r>
                </w:p>
              </w:tc>
              <w:tc>
                <w:tcPr/>
                <w:p>
                  <w:pPr>
                    <w:pStyle w:val="Compact"/>
                    <w:jc w:val="center"/>
                  </w:pPr>
                  <w:r>
                    <w:t xml:space="preserve">ITS conhec.</w:t>
                  </w:r>
                </w:p>
              </w:tc>
              <w:tc>
                <w:tcPr/>
                <w:p>
                  <w:pPr>
                    <w:pStyle w:val="Compact"/>
                    <w:jc w:val="center"/>
                  </w:pPr>
                  <w:r>
                    <w:t xml:space="preserve">ITS dados incompl.</w:t>
                  </w:r>
                </w:p>
              </w:tc>
              <w:tc>
                <w:tcPr/>
                <w:p>
                  <w:pPr>
                    <w:pStyle w:val="Compact"/>
                    <w:jc w:val="center"/>
                  </w:pPr>
                  <w:r>
                    <w:t xml:space="preserve">ITS relato sel.</w:t>
                  </w:r>
                </w:p>
              </w:tc>
              <w:tc>
                <w:tcPr/>
                <w:p>
                  <w:pPr>
                    <w:pStyle w:val="Compact"/>
                    <w:jc w:val="center"/>
                  </w:pPr>
                  <w:r>
                    <w:t xml:space="preserve">ITS outros</w:t>
                  </w:r>
                </w:p>
              </w:tc>
              <w:tc>
                <w:tcPr/>
                <w:p>
                  <w:pPr>
                    <w:pStyle w:val="Compact"/>
                    <w:jc w:val="center"/>
                  </w:pPr>
                  <w:r>
                    <w:t xml:space="preserve">Geral</w:t>
                  </w:r>
                </w:p>
              </w:tc>
            </w:tr>
            <w:tr>
              <w:tc>
                <w:tcPr/>
                <w:p>
                  <w:pPr>
                    <w:pStyle w:val="Compact"/>
                    <w:jc w:val="center"/>
                  </w:pPr>
                  <w:r>
                    <w:t xml:space="preserve">Bursztyn et al. (2023)</w:t>
                  </w:r>
                </w:p>
              </w:tc>
              <w:tc>
                <w:tcPr/>
                <w:p>
                  <w:pPr>
                    <w:pStyle w:val="Compact"/>
                    <w:jc w:val="center"/>
                  </w:pPr>
                  <w:r>
                    <w:t xml:space="preserve">apoio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r>
              <w:tc>
                <w:tcPr/>
                <w:p>
                  <w:pPr>
                    <w:pStyle w:val="Compact"/>
                    <w:jc w:val="center"/>
                  </w:pPr>
                  <w:r>
                    <w:t xml:space="preserve">Bursztyn et al. (2023)</w:t>
                  </w:r>
                </w:p>
              </w:tc>
              <w:tc>
                <w:tcPr/>
                <w:p>
                  <w:pPr>
                    <w:pStyle w:val="Compact"/>
                    <w:jc w:val="center"/>
                  </w:pPr>
                  <w:r>
                    <w:t xml:space="preserve">mobilização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r>
            <w:tr>
              <w:tc>
                <w:tcPr/>
                <w:p>
                  <w:pPr>
                    <w:pStyle w:val="Compact"/>
                    <w:jc w:val="center"/>
                  </w:pPr>
                  <w:r>
                    <w:t xml:space="preserve">Chatterjee e Kamal (2019)</w:t>
                  </w:r>
                </w:p>
              </w:tc>
              <w:tc>
                <w:tcPr/>
                <w:p>
                  <w:pPr>
                    <w:pStyle w:val="Compact"/>
                    <w:jc w:val="center"/>
                  </w:pPr>
                  <w:r>
                    <w:t xml:space="preserve">apoio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r>
              <w:tc>
                <w:tcPr/>
                <w:p>
                  <w:pPr>
                    <w:pStyle w:val="Compact"/>
                    <w:jc w:val="center"/>
                  </w:pPr>
                  <w:r>
                    <w:t xml:space="preserve">Chatterjee e Kamal (2019)</w:t>
                  </w:r>
                </w:p>
              </w:tc>
              <w:tc>
                <w:tcPr/>
                <w:p>
                  <w:pPr>
                    <w:pStyle w:val="Compact"/>
                    <w:jc w:val="center"/>
                  </w:pPr>
                  <w:r>
                    <w:t xml:space="preserve">mobilização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r>
              <w:tc>
                <w:tcPr/>
                <w:p>
                  <w:pPr>
                    <w:pStyle w:val="Compact"/>
                    <w:jc w:val="center"/>
                  </w:pPr>
                  <w:r>
                    <w:t xml:space="preserve">Grillo e Raiber (2024)</w:t>
                  </w:r>
                </w:p>
              </w:tc>
              <w:tc>
                <w:tcPr/>
                <w:p>
                  <w:pPr>
                    <w:pStyle w:val="Compact"/>
                    <w:jc w:val="center"/>
                  </w:pPr>
                  <w:r>
                    <w:t xml:space="preserve">mobilização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r>
              <w:tc>
                <w:tcPr/>
                <w:p>
                  <w:pPr>
                    <w:pStyle w:val="Compact"/>
                    <w:jc w:val="center"/>
                  </w:pPr>
                  <w:r>
                    <w:t xml:space="preserve">Morton et al. (2015)</w:t>
                  </w:r>
                </w:p>
              </w:tc>
              <w:tc>
                <w:tcPr/>
                <w:p>
                  <w:pPr>
                    <w:pStyle w:val="Compact"/>
                    <w:jc w:val="center"/>
                  </w:pPr>
                  <w:r>
                    <w:t xml:space="preserve">apoio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alto</w:t>
                  </w:r>
                </w:p>
              </w:tc>
            </w:tr>
            <w:tr>
              <w:tc>
                <w:tcPr/>
                <w:p>
                  <w:pPr>
                    <w:pStyle w:val="Compact"/>
                    <w:jc w:val="center"/>
                  </w:pPr>
                  <w:r>
                    <w:t xml:space="preserve">Morton et al. (2015)</w:t>
                  </w:r>
                </w:p>
              </w:tc>
              <w:tc>
                <w:tcPr/>
                <w:p>
                  <w:pPr>
                    <w:pStyle w:val="Compact"/>
                    <w:jc w:val="center"/>
                  </w:pPr>
                  <w:r>
                    <w:t xml:space="preserve">mobilização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incerto†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bl>
          <w:bookmarkEnd w:id="39"/>
          <w:p/>
        </w:tc>
      </w:tr>
    </w:tbl>
    <w:bookmarkEnd w:id="40"/>
    <w:bookmarkStart w:id="42" w:name="resultados-dos-estudos-individuais-19"/>
    <w:p>
      <w:pPr>
        <w:pStyle w:val="Heading2"/>
      </w:pPr>
      <w:r>
        <w:t xml:space="preserve">Resultados dos estudos individuais (19)</w:t>
      </w:r>
    </w:p>
    <w:p>
      <w:pPr>
        <w:pStyle w:val="FirstParagraph"/>
      </w:pPr>
      <w:r>
        <w:t xml:space="preserve">A</w:t>
      </w:r>
      <w:r>
        <w:t xml:space="preserve"> </w:t>
      </w:r>
      <w:hyperlink w:anchor="tbl-individuais">
        <w:r>
          <w:rPr>
            <w:rStyle w:val="Hyperlink"/>
          </w:rPr>
          <w:t xml:space="preserve">Tabela 7</w:t>
        </w:r>
      </w:hyperlink>
      <w:r>
        <w:t xml:space="preserve"> </w:t>
      </w:r>
      <w:r>
        <w:t xml:space="preserve">traz os 70 efeitos principais dos 37 estudos que tiveram modelo principal, com o g alinhado à convenção de sinal e o erro-padrão quando calculável, a medida original quando o g não foi calculado e se o efeito entrou no teste de sinal. Estudos com mais de um contraste principal (por exemplo, dois turnos, três partidos-alvo ou dois níveis de um fator) recebem direção pela regra de consistência de 70% dos efeitos.</w:t>
      </w:r>
    </w:p>
    <w:p>
      <w:pPr>
        <w:pStyle w:val="BodyText"/>
      </w:pPr>
      <w:r>
        <w:rPr>
          <w:b/>
          <w:bCs/>
        </w:rPr>
        <w:t xml:space="preserve">Mudanças desde a versão de 23/09/2026.</w:t>
      </w:r>
      <w:r>
        <w:t xml:space="preserve"> </w:t>
      </w:r>
      <w:r>
        <w:t xml:space="preserve">A reextração cega e as arbitragens (Métodos, item 9) mudaram a extração de 27 estudos. As mudanças que afetam a síntese foram:</w:t>
      </w:r>
    </w:p>
    <w:p>
      <w:pPr>
        <w:pStyle w:val="Compact"/>
        <w:numPr>
          <w:ilvl w:val="0"/>
          <w:numId w:val="1005"/>
        </w:numPr>
      </w:pPr>
      <w:r>
        <w:rPr>
          <w:b/>
          <w:bCs/>
        </w:rPr>
        <w:t xml:space="preserve">Braços trocados:</w:t>
      </w:r>
      <w:r>
        <w:t xml:space="preserve"> </w:t>
      </w:r>
      <w:r>
        <w:t xml:space="preserve">em</w:t>
      </w:r>
      <w:r>
        <w:t xml:space="preserve"> </w:t>
      </w:r>
      <w:r>
        <w:t xml:space="preserve">Fredén et al. (2024)</w:t>
      </w:r>
      <w:r>
        <w:t xml:space="preserve">, o braço de 2,5% passou a tratamento. Com a troca, a E01 passou a g = −0,41: mostrar o partido abaixo da cláusula aumentou o apoio a ele, e o estudo ficou misto na célula de viabilidade (certeza da célula muito baixa).</w:t>
      </w:r>
    </w:p>
    <w:p>
      <w:pPr>
        <w:pStyle w:val="Compact"/>
        <w:numPr>
          <w:ilvl w:val="0"/>
          <w:numId w:val="1005"/>
        </w:numPr>
      </w:pPr>
      <w:r>
        <w:rPr>
          <w:b/>
          <w:bCs/>
        </w:rPr>
        <w:t xml:space="preserve">Contraste da exposição extraído:</w:t>
      </w:r>
      <w:r>
        <w:t xml:space="preserve"> </w:t>
      </w:r>
      <w:r>
        <w:t xml:space="preserve">em</w:t>
      </w:r>
      <w:r>
        <w:t xml:space="preserve"> </w:t>
      </w:r>
      <w:r>
        <w:t xml:space="preserve">Lammers et al. (2022)</w:t>
      </w:r>
      <w:r>
        <w:t xml:space="preserve"> </w:t>
      </w:r>
      <w:r>
        <w:t xml:space="preserve">e</w:t>
      </w:r>
      <w:r>
        <w:t xml:space="preserve"> </w:t>
      </w:r>
      <w:r>
        <w:t xml:space="preserve">Fichnová e Wojciechowski (2015)</w:t>
      </w:r>
      <w:r>
        <w:t xml:space="preserve">, os efeitos principais antigos mediam, respectivamente, o modo de raciocínio e correlações entre rankings. Eles deixaram de ser principais, e as novas linhas trazem o contraste da posição sorteada (</w:t>
      </w:r>
      <w:r>
        <w:t xml:space="preserve">Lammers et al. (2022)</w:t>
      </w:r>
      <w:r>
        <w:t xml:space="preserve"> </w:t>
      </w:r>
      <w:r>
        <w:t xml:space="preserve">E06 a E09;</w:t>
      </w:r>
      <w:r>
        <w:t xml:space="preserve"> </w:t>
      </w:r>
      <w:r>
        <w:t xml:space="preserve">Fichnová e Wojciechowski (2015)</w:t>
      </w:r>
      <w:r>
        <w:t xml:space="preserve"> </w:t>
      </w:r>
      <w:r>
        <w:t xml:space="preserve">E09 e E10).</w:t>
      </w:r>
    </w:p>
    <w:p>
      <w:pPr>
        <w:pStyle w:val="Compact"/>
        <w:numPr>
          <w:ilvl w:val="0"/>
          <w:numId w:val="1005"/>
        </w:numPr>
      </w:pPr>
      <w:r>
        <w:rPr>
          <w:b/>
          <w:bCs/>
        </w:rPr>
        <w:t xml:space="preserve">Comparadores:</w:t>
      </w:r>
      <w:r>
        <w:t xml:space="preserve"> </w:t>
      </w:r>
      <w:r>
        <w:t xml:space="preserve">287 linhas passaram de comparador</w:t>
      </w:r>
      <w:r>
        <w:t xml:space="preserve"> </w:t>
      </w:r>
      <w:r>
        <w:rPr>
          <w:rStyle w:val="VerbatimChar"/>
        </w:rPr>
        <w:t xml:space="preserve">outro</w:t>
      </w:r>
      <w:r>
        <w:t xml:space="preserve"> </w:t>
      </w:r>
      <w:r>
        <w:t xml:space="preserve">para</w:t>
      </w:r>
      <w:r>
        <w:t xml:space="preserve"> </w:t>
      </w:r>
      <w:r>
        <w:rPr>
          <w:rStyle w:val="VerbatimChar"/>
        </w:rPr>
        <w:t xml:space="preserve">outro_resultado</w:t>
      </w:r>
      <w:r>
        <w:t xml:space="preserve">, 46 para</w:t>
      </w:r>
      <w:r>
        <w:t xml:space="preserve"> </w:t>
      </w:r>
      <w:r>
        <w:rPr>
          <w:rStyle w:val="VerbatimChar"/>
        </w:rPr>
        <w:t xml:space="preserve">sem_pesquisa</w:t>
      </w:r>
      <w:r>
        <w:t xml:space="preserve"> </w:t>
      </w:r>
      <w:r>
        <w:t xml:space="preserve">e 6 para</w:t>
      </w:r>
      <w:r>
        <w:t xml:space="preserve"> </w:t>
      </w:r>
      <w:r>
        <w:rPr>
          <w:rStyle w:val="VerbatimChar"/>
        </w:rPr>
        <w:t xml:space="preserve">mesmo_candidato_atras</w:t>
      </w:r>
      <w:r>
        <w:t xml:space="preserve">. Entre elas estão as de</w:t>
      </w:r>
      <w:r>
        <w:t xml:space="preserve"> </w:t>
      </w:r>
      <w:r>
        <w:t xml:space="preserve">Grillo e Raiber (2024)</w:t>
      </w:r>
      <w:r>
        <w:t xml:space="preserve">, em que o turno de comparação também teve boca de urna, divulgada mais tarde, e a E01 de</w:t>
      </w:r>
      <w:r>
        <w:t xml:space="preserve"> </w:t>
      </w:r>
      <w:r>
        <w:t xml:space="preserve">Witsman (2016)</w:t>
      </w:r>
      <w:r>
        <w:t xml:space="preserve">, que passou a</w:t>
      </w:r>
      <w:r>
        <w:t xml:space="preserve"> </w:t>
      </w:r>
      <w:r>
        <w:rPr>
          <w:rStyle w:val="VerbatimChar"/>
        </w:rPr>
        <w:t xml:space="preserve">mesmo_candidato_atras</w:t>
      </w:r>
      <w:r>
        <w:t xml:space="preserve">. Outras 5 linhas, de</w:t>
      </w:r>
      <w:r>
        <w:t xml:space="preserve"> </w:t>
      </w:r>
      <w:r>
        <w:t xml:space="preserve">Stolwijk e Schuck (2019)</w:t>
      </w:r>
      <w:r>
        <w:t xml:space="preserve">, passaram de</w:t>
      </w:r>
      <w:r>
        <w:t xml:space="preserve"> </w:t>
      </w:r>
      <w:r>
        <w:rPr>
          <w:rStyle w:val="VerbatimChar"/>
        </w:rPr>
        <w:t xml:space="preserve">unidades_nao_expostas</w:t>
      </w:r>
      <w:r>
        <w:t xml:space="preserve"> </w:t>
      </w:r>
      <w:r>
        <w:t xml:space="preserve">para</w:t>
      </w:r>
      <w:r>
        <w:t xml:space="preserve"> </w:t>
      </w:r>
      <w:r>
        <w:rPr>
          <w:rStyle w:val="VerbatimChar"/>
        </w:rPr>
        <w:t xml:space="preserve">outro_resultado</w:t>
      </w:r>
      <w:r>
        <w:t xml:space="preserve">.</w:t>
      </w:r>
    </w:p>
    <w:p>
      <w:pPr>
        <w:pStyle w:val="Compact"/>
        <w:numPr>
          <w:ilvl w:val="0"/>
          <w:numId w:val="1005"/>
        </w:numPr>
      </w:pPr>
      <w:r>
        <w:rPr>
          <w:b/>
          <w:bCs/>
        </w:rPr>
        <w:t xml:space="preserve">Alvos:</w:t>
      </w:r>
      <w:r>
        <w:t xml:space="preserve"> </w:t>
      </w:r>
      <w:r>
        <w:t xml:space="preserve">pela Emenda 4b, os alvos principais de</w:t>
      </w:r>
      <w:r>
        <w:t xml:space="preserve"> </w:t>
      </w:r>
      <w:r>
        <w:t xml:space="preserve">Meer et al. (2015)</w:t>
      </w:r>
      <w:r>
        <w:t xml:space="preserve">,</w:t>
      </w:r>
      <w:r>
        <w:t xml:space="preserve"> </w:t>
      </w:r>
      <w:r>
        <w:t xml:space="preserve">Stolwijk et al. (2016)</w:t>
      </w:r>
      <w:r>
        <w:t xml:space="preserve"> </w:t>
      </w:r>
      <w:r>
        <w:t xml:space="preserve">e</w:t>
      </w:r>
      <w:r>
        <w:t xml:space="preserve"> </w:t>
      </w:r>
      <w:r>
        <w:t xml:space="preserve">Unkelbach et al. (2022)</w:t>
      </w:r>
      <w:r>
        <w:t xml:space="preserve"> </w:t>
      </w:r>
      <w:r>
        <w:t xml:space="preserve">passaram a</w:t>
      </w:r>
      <w:r>
        <w:t xml:space="preserve"> </w:t>
      </w:r>
      <w:r>
        <w:rPr>
          <w:rStyle w:val="VerbatimChar"/>
        </w:rPr>
        <w:t xml:space="preserve">nao_se_aplica</w:t>
      </w:r>
      <w:r>
        <w:t xml:space="preserve">, porque a pesquisa mostrada não informa a posição do partido, e os três foram para a célula de</w:t>
      </w:r>
      <w:r>
        <w:t xml:space="preserve"> </w:t>
      </w:r>
      <w:r>
        <w:rPr>
          <w:i/>
          <w:iCs/>
        </w:rPr>
        <w:t xml:space="preserve">momentum</w:t>
      </w:r>
      <w:r>
        <w:t xml:space="preserve">.</w:t>
      </w:r>
      <w:r>
        <w:t xml:space="preserve"> </w:t>
      </w:r>
      <w:r>
        <w:t xml:space="preserve">Schlegel et al. (2023)</w:t>
      </w:r>
      <w:r>
        <w:t xml:space="preserve"> </w:t>
      </w:r>
      <w:r>
        <w:t xml:space="preserve">passou de líder a segundo viável e saiu da célula principal.</w:t>
      </w:r>
    </w:p>
    <w:p>
      <w:pPr>
        <w:pStyle w:val="Compact"/>
        <w:numPr>
          <w:ilvl w:val="0"/>
          <w:numId w:val="1005"/>
        </w:numPr>
      </w:pPr>
      <w:r>
        <w:rPr>
          <w:b/>
          <w:bCs/>
        </w:rPr>
        <w:t xml:space="preserve">Modelos principais:</w:t>
      </w:r>
      <w:r>
        <w:t xml:space="preserve"> </w:t>
      </w:r>
      <w:r>
        <w:t xml:space="preserve">em</w:t>
      </w:r>
      <w:r>
        <w:t xml:space="preserve"> </w:t>
      </w:r>
      <w:r>
        <w:t xml:space="preserve">Alabrese e Fetzer (2024)</w:t>
      </w:r>
      <w:r>
        <w:t xml:space="preserve">, o modelo principal de apoio passou da probabilidade de vitória para a participação nos votos. Em</w:t>
      </w:r>
      <w:r>
        <w:t xml:space="preserve"> </w:t>
      </w:r>
      <w:r>
        <w:t xml:space="preserve">Chatterjee e Kamal (2019)</w:t>
      </w:r>
      <w:r>
        <w:t xml:space="preserve">,</w:t>
      </w:r>
      <w:r>
        <w:t xml:space="preserve"> </w:t>
      </w:r>
      <w:r>
        <w:t xml:space="preserve">Tyszler e Schram (2015)</w:t>
      </w:r>
      <w:r>
        <w:t xml:space="preserve">,</w:t>
      </w:r>
      <w:r>
        <w:t xml:space="preserve"> </w:t>
      </w:r>
      <w:r>
        <w:t xml:space="preserve">Geers et al. (2018)</w:t>
      </w:r>
      <w:r>
        <w:t xml:space="preserve"> </w:t>
      </w:r>
      <w:r>
        <w:t xml:space="preserve">e</w:t>
      </w:r>
      <w:r>
        <w:t xml:space="preserve"> </w:t>
      </w:r>
      <w:r>
        <w:t xml:space="preserve">Unkelbach et al. (2022)</w:t>
      </w:r>
      <w:r>
        <w:t xml:space="preserve">, efeitos antes secundários passaram a principais. Em</w:t>
      </w:r>
      <w:r>
        <w:t xml:space="preserve"> </w:t>
      </w:r>
      <w:r>
        <w:t xml:space="preserve">Kaplan (2019)</w:t>
      </w:r>
      <w:r>
        <w:t xml:space="preserve">, o efeito passou de taxa de troca, sem direção, para mudança líquida da intenção de votar (−8,06 p.p., valor derivado).</w:t>
      </w:r>
    </w:p>
    <w:p>
      <w:pPr>
        <w:pStyle w:val="Compact"/>
        <w:numPr>
          <w:ilvl w:val="0"/>
          <w:numId w:val="1005"/>
        </w:numPr>
      </w:pPr>
      <w:r>
        <w:rPr>
          <w:b/>
          <w:bCs/>
        </w:rPr>
        <w:t xml:space="preserve">Nova composição das células:</w:t>
      </w:r>
      <w:r>
        <w:t xml:space="preserve"> </w:t>
      </w:r>
      <w:r>
        <w:t xml:space="preserve">surgiu a célula randomizada de pesquisa × mesmo candidato atrás × apoio principal, com 4 estudos. A célula de viabilidade não randomizada deixou a análise principal, porque o efeito de</w:t>
      </w:r>
      <w:r>
        <w:t xml:space="preserve"> </w:t>
      </w:r>
      <w:r>
        <w:t xml:space="preserve">Lago et al. (2015)</w:t>
      </w:r>
      <w:r>
        <w:t xml:space="preserve"> </w:t>
      </w:r>
      <w:r>
        <w:t xml:space="preserve">é uma interação com moderador contínuo e foi para o dicionário</w:t>
      </w:r>
      <w:r>
        <w:t xml:space="preserve"> </w:t>
      </w:r>
      <w:r>
        <w:rPr>
          <w:rStyle w:val="VerbatimChar"/>
        </w:rPr>
        <w:t xml:space="preserve">FORA</w:t>
      </w:r>
      <w:r>
        <w:t xml:space="preserve">.</w:t>
      </w:r>
      <w:r>
        <w:t xml:space="preserve"> </w:t>
      </w:r>
      <w:r>
        <w:t xml:space="preserve">Araujo e Gatto (2021b)</w:t>
      </w:r>
      <w:r>
        <w:t xml:space="preserve"> </w:t>
      </w:r>
      <w:r>
        <w:t xml:space="preserve">aparece com a família</w:t>
      </w:r>
      <w:r>
        <w:t xml:space="preserve"> </w:t>
      </w:r>
      <w:r>
        <w:rPr>
          <w:rStyle w:val="VerbatimChar"/>
        </w:rPr>
        <w:t xml:space="preserve">outro</w:t>
      </w:r>
      <w:r>
        <w:t xml:space="preserve">, que é a apuração parcial oficial da Emenda 1.</w:t>
      </w:r>
    </w:p>
    <w:tbl>
      <w:tblPr>
        <w:tblStyle w:val="Table"/>
        <w:tblW w:type="pct" w:w="5000"/>
        <w:tblLayout w:type="fixed"/>
        <w:tblLook w:firstRow="0" w:lastRow="0" w:firstColumn="0" w:lastColumn="0" w:noHBand="0" w:noVBand="0" w:val="0000"/>
      </w:tblPr>
      <w:tblGrid>
        <w:gridCol w:w="7920"/>
      </w:tblGrid>
      <w:tr>
        <w:tc>
          <w:tcPr/>
          <w:bookmarkStart w:id="41" w:name="tbl-individuais"/>
          <w:p>
            <w:pPr>
              <w:jc w:val="center"/>
            </w:pPr>
            <w:pPr>
              <w:jc w:val="left"/>
              <w:spacing w:before="200"/>
              <w:pStyle w:val="ImageCaption"/>
            </w:pPr>
            <w:r>
              <w:t xml:space="preserve">Tabela 7: Efeitos principais por estudo (</w:t>
            </w:r>
            <w:r>
              <w:rPr>
                <w:rStyle w:val="VerbatimChar"/>
              </w:rPr>
              <w:t xml:space="preserve">06-analise/efeitos.csv</w:t>
            </w:r>
            <w:r>
              <w:t xml:space="preserve">,</w:t>
            </w:r>
            <w:r>
              <w:t xml:space="preserve"> </w:t>
            </w:r>
            <w:r>
              <w:rPr>
                <w:rStyle w:val="VerbatimChar"/>
              </w:rPr>
              <w:t xml:space="preserve">modelo_principal = sim</w:t>
            </w:r>
            <w:r>
              <w:t xml:space="preserve">; célula e situação na contagem em</w:t>
            </w:r>
            <w:r>
              <w:t xml:space="preserve"> </w:t>
            </w:r>
            <w:r>
              <w:rPr>
                <w:rStyle w:val="VerbatimChar"/>
              </w:rPr>
              <w:t xml:space="preserve">06-analise/swim_entrada_com_excluidos.csv</w:t>
            </w:r>
            <w:r>
              <w:t xml:space="preserve">). g de Hedges alinhado: positivo =</w:t>
            </w:r>
            <w:r>
              <w:t xml:space="preserve"> </w:t>
            </w:r>
            <w:r>
              <w:rPr>
                <w:i/>
                <w:iCs/>
              </w:rPr>
              <w:t xml:space="preserve">bandwagon</w:t>
            </w:r>
            <w:r>
              <w:t xml:space="preserve">, viabilidade,</w:t>
            </w:r>
            <w:r>
              <w:t xml:space="preserve"> </w:t>
            </w:r>
            <w:r>
              <w:rPr>
                <w:i/>
                <w:iCs/>
              </w:rPr>
              <w:t xml:space="preserve">momentum</w:t>
            </w:r>
            <w:r>
              <w:t xml:space="preserve"> </w:t>
            </w:r>
            <w:r>
              <w:t xml:space="preserve">a favor ou mobilização. NR = não calculado ou não relatado; nulo por ±δ = IC 95% inteiro dentro de ±δ.</w:t>
            </w:r>
          </w:p>
          <w:tbl>
            <w:tblPr>
              <w:tblStyle w:val="Table"/>
              <w:tblW w:type="pct" w:w="5000"/>
              <w:tblLayout w:type="fixed"/>
              <w:tblLook w:firstRow="1" w:lastRow="0" w:firstColumn="0" w:lastColumn="0" w:noHBand="0" w:noVBand="0" w:val="0020"/>
            </w:tblPr>
            <w:tblGrid>
              <w:gridCol w:w="1108"/>
              <w:gridCol w:w="475"/>
              <w:gridCol w:w="712"/>
              <w:gridCol w:w="792"/>
              <w:gridCol w:w="1029"/>
              <w:gridCol w:w="1108"/>
              <w:gridCol w:w="1900"/>
              <w:gridCol w:w="792"/>
            </w:tblGrid>
            <w:tr>
              <w:trPr>
                <w:tblHeader w:val="on"/>
              </w:trPr>
              <w:tc>
                <w:tcPr/>
                <w:p>
                  <w:pPr>
                    <w:pStyle w:val="Compact"/>
                    <w:jc w:val="center"/>
                  </w:pPr>
                  <w:r>
                    <w:t xml:space="preserve">Estudo</w:t>
                  </w:r>
                </w:p>
              </w:tc>
              <w:tc>
                <w:tcPr/>
                <w:p>
                  <w:pPr>
                    <w:pStyle w:val="Compact"/>
                    <w:jc w:val="center"/>
                  </w:pPr>
                  <w:r>
                    <w:t xml:space="preserve">Efeito</w:t>
                  </w:r>
                </w:p>
              </w:tc>
              <w:tc>
                <w:tcPr/>
                <w:p>
                  <w:pPr>
                    <w:pStyle w:val="Compact"/>
                    <w:jc w:val="center"/>
                  </w:pPr>
                  <w:r>
                    <w:t xml:space="preserve">Desfecho</w:t>
                  </w:r>
                </w:p>
              </w:tc>
              <w:tc>
                <w:tcPr/>
                <w:p>
                  <w:pPr>
                    <w:pStyle w:val="Compact"/>
                    <w:jc w:val="center"/>
                  </w:pPr>
                  <w:r>
                    <w:t xml:space="preserve">Célula de alvo</w:t>
                  </w:r>
                </w:p>
              </w:tc>
              <w:tc>
                <w:tcPr/>
                <w:p>
                  <w:pPr>
                    <w:pStyle w:val="Compact"/>
                    <w:jc w:val="center"/>
                  </w:pPr>
                  <w:r>
                    <w:t xml:space="preserve">Comparador</w:t>
                  </w:r>
                </w:p>
              </w:tc>
              <w:tc>
                <w:tcPr/>
                <w:p>
                  <w:pPr>
                    <w:pStyle w:val="Compact"/>
                    <w:jc w:val="center"/>
                  </w:pPr>
                  <w:r>
                    <w:t xml:space="preserve">g (EP)</w:t>
                  </w:r>
                </w:p>
              </w:tc>
              <w:tc>
                <w:tcPr/>
                <w:p>
                  <w:pPr>
                    <w:pStyle w:val="Compact"/>
                    <w:jc w:val="center"/>
                  </w:pPr>
                  <w:r>
                    <w:t xml:space="preserve">Outra medida</w:t>
                  </w:r>
                </w:p>
              </w:tc>
              <w:tc>
                <w:tcPr/>
                <w:p>
                  <w:pPr>
                    <w:pStyle w:val="Compact"/>
                    <w:jc w:val="center"/>
                  </w:pPr>
                  <w:r>
                    <w:t xml:space="preserve">Na contagem?</w:t>
                  </w:r>
                </w:p>
              </w:tc>
            </w:tr>
            <w:tr>
              <w:tc>
                <w:tcPr/>
                <w:p>
                  <w:pPr>
                    <w:pStyle w:val="Compact"/>
                    <w:jc w:val="center"/>
                  </w:pPr>
                  <w:r>
                    <w:t xml:space="preserve">Agranov et al. (2017)</w:t>
                  </w:r>
                </w:p>
              </w:tc>
              <w:tc>
                <w:tcPr/>
                <w:p>
                  <w:pPr>
                    <w:pStyle w:val="Compact"/>
                    <w:jc w:val="center"/>
                  </w:pPr>
                  <w:r>
                    <w:t xml:space="preserve">E05</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0,20 (0,225)</w:t>
                  </w:r>
                </w:p>
              </w:tc>
              <w:tc>
                <w:tcPr/>
                <w:p>
                  <w:pPr>
                    <w:pStyle w:val="Compact"/>
                    <w:jc w:val="center"/>
                  </w:pPr>
                  <w:r>
                    <w:t xml:space="preserve">p0 = 0,43; p1 = 0,52</w:t>
                  </w:r>
                </w:p>
              </w:tc>
              <w:tc>
                <w:tcPr/>
                <w:p>
                  <w:pPr>
                    <w:pStyle w:val="Compact"/>
                    <w:jc w:val="center"/>
                  </w:pPr>
                  <w:r>
                    <w:t xml:space="preserve">sim</w:t>
                  </w:r>
                </w:p>
              </w:tc>
            </w:tr>
            <w:tr>
              <w:tc>
                <w:tcPr/>
                <w:p>
                  <w:pPr>
                    <w:pStyle w:val="Compact"/>
                    <w:jc w:val="center"/>
                  </w:pPr>
                  <w:r>
                    <w:t xml:space="preserve">Agranov et al. (2017)</w:t>
                  </w:r>
                </w:p>
              </w:tc>
              <w:tc>
                <w:tcPr/>
                <w:p>
                  <w:pPr>
                    <w:pStyle w:val="Compact"/>
                    <w:jc w:val="center"/>
                  </w:pPr>
                  <w:r>
                    <w:t xml:space="preserve">E13</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0,70 (0,259)</w:t>
                  </w:r>
                </w:p>
              </w:tc>
              <w:tc>
                <w:tcPr/>
                <w:p>
                  <w:pPr>
                    <w:pStyle w:val="Compact"/>
                    <w:jc w:val="center"/>
                  </w:pPr>
                  <w:r>
                    <w:t xml:space="preserve">p0 = 0,74; p1 = 0,91</w:t>
                  </w:r>
                </w:p>
              </w:tc>
              <w:tc>
                <w:tcPr/>
                <w:p>
                  <w:pPr>
                    <w:pStyle w:val="Compact"/>
                    <w:jc w:val="center"/>
                  </w:pPr>
                  <w:r>
                    <w:t xml:space="preserve">sim</w:t>
                  </w:r>
                </w:p>
              </w:tc>
            </w:tr>
            <w:tr>
              <w:tc>
                <w:tcPr/>
                <w:p>
                  <w:pPr>
                    <w:pStyle w:val="Compact"/>
                    <w:jc w:val="center"/>
                  </w:pPr>
                  <w:r>
                    <w:t xml:space="preserve">Alabrese e Fetzer (2024)</w:t>
                  </w:r>
                </w:p>
              </w:tc>
              <w:tc>
                <w:tcPr/>
                <w:p>
                  <w:pPr>
                    <w:pStyle w:val="Compact"/>
                    <w:jc w:val="center"/>
                  </w:pPr>
                  <w:r>
                    <w:t xml:space="preserve">E002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−2,14 (0,334)</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Alabrese e Fetzer (2024)</w:t>
                  </w:r>
                </w:p>
              </w:tc>
              <w:tc>
                <w:tcPr/>
                <w:p>
                  <w:pPr>
                    <w:pStyle w:val="Compact"/>
                    <w:jc w:val="center"/>
                  </w:pPr>
                  <w:r>
                    <w:t xml:space="preserve">E125</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−0,70 (0,901)</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Alabrese e Fetzer (2024)</w:t>
                  </w:r>
                </w:p>
              </w:tc>
              <w:tc>
                <w:tcPr/>
                <w:p>
                  <w:pPr>
                    <w:pStyle w:val="Compact"/>
                    <w:jc w:val="center"/>
                  </w:pPr>
                  <w:r>
                    <w:t xml:space="preserve">E126</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−1,06 (0,668)</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Alabrese e Fetzer (2024)</w:t>
                  </w:r>
                </w:p>
              </w:tc>
              <w:tc>
                <w:tcPr/>
                <w:p>
                  <w:pPr>
                    <w:pStyle w:val="Compact"/>
                    <w:jc w:val="center"/>
                  </w:pPr>
                  <w:r>
                    <w:t xml:space="preserve">E127</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5,99 (0,770)</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Alabrese e Fetzer (2024)</w:t>
                  </w:r>
                </w:p>
              </w:tc>
              <w:tc>
                <w:tcPr/>
                <w:p>
                  <w:pPr>
                    <w:pStyle w:val="Compact"/>
                    <w:jc w:val="center"/>
                  </w:pPr>
                  <w:r>
                    <w:t xml:space="preserve">E128</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−13,76 (1,914)</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Araujo e Gatto (2021b)</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unidades não expostas</w:t>
                  </w:r>
                </w:p>
              </w:tc>
              <w:tc>
                <w:tcPr/>
                <w:p>
                  <w:pPr>
                    <w:pStyle w:val="Compact"/>
                    <w:jc w:val="center"/>
                  </w:pPr>
                  <w:r>
                    <w:t xml:space="preserve">0,13 (0,003)</w:t>
                  </w:r>
                </w:p>
              </w:tc>
              <w:tc>
                <w:tcPr/>
                <w:p>
                  <w:pPr>
                    <w:pStyle w:val="Compact"/>
                    <w:jc w:val="center"/>
                  </w:pPr>
                  <w:r>
                    <w:t xml:space="preserve">5,69 p.p.; p0 = 0,41; conversão aproximada</w:t>
                  </w:r>
                </w:p>
              </w:tc>
              <w:tc>
                <w:tcPr/>
                <w:p>
                  <w:pPr>
                    <w:pStyle w:val="Compact"/>
                    <w:jc w:val="center"/>
                  </w:pPr>
                  <w:r>
                    <w:t xml:space="preserve">sim</w:t>
                  </w:r>
                </w:p>
              </w:tc>
            </w:tr>
            <w:tr>
              <w:tc>
                <w:tcPr/>
                <w:p>
                  <w:pPr>
                    <w:pStyle w:val="Compact"/>
                    <w:jc w:val="center"/>
                  </w:pPr>
                  <w:r>
                    <w:t xml:space="preserve">Araujo e Gatto (2021b)</w:t>
                  </w:r>
                </w:p>
              </w:tc>
              <w:tc>
                <w:tcPr/>
                <w:p>
                  <w:pPr>
                    <w:pStyle w:val="Compact"/>
                    <w:jc w:val="center"/>
                  </w:pPr>
                  <w:r>
                    <w:t xml:space="preserve">E06</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unidades não expostas</w:t>
                  </w:r>
                </w:p>
              </w:tc>
              <w:tc>
                <w:tcPr/>
                <w:p>
                  <w:pPr>
                    <w:pStyle w:val="Compact"/>
                    <w:jc w:val="center"/>
                  </w:pPr>
                  <w:r>
                    <w:t xml:space="preserve">0,26 (0,003)</w:t>
                  </w:r>
                </w:p>
              </w:tc>
              <w:tc>
                <w:tcPr/>
                <w:p>
                  <w:pPr>
                    <w:pStyle w:val="Compact"/>
                    <w:jc w:val="center"/>
                  </w:pPr>
                  <w:r>
                    <w:t xml:space="preserve">11,76 p.p.; p0 = 0,49; conversão aproximada</w:t>
                  </w:r>
                </w:p>
              </w:tc>
              <w:tc>
                <w:tcPr/>
                <w:p>
                  <w:pPr>
                    <w:pStyle w:val="Compact"/>
                    <w:jc w:val="center"/>
                  </w:pPr>
                  <w:r>
                    <w:t xml:space="preserve">sim</w:t>
                  </w:r>
                </w:p>
              </w:tc>
            </w:tr>
            <w:tr>
              <w:tc>
                <w:tcPr/>
                <w:p>
                  <w:pPr>
                    <w:pStyle w:val="Compact"/>
                    <w:jc w:val="center"/>
                  </w:pPr>
                  <w:r>
                    <w:t xml:space="preserve">Boukouras et al. (2020)</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0,54 (0,298)</w:t>
                  </w:r>
                </w:p>
              </w:tc>
              <w:tc>
                <w:tcPr/>
                <w:p>
                  <w:pPr>
                    <w:pStyle w:val="Compact"/>
                    <w:jc w:val="center"/>
                  </w:pPr>
                  <w:r>
                    <w:t xml:space="preserve">p0 = 0,60; p1 = 0,80</w:t>
                  </w:r>
                </w:p>
              </w:tc>
              <w:tc>
                <w:tcPr/>
                <w:p>
                  <w:pPr>
                    <w:pStyle w:val="Compact"/>
                    <w:jc w:val="center"/>
                  </w:pPr>
                  <w:r>
                    <w:t xml:space="preserve">sim</w:t>
                  </w:r>
                </w:p>
              </w:tc>
            </w:tr>
            <w:tr>
              <w:tc>
                <w:tcPr/>
                <w:p>
                  <w:pPr>
                    <w:pStyle w:val="Compact"/>
                    <w:jc w:val="center"/>
                  </w:pPr>
                  <w:r>
                    <w:t xml:space="preserve">Boukouras et al. (2020)</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0,29 (0,282)</w:t>
                  </w:r>
                </w:p>
              </w:tc>
              <w:tc>
                <w:tcPr/>
                <w:p>
                  <w:pPr>
                    <w:pStyle w:val="Compact"/>
                    <w:jc w:val="center"/>
                  </w:pPr>
                  <w:r>
                    <w:t xml:space="preserve">p0 = 0,62; p1 = 0,73</w:t>
                  </w:r>
                </w:p>
              </w:tc>
              <w:tc>
                <w:tcPr/>
                <w:p>
                  <w:pPr>
                    <w:pStyle w:val="Compact"/>
                    <w:jc w:val="center"/>
                  </w:pPr>
                  <w:r>
                    <w:t xml:space="preserve">sim</w:t>
                  </w:r>
                </w:p>
              </w:tc>
            </w:tr>
            <w:tr>
              <w:tc>
                <w:tcPr/>
                <w:p>
                  <w:pPr>
                    <w:pStyle w:val="Compact"/>
                    <w:jc w:val="center"/>
                  </w:pPr>
                  <w:r>
                    <w:t xml:space="preserve">Boukouras et al. (2020)</w:t>
                  </w:r>
                </w:p>
              </w:tc>
              <w:tc>
                <w:tcPr/>
                <w:p>
                  <w:pPr>
                    <w:pStyle w:val="Compact"/>
                    <w:jc w:val="center"/>
                  </w:pPr>
                  <w:r>
                    <w:t xml:space="preserve">E03</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0,17 (0,253)</w:t>
                  </w:r>
                </w:p>
              </w:tc>
              <w:tc>
                <w:tcPr/>
                <w:p>
                  <w:pPr>
                    <w:pStyle w:val="Compact"/>
                    <w:jc w:val="center"/>
                  </w:pPr>
                  <w:r>
                    <w:t xml:space="preserve">p0 = 0,57; p1 = 0,64</w:t>
                  </w:r>
                </w:p>
              </w:tc>
              <w:tc>
                <w:tcPr/>
                <w:p>
                  <w:pPr>
                    <w:pStyle w:val="Compact"/>
                    <w:jc w:val="center"/>
                  </w:pPr>
                  <w:r>
                    <w:t xml:space="preserve">sim</w:t>
                  </w:r>
                </w:p>
              </w:tc>
            </w:tr>
            <w:tr>
              <w:tc>
                <w:tcPr/>
                <w:p>
                  <w:pPr>
                    <w:pStyle w:val="Compact"/>
                    <w:jc w:val="center"/>
                  </w:pPr>
                  <w:r>
                    <w:t xml:space="preserve">Brugarolas e Miller (2021)</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unidades não expostas</w:t>
                  </w:r>
                </w:p>
              </w:tc>
              <w:tc>
                <w:tcPr/>
                <w:p>
                  <w:pPr>
                    <w:pStyle w:val="Compact"/>
                    <w:jc w:val="center"/>
                  </w:pPr>
                  <w:r>
                    <w:t xml:space="preserve">0,26 (0,109)</w:t>
                  </w:r>
                </w:p>
              </w:tc>
              <w:tc>
                <w:tcPr/>
                <w:p>
                  <w:pPr>
                    <w:pStyle w:val="Compact"/>
                    <w:jc w:val="center"/>
                  </w:pPr>
                  <w:r>
                    <w:t xml:space="preserve">5,10 p.p.; p0 = 0,85; conversão aproximada</w:t>
                  </w:r>
                </w:p>
              </w:tc>
              <w:tc>
                <w:tcPr/>
                <w:p>
                  <w:pPr>
                    <w:pStyle w:val="Compact"/>
                    <w:jc w:val="center"/>
                  </w:pPr>
                  <w:r>
                    <w:t xml:space="preserve">sim</w:t>
                  </w:r>
                </w:p>
              </w:tc>
            </w:tr>
            <w:tr>
              <w:tc>
                <w:tcPr/>
                <w:p>
                  <w:pPr>
                    <w:pStyle w:val="Compact"/>
                    <w:jc w:val="center"/>
                  </w:pPr>
                  <w:r>
                    <w:t xml:space="preserve">Bursztyn et al. (2023)</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0,20 (0,087)</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Bursztyn et al. (2023)</w:t>
                  </w:r>
                </w:p>
              </w:tc>
              <w:tc>
                <w:tcPr/>
                <w:p>
                  <w:pPr>
                    <w:pStyle w:val="Compact"/>
                    <w:jc w:val="center"/>
                  </w:pPr>
                  <w:r>
                    <w:t xml:space="preserve">E17</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−0,003 (0,001); nulo por ±δ</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Chatterjee e Kamal (2019)</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antes e depois da proibição</w:t>
                  </w:r>
                </w:p>
              </w:tc>
              <w:tc>
                <w:tcPr/>
                <w:p>
                  <w:pPr>
                    <w:pStyle w:val="Compact"/>
                    <w:jc w:val="center"/>
                  </w:pPr>
                  <w:r>
                    <w:t xml:space="preserve">−0,29 (0,120)</w:t>
                  </w:r>
                </w:p>
              </w:tc>
              <w:tc>
                <w:tcPr/>
                <w:p>
                  <w:pPr>
                    <w:pStyle w:val="Compact"/>
                    <w:jc w:val="center"/>
                  </w:pPr>
                  <w:r>
                    <w:t xml:space="preserve">−2,92 p.p.; p0 = 0,44</w:t>
                  </w:r>
                </w:p>
              </w:tc>
              <w:tc>
                <w:tcPr/>
                <w:p>
                  <w:pPr>
                    <w:pStyle w:val="Compact"/>
                    <w:jc w:val="center"/>
                  </w:pPr>
                  <w:r>
                    <w:t xml:space="preserve">sim</w:t>
                  </w:r>
                </w:p>
              </w:tc>
            </w:tr>
            <w:tr>
              <w:tc>
                <w:tcPr/>
                <w:p>
                  <w:pPr>
                    <w:pStyle w:val="Compact"/>
                    <w:jc w:val="center"/>
                  </w:pPr>
                  <w:r>
                    <w:t xml:space="preserve">Chatterjee e Kamal (2019)</w:t>
                  </w:r>
                </w:p>
              </w:tc>
              <w:tc>
                <w:tcPr/>
                <w:p>
                  <w:pPr>
                    <w:pStyle w:val="Compact"/>
                    <w:jc w:val="center"/>
                  </w:pPr>
                  <w:r>
                    <w:t xml:space="preserve">E08</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antes e depois da proibição</w:t>
                  </w:r>
                </w:p>
              </w:tc>
              <w:tc>
                <w:tcPr/>
                <w:p>
                  <w:pPr>
                    <w:pStyle w:val="Compact"/>
                    <w:jc w:val="center"/>
                  </w:pPr>
                  <w:r>
                    <w:t xml:space="preserve">−0,42 (0,153)</w:t>
                  </w:r>
                </w:p>
              </w:tc>
              <w:tc>
                <w:tcPr/>
                <w:p>
                  <w:pPr>
                    <w:pStyle w:val="Compact"/>
                    <w:jc w:val="center"/>
                  </w:pPr>
                  <w:r>
                    <w:t xml:space="preserve">−3,50 p.p.; p0 = 0,47</w:t>
                  </w:r>
                </w:p>
              </w:tc>
              <w:tc>
                <w:tcPr/>
                <w:p>
                  <w:pPr>
                    <w:pStyle w:val="Compact"/>
                    <w:jc w:val="center"/>
                  </w:pPr>
                  <w:r>
                    <w:t xml:space="preserve">sim</w:t>
                  </w:r>
                </w:p>
              </w:tc>
            </w:tr>
            <w:tr>
              <w:tc>
                <w:tcPr/>
                <w:p>
                  <w:pPr>
                    <w:pStyle w:val="Compact"/>
                    <w:jc w:val="center"/>
                  </w:pPr>
                  <w:r>
                    <w:t xml:space="preserve">Chatterjee e Kamal (2019)</w:t>
                  </w:r>
                </w:p>
              </w:tc>
              <w:tc>
                <w:tcPr/>
                <w:p>
                  <w:pPr>
                    <w:pStyle w:val="Compact"/>
                    <w:jc w:val="center"/>
                  </w:pPr>
                  <w:r>
                    <w:t xml:space="preserve">E14</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antes e depois da proibição</w:t>
                  </w:r>
                </w:p>
              </w:tc>
              <w:tc>
                <w:tcPr/>
                <w:p>
                  <w:pPr>
                    <w:pStyle w:val="Compact"/>
                    <w:jc w:val="center"/>
                  </w:pPr>
                  <w:r>
                    <w:t xml:space="preserve">−0,35 (0,097)</w:t>
                  </w:r>
                </w:p>
              </w:tc>
              <w:tc>
                <w:tcPr/>
                <w:p>
                  <w:pPr>
                    <w:pStyle w:val="Compact"/>
                    <w:jc w:val="center"/>
                  </w:pPr>
                  <w:r>
                    <w:t xml:space="preserve">−4,71 p.p.; p0 = 0,60</w:t>
                  </w:r>
                </w:p>
              </w:tc>
              <w:tc>
                <w:tcPr/>
                <w:p>
                  <w:pPr>
                    <w:pStyle w:val="Compact"/>
                    <w:jc w:val="center"/>
                  </w:pPr>
                  <w:r>
                    <w:t xml:space="preserve">sim</w:t>
                  </w:r>
                </w:p>
              </w:tc>
            </w:tr>
            <w:tr>
              <w:tc>
                <w:tcPr/>
                <w:p>
                  <w:pPr>
                    <w:pStyle w:val="Compact"/>
                    <w:jc w:val="center"/>
                  </w:pPr>
                  <w:r>
                    <w:t xml:space="preserve">Chatterjee e Kamal (2019)</w:t>
                  </w:r>
                </w:p>
              </w:tc>
              <w:tc>
                <w:tcPr/>
                <w:p>
                  <w:pPr>
                    <w:pStyle w:val="Compact"/>
                    <w:jc w:val="center"/>
                  </w:pPr>
                  <w:r>
                    <w:t xml:space="preserve">E16</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antes e depois da proibição</w:t>
                  </w:r>
                </w:p>
              </w:tc>
              <w:tc>
                <w:tcPr/>
                <w:p>
                  <w:pPr>
                    <w:pStyle w:val="Compact"/>
                    <w:jc w:val="center"/>
                  </w:pPr>
                  <w:r>
                    <w:t xml:space="preserve">0,08 (0,109)</w:t>
                  </w:r>
                </w:p>
              </w:tc>
              <w:tc>
                <w:tcPr/>
                <w:p>
                  <w:pPr>
                    <w:pStyle w:val="Compact"/>
                    <w:jc w:val="center"/>
                  </w:pPr>
                  <w:r>
                    <w:t xml:space="preserve">0,90 p.p.; p0 = 0,62</w:t>
                  </w:r>
                </w:p>
              </w:tc>
              <w:tc>
                <w:tcPr/>
                <w:p>
                  <w:pPr>
                    <w:pStyle w:val="Compact"/>
                    <w:jc w:val="center"/>
                  </w:pPr>
                  <w:r>
                    <w:t xml:space="preserve">sim</w:t>
                  </w:r>
                </w:p>
              </w:tc>
            </w:tr>
            <w:tr>
              <w:tc>
                <w:tcPr/>
                <w:p>
                  <w:pPr>
                    <w:pStyle w:val="Compact"/>
                    <w:jc w:val="center"/>
                  </w:pPr>
                  <w:r>
                    <w:t xml:space="preserve">Cornejo (2023)</w:t>
                  </w:r>
                </w:p>
              </w:tc>
              <w:tc>
                <w:tcPr/>
                <w:p>
                  <w:pPr>
                    <w:pStyle w:val="Compact"/>
                    <w:jc w:val="center"/>
                  </w:pPr>
                  <w:r>
                    <w:t xml:space="preserve">E05</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sem pesquisa</w:t>
                  </w:r>
                </w:p>
              </w:tc>
              <w:tc>
                <w:tcPr/>
                <w:p>
                  <w:pPr>
                    <w:pStyle w:val="Compact"/>
                    <w:jc w:val="center"/>
                  </w:pPr>
                  <w:r>
                    <w:t xml:space="preserve">0,19 (0,105)</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Dahlgaard et al. (2016)</w:t>
                  </w:r>
                </w:p>
              </w:tc>
              <w:tc>
                <w:tcPr/>
                <w:p>
                  <w:pPr>
                    <w:pStyle w:val="Compact"/>
                    <w:jc w:val="center"/>
                  </w:pPr>
                  <w:r>
                    <w:t xml:space="preserve">E01</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sem pesquisa</w:t>
                  </w:r>
                </w:p>
              </w:tc>
              <w:tc>
                <w:tcPr/>
                <w:p>
                  <w:pPr>
                    <w:pStyle w:val="Compact"/>
                    <w:jc w:val="center"/>
                  </w:pPr>
                  <w:r>
                    <w:t xml:space="preserve">0,12 (0,080)</w:t>
                  </w:r>
                </w:p>
              </w:tc>
              <w:tc>
                <w:tcPr/>
                <w:p>
                  <w:pPr>
                    <w:pStyle w:val="Compact"/>
                    <w:jc w:val="center"/>
                  </w:pPr>
                  <w:r>
                    <w:t xml:space="preserve">3,40 p.p.; p0 = 0,18; p1 = 0,21</w:t>
                  </w:r>
                </w:p>
              </w:tc>
              <w:tc>
                <w:tcPr/>
                <w:p>
                  <w:pPr>
                    <w:pStyle w:val="Compact"/>
                    <w:jc w:val="center"/>
                  </w:pPr>
                  <w:r>
                    <w:t xml:space="preserve">sim</w:t>
                  </w:r>
                </w:p>
              </w:tc>
            </w:tr>
            <w:tr>
              <w:tc>
                <w:tcPr/>
                <w:p>
                  <w:pPr>
                    <w:pStyle w:val="Compact"/>
                    <w:jc w:val="center"/>
                  </w:pPr>
                  <w:r>
                    <w:t xml:space="preserve">Erlich (2023)</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−0,05 (0,296)</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Farjam (2020)</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β = 0,310</w:t>
                  </w:r>
                </w:p>
              </w:tc>
              <w:tc>
                <w:tcPr/>
                <w:p>
                  <w:pPr>
                    <w:pStyle w:val="Compact"/>
                    <w:jc w:val="center"/>
                  </w:pPr>
                  <w:r>
                    <w:t xml:space="preserve">sim</w:t>
                  </w:r>
                </w:p>
              </w:tc>
            </w:tr>
            <w:tr>
              <w:tc>
                <w:tcPr/>
                <w:p>
                  <w:pPr>
                    <w:pStyle w:val="Compact"/>
                    <w:jc w:val="center"/>
                  </w:pPr>
                  <w:r>
                    <w:t xml:space="preserve">Feltovich e Giovannoni (2022)</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β = 0,248</w:t>
                  </w:r>
                </w:p>
              </w:tc>
              <w:tc>
                <w:tcPr/>
                <w:p>
                  <w:pPr>
                    <w:pStyle w:val="Compact"/>
                    <w:jc w:val="center"/>
                  </w:pPr>
                  <w:r>
                    <w:t xml:space="preserve">sim</w:t>
                  </w:r>
                </w:p>
              </w:tc>
            </w:tr>
            <w:tr>
              <w:tc>
                <w:tcPr/>
                <w:p>
                  <w:pPr>
                    <w:pStyle w:val="Compact"/>
                    <w:jc w:val="center"/>
                  </w:pPr>
                  <w:r>
                    <w:t xml:space="preserve">Feltovich e Giovannoni (2022)</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β = 0,442</w:t>
                  </w:r>
                </w:p>
              </w:tc>
              <w:tc>
                <w:tcPr/>
                <w:p>
                  <w:pPr>
                    <w:pStyle w:val="Compact"/>
                    <w:jc w:val="center"/>
                  </w:pPr>
                  <w:r>
                    <w:t xml:space="preserve">sim</w:t>
                  </w:r>
                </w:p>
              </w:tc>
            </w:tr>
            <w:tr>
              <w:tc>
                <w:tcPr/>
                <w:p>
                  <w:pPr>
                    <w:pStyle w:val="Compact"/>
                    <w:jc w:val="center"/>
                  </w:pPr>
                  <w:r>
                    <w:t xml:space="preserve">Fichnová e Wojciechowski (2015)</w:t>
                  </w:r>
                </w:p>
              </w:tc>
              <w:tc>
                <w:tcPr/>
                <w:p>
                  <w:pPr>
                    <w:pStyle w:val="Compact"/>
                    <w:jc w:val="center"/>
                  </w:pPr>
                  <w:r>
                    <w:t xml:space="preserve">E09</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Fichnová e Wojciechowski (2015)</w:t>
                  </w:r>
                </w:p>
              </w:tc>
              <w:tc>
                <w:tcPr/>
                <w:p>
                  <w:pPr>
                    <w:pStyle w:val="Compact"/>
                    <w:jc w:val="center"/>
                  </w:pPr>
                  <w:r>
                    <w:t xml:space="preserve">E10</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0,89 (0,452)</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Fredén et al. (2024)</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−0,41 (0,178)</w:t>
                  </w:r>
                </w:p>
              </w:tc>
              <w:tc>
                <w:tcPr/>
                <w:p>
                  <w:pPr>
                    <w:pStyle w:val="Compact"/>
                    <w:jc w:val="center"/>
                  </w:pPr>
                  <w:r>
                    <w:t xml:space="preserve">p0 = 0,04; p1 = 0,08</w:t>
                  </w:r>
                </w:p>
              </w:tc>
              <w:tc>
                <w:tcPr/>
                <w:p>
                  <w:pPr>
                    <w:pStyle w:val="Compact"/>
                    <w:jc w:val="center"/>
                  </w:pPr>
                  <w:r>
                    <w:t xml:space="preserve">sim</w:t>
                  </w:r>
                </w:p>
              </w:tc>
            </w:tr>
            <w:tr>
              <w:tc>
                <w:tcPr/>
                <w:p>
                  <w:pPr>
                    <w:pStyle w:val="Compact"/>
                    <w:jc w:val="center"/>
                  </w:pPr>
                  <w:r>
                    <w:t xml:space="preserve">Fredén et al. (2024)</w:t>
                  </w:r>
                </w:p>
              </w:tc>
              <w:tc>
                <w:tcPr/>
                <w:p>
                  <w:pPr>
                    <w:pStyle w:val="Compact"/>
                    <w:jc w:val="center"/>
                  </w:pPr>
                  <w:r>
                    <w:t xml:space="preserve">E04</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−0,19 (0,179)</w:t>
                  </w:r>
                </w:p>
              </w:tc>
              <w:tc>
                <w:tcPr/>
                <w:p>
                  <w:pPr>
                    <w:pStyle w:val="Compact"/>
                    <w:jc w:val="center"/>
                  </w:pPr>
                  <w:r>
                    <w:t xml:space="preserve">p0 = 0,05; p1 = 0,07</w:t>
                  </w:r>
                </w:p>
              </w:tc>
              <w:tc>
                <w:tcPr/>
                <w:p>
                  <w:pPr>
                    <w:pStyle w:val="Compact"/>
                    <w:jc w:val="center"/>
                  </w:pPr>
                  <w:r>
                    <w:t xml:space="preserve">sim</w:t>
                  </w:r>
                </w:p>
              </w:tc>
            </w:tr>
            <w:tr>
              <w:tc>
                <w:tcPr/>
                <w:p>
                  <w:pPr>
                    <w:pStyle w:val="Compact"/>
                    <w:jc w:val="center"/>
                  </w:pPr>
                  <w:r>
                    <w:t xml:space="preserve">Fredén et al. (2024)</w:t>
                  </w:r>
                </w:p>
              </w:tc>
              <w:tc>
                <w:tcPr/>
                <w:p>
                  <w:pPr>
                    <w:pStyle w:val="Compact"/>
                    <w:jc w:val="center"/>
                  </w:pPr>
                  <w:r>
                    <w:t xml:space="preserve">E07</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0,04 (0,130)</w:t>
                  </w:r>
                </w:p>
              </w:tc>
              <w:tc>
                <w:tcPr/>
                <w:p>
                  <w:pPr>
                    <w:pStyle w:val="Compact"/>
                    <w:jc w:val="center"/>
                  </w:pPr>
                  <w:r>
                    <w:t xml:space="preserve">p0 = 0,12; p1 = 0,11</w:t>
                  </w:r>
                </w:p>
              </w:tc>
              <w:tc>
                <w:tcPr/>
                <w:p>
                  <w:pPr>
                    <w:pStyle w:val="Compact"/>
                    <w:jc w:val="center"/>
                  </w:pPr>
                  <w:r>
                    <w:t xml:space="preserve">sim</w:t>
                  </w:r>
                </w:p>
              </w:tc>
            </w:tr>
            <w:tr>
              <w:tc>
                <w:tcPr/>
                <w:p>
                  <w:pPr>
                    <w:pStyle w:val="Compact"/>
                    <w:jc w:val="center"/>
                  </w:pPr>
                  <w:r>
                    <w:t xml:space="preserve">Gandhi e Ong (2019)</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−0,99 (0,181)</w:t>
                  </w:r>
                </w:p>
              </w:tc>
              <w:tc>
                <w:tcPr/>
                <w:p>
                  <w:pPr>
                    <w:pStyle w:val="Compact"/>
                    <w:jc w:val="center"/>
                  </w:pPr>
                  <w:r>
                    <w:t xml:space="preserve">−30,30 p.p.; p0 = 0,90; conversão aproximada</w:t>
                  </w:r>
                </w:p>
              </w:tc>
              <w:tc>
                <w:tcPr/>
                <w:p>
                  <w:pPr>
                    <w:pStyle w:val="Compact"/>
                    <w:jc w:val="center"/>
                  </w:pPr>
                  <w:r>
                    <w:t xml:space="preserve">não (fora da contagem)</w:t>
                  </w:r>
                </w:p>
              </w:tc>
            </w:tr>
            <w:tr>
              <w:tc>
                <w:tcPr/>
                <w:p>
                  <w:pPr>
                    <w:pStyle w:val="Compact"/>
                    <w:jc w:val="center"/>
                  </w:pPr>
                  <w:r>
                    <w:t xml:space="preserve">Gandhi e Ong (2019)</w:t>
                  </w:r>
                </w:p>
              </w:tc>
              <w:tc>
                <w:tcPr/>
                <w:p>
                  <w:pPr>
                    <w:pStyle w:val="Compact"/>
                    <w:jc w:val="center"/>
                  </w:pPr>
                  <w:r>
                    <w:t xml:space="preserve">E03</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−0,37 (0,166)</w:t>
                  </w:r>
                </w:p>
              </w:tc>
              <w:tc>
                <w:tcPr/>
                <w:p>
                  <w:pPr>
                    <w:pStyle w:val="Compact"/>
                    <w:jc w:val="center"/>
                  </w:pPr>
                  <w:r>
                    <w:t xml:space="preserve">−7,80 p.p.; p0 = 0,90; conversão aproximada</w:t>
                  </w:r>
                </w:p>
              </w:tc>
              <w:tc>
                <w:tcPr/>
                <w:p>
                  <w:pPr>
                    <w:pStyle w:val="Compact"/>
                    <w:jc w:val="center"/>
                  </w:pPr>
                  <w:r>
                    <w:t xml:space="preserve">não (fora da contagem)</w:t>
                  </w:r>
                </w:p>
              </w:tc>
            </w:tr>
            <w:tr>
              <w:tc>
                <w:tcPr/>
                <w:p>
                  <w:pPr>
                    <w:pStyle w:val="Compact"/>
                    <w:jc w:val="center"/>
                  </w:pPr>
                  <w:r>
                    <w:t xml:space="preserve">Gasperoni e Mantovani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outro alvo</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10,11 p.p.; sinal por efeito em p.p.</w:t>
                  </w:r>
                </w:p>
              </w:tc>
              <w:tc>
                <w:tcPr/>
                <w:p>
                  <w:pPr>
                    <w:pStyle w:val="Compact"/>
                    <w:jc w:val="center"/>
                  </w:pPr>
                  <w:r>
                    <w:t xml:space="preserve">não (fora da contagem; risco crítico)</w:t>
                  </w:r>
                </w:p>
              </w:tc>
            </w:tr>
            <w:tr>
              <w:tc>
                <w:tcPr/>
                <w:p>
                  <w:pPr>
                    <w:pStyle w:val="Compact"/>
                    <w:jc w:val="center"/>
                  </w:pPr>
                  <w:r>
                    <w:t xml:space="preserve">Geers et al. (2018)</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w:t>
                  </w:r>
                </w:p>
              </w:tc>
              <w:tc>
                <w:tcPr/>
                <w:p>
                  <w:pPr>
                    <w:pStyle w:val="Compact"/>
                    <w:jc w:val="center"/>
                  </w:pPr>
                  <w:r>
                    <w:t xml:space="preserve">NR</w:t>
                  </w:r>
                </w:p>
              </w:tc>
              <w:tc>
                <w:tcPr/>
                <w:p>
                  <w:pPr>
                    <w:pStyle w:val="Compact"/>
                    <w:jc w:val="center"/>
                  </w:pPr>
                  <w:r>
                    <w:t xml:space="preserve">β = −30,835</w:t>
                  </w:r>
                </w:p>
              </w:tc>
              <w:tc>
                <w:tcPr/>
                <w:p>
                  <w:pPr>
                    <w:pStyle w:val="Compact"/>
                    <w:jc w:val="center"/>
                  </w:pPr>
                  <w:r>
                    <w:t xml:space="preserve">não (fora da contagem)</w:t>
                  </w:r>
                </w:p>
              </w:tc>
            </w:tr>
            <w:tr>
              <w:tc>
                <w:tcPr/>
                <w:p>
                  <w:pPr>
                    <w:pStyle w:val="Compact"/>
                    <w:jc w:val="center"/>
                  </w:pPr>
                  <w:r>
                    <w:t xml:space="preserve">Geers et al. (2018)</w:t>
                  </w:r>
                </w:p>
              </w:tc>
              <w:tc>
                <w:tcPr/>
                <w:p>
                  <w:pPr>
                    <w:pStyle w:val="Compact"/>
                    <w:jc w:val="center"/>
                  </w:pPr>
                  <w:r>
                    <w:t xml:space="preserve">E02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w:t>
                  </w:r>
                </w:p>
              </w:tc>
              <w:tc>
                <w:tcPr/>
                <w:p>
                  <w:pPr>
                    <w:pStyle w:val="Compact"/>
                    <w:jc w:val="center"/>
                  </w:pPr>
                  <w:r>
                    <w:t xml:space="preserve">NR</w:t>
                  </w:r>
                </w:p>
              </w:tc>
              <w:tc>
                <w:tcPr/>
                <w:p>
                  <w:pPr>
                    <w:pStyle w:val="Compact"/>
                    <w:jc w:val="center"/>
                  </w:pPr>
                  <w:r>
                    <w:t xml:space="preserve">β = −5,675</w:t>
                  </w:r>
                </w:p>
              </w:tc>
              <w:tc>
                <w:tcPr/>
                <w:p>
                  <w:pPr>
                    <w:pStyle w:val="Compact"/>
                    <w:jc w:val="center"/>
                  </w:pPr>
                  <w:r>
                    <w:t xml:space="preserve">não (fora da contagem)</w:t>
                  </w:r>
                </w:p>
              </w:tc>
            </w:tr>
            <w:tr>
              <w:tc>
                <w:tcPr/>
                <w:p>
                  <w:pPr>
                    <w:pStyle w:val="Compact"/>
                    <w:jc w:val="center"/>
                  </w:pPr>
                  <w:r>
                    <w:t xml:space="preserve">Gerber et al. (2020)</w:t>
                  </w:r>
                </w:p>
              </w:tc>
              <w:tc>
                <w:tcPr/>
                <w:p>
                  <w:pPr>
                    <w:pStyle w:val="Compact"/>
                    <w:jc w:val="center"/>
                  </w:pPr>
                  <w:r>
                    <w:t xml:space="preserve">E12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0,002 (0,009); nulo por ±δ</w:t>
                  </w:r>
                </w:p>
              </w:tc>
              <w:tc>
                <w:tcPr/>
                <w:p>
                  <w:pPr>
                    <w:pStyle w:val="Compact"/>
                    <w:jc w:val="center"/>
                  </w:pPr>
                  <w:r>
                    <w:t xml:space="preserve">0,08 p.p.; p0 = 0,72; conversão aproximada</w:t>
                  </w:r>
                </w:p>
              </w:tc>
              <w:tc>
                <w:tcPr/>
                <w:p>
                  <w:pPr>
                    <w:pStyle w:val="Compact"/>
                    <w:jc w:val="center"/>
                  </w:pPr>
                  <w:r>
                    <w:t xml:space="preserve">sim</w:t>
                  </w:r>
                </w:p>
              </w:tc>
            </w:tr>
            <w:tr>
              <w:tc>
                <w:tcPr/>
                <w:p>
                  <w:pPr>
                    <w:pStyle w:val="Compact"/>
                    <w:jc w:val="center"/>
                  </w:pPr>
                  <w:r>
                    <w:t xml:space="preserve">Gerber et al. (2020)</w:t>
                  </w:r>
                </w:p>
              </w:tc>
              <w:tc>
                <w:tcPr/>
                <w:p>
                  <w:pPr>
                    <w:pStyle w:val="Compact"/>
                    <w:jc w:val="center"/>
                  </w:pPr>
                  <w:r>
                    <w:t xml:space="preserve">E31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0,01 (0,006); nulo por ±δ</w:t>
                  </w:r>
                </w:p>
              </w:tc>
              <w:tc>
                <w:tcPr/>
                <w:p>
                  <w:pPr>
                    <w:pStyle w:val="Compact"/>
                    <w:jc w:val="center"/>
                  </w:pPr>
                  <w:r>
                    <w:t xml:space="preserve">0,29 p.p.; p0 = 0,53; p1 = 0,54; conversão aproximada</w:t>
                  </w:r>
                </w:p>
              </w:tc>
              <w:tc>
                <w:tcPr/>
                <w:p>
                  <w:pPr>
                    <w:pStyle w:val="Compact"/>
                    <w:jc w:val="center"/>
                  </w:pPr>
                  <w:r>
                    <w:t xml:space="preserve">sim</w:t>
                  </w:r>
                </w:p>
              </w:tc>
            </w:tr>
            <w:tr>
              <w:tc>
                <w:tcPr/>
                <w:p>
                  <w:pPr>
                    <w:pStyle w:val="Compact"/>
                    <w:jc w:val="center"/>
                  </w:pPr>
                  <w:r>
                    <w:t xml:space="preserve">Grillo e Raiber (2024)</w:t>
                  </w:r>
                </w:p>
              </w:tc>
              <w:tc>
                <w:tcPr/>
                <w:p>
                  <w:pPr>
                    <w:pStyle w:val="Compact"/>
                    <w:jc w:val="center"/>
                  </w:pPr>
                  <w:r>
                    <w:t xml:space="preserve">E02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−0,11 (0,112)</w:t>
                  </w:r>
                </w:p>
              </w:tc>
              <w:tc>
                <w:tcPr/>
                <w:p>
                  <w:pPr>
                    <w:pStyle w:val="Compact"/>
                    <w:jc w:val="center"/>
                  </w:pPr>
                  <w:r>
                    <w:t xml:space="preserve">−3,44 p.p.; p0 = 0,80; conversão aproximada</w:t>
                  </w:r>
                </w:p>
              </w:tc>
              <w:tc>
                <w:tcPr/>
                <w:p>
                  <w:pPr>
                    <w:pStyle w:val="Compact"/>
                    <w:jc w:val="center"/>
                  </w:pPr>
                  <w:r>
                    <w:t xml:space="preserve">sim</w:t>
                  </w:r>
                </w:p>
              </w:tc>
            </w:tr>
            <w:tr>
              <w:tc>
                <w:tcPr/>
                <w:p>
                  <w:pPr>
                    <w:pStyle w:val="Compact"/>
                    <w:jc w:val="center"/>
                  </w:pPr>
                  <w:r>
                    <w:t xml:space="preserve">Großer e Schram (2010)</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p0 = 0,31; p1 = 0,40</w:t>
                  </w:r>
                </w:p>
              </w:tc>
              <w:tc>
                <w:tcPr/>
                <w:p>
                  <w:pPr>
                    <w:pStyle w:val="Compact"/>
                    <w:jc w:val="center"/>
                  </w:pPr>
                  <w:r>
                    <w:t xml:space="preserve">sim</w:t>
                  </w:r>
                </w:p>
              </w:tc>
            </w:tr>
            <w:tr>
              <w:tc>
                <w:tcPr/>
                <w:p>
                  <w:pPr>
                    <w:pStyle w:val="Compact"/>
                    <w:jc w:val="center"/>
                  </w:pPr>
                  <w:r>
                    <w:t xml:space="preserve">Großer e Schram (2010)</w:t>
                  </w:r>
                </w:p>
              </w:tc>
              <w:tc>
                <w:tcPr/>
                <w:p>
                  <w:pPr>
                    <w:pStyle w:val="Compact"/>
                    <w:jc w:val="center"/>
                  </w:pPr>
                  <w:r>
                    <w:t xml:space="preserve">E02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p0 = 0,37; p1 = 0,45</w:t>
                  </w:r>
                </w:p>
              </w:tc>
              <w:tc>
                <w:tcPr/>
                <w:p>
                  <w:pPr>
                    <w:pStyle w:val="Compact"/>
                    <w:jc w:val="center"/>
                  </w:pPr>
                  <w:r>
                    <w:t xml:space="preserve">sim</w:t>
                  </w:r>
                </w:p>
              </w:tc>
            </w:tr>
            <w:tr>
              <w:tc>
                <w:tcPr/>
                <w:p>
                  <w:pPr>
                    <w:pStyle w:val="Compact"/>
                    <w:jc w:val="center"/>
                  </w:pPr>
                  <w:r>
                    <w:t xml:space="preserve">Kaplan (2019)</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−0,33 (0,092)</w:t>
                  </w:r>
                </w:p>
              </w:tc>
              <w:tc>
                <w:tcPr/>
                <w:p>
                  <w:pPr>
                    <w:pStyle w:val="Compact"/>
                    <w:jc w:val="center"/>
                  </w:pPr>
                  <w:r>
                    <w:t xml:space="preserve">−8,06 p.p.; p0 = 0,88; p1 = 0,80; conversão aproximada</w:t>
                  </w:r>
                </w:p>
              </w:tc>
              <w:tc>
                <w:tcPr/>
                <w:p>
                  <w:pPr>
                    <w:pStyle w:val="Compact"/>
                    <w:jc w:val="center"/>
                  </w:pPr>
                  <w:r>
                    <w:t xml:space="preserve">não (risco crítico)</w:t>
                  </w:r>
                </w:p>
              </w:tc>
            </w:tr>
            <w:tr>
              <w:tc>
                <w:tcPr/>
                <w:p>
                  <w:pPr>
                    <w:pStyle w:val="Compact"/>
                    <w:jc w:val="center"/>
                  </w:pPr>
                  <w:r>
                    <w:t xml:space="preserve">Klor e Winter (2017)</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NR</w:t>
                  </w:r>
                </w:p>
              </w:tc>
              <w:tc>
                <w:tcPr/>
                <w:p>
                  <w:pPr>
                    <w:pStyle w:val="Compact"/>
                    <w:jc w:val="center"/>
                  </w:pPr>
                  <w:r>
                    <w:t xml:space="preserve">β = 0,305</w:t>
                  </w:r>
                </w:p>
              </w:tc>
              <w:tc>
                <w:tcPr/>
                <w:p>
                  <w:pPr>
                    <w:pStyle w:val="Compact"/>
                    <w:jc w:val="center"/>
                  </w:pPr>
                  <w:r>
                    <w:t xml:space="preserve">não (fora da contagem)</w:t>
                  </w:r>
                </w:p>
              </w:tc>
            </w:tr>
            <w:tr>
              <w:tc>
                <w:tcPr/>
                <w:p>
                  <w:pPr>
                    <w:pStyle w:val="Compact"/>
                    <w:jc w:val="center"/>
                  </w:pPr>
                  <w:r>
                    <w:t xml:space="preserve">Klor e Winter (2017)</w:t>
                  </w:r>
                </w:p>
              </w:tc>
              <w:tc>
                <w:tcPr/>
                <w:p>
                  <w:pPr>
                    <w:pStyle w:val="Compact"/>
                    <w:jc w:val="center"/>
                  </w:pPr>
                  <w:r>
                    <w:t xml:space="preserve">E06</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Lago et al.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unidades não expostas</w:t>
                  </w:r>
                </w:p>
              </w:tc>
              <w:tc>
                <w:tcPr/>
                <w:p>
                  <w:pPr>
                    <w:pStyle w:val="Compact"/>
                    <w:jc w:val="center"/>
                  </w:pPr>
                  <w:r>
                    <w:t xml:space="preserve">0,03 (0,016)</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Lammers et al. (2022)</w:t>
                  </w:r>
                </w:p>
              </w:tc>
              <w:tc>
                <w:tcPr/>
                <w:p>
                  <w:pPr>
                    <w:pStyle w:val="Compact"/>
                    <w:jc w:val="center"/>
                  </w:pPr>
                  <w:r>
                    <w:t xml:space="preserve">E06</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1,25 (0,217)</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Lammers et al. (2022)</w:t>
                  </w:r>
                </w:p>
              </w:tc>
              <w:tc>
                <w:tcPr/>
                <w:p>
                  <w:pPr>
                    <w:pStyle w:val="Compact"/>
                    <w:jc w:val="center"/>
                  </w:pPr>
                  <w:r>
                    <w:t xml:space="preserve">E07</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−0,39 (0,200)</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Lammers et al. (2022)</w:t>
                  </w:r>
                </w:p>
              </w:tc>
              <w:tc>
                <w:tcPr/>
                <w:p>
                  <w:pPr>
                    <w:pStyle w:val="Compact"/>
                    <w:jc w:val="center"/>
                  </w:pPr>
                  <w:r>
                    <w:t xml:space="preserve">E08</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1,03 (0,211)</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Lammers et al. (2022)</w:t>
                  </w:r>
                </w:p>
              </w:tc>
              <w:tc>
                <w:tcPr/>
                <w:p>
                  <w:pPr>
                    <w:pStyle w:val="Compact"/>
                    <w:jc w:val="center"/>
                  </w:pPr>
                  <w:r>
                    <w:t xml:space="preserve">E09</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0,06 (0,199)</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Meer et al. (2015)</w:t>
                  </w:r>
                </w:p>
              </w:tc>
              <w:tc>
                <w:tcPr/>
                <w:p>
                  <w:pPr>
                    <w:pStyle w:val="Compact"/>
                    <w:jc w:val="center"/>
                  </w:pPr>
                  <w:r>
                    <w:t xml:space="preserve">E01</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w:t>
                  </w:r>
                </w:p>
              </w:tc>
              <w:tc>
                <w:tcPr/>
                <w:p>
                  <w:pPr>
                    <w:pStyle w:val="Compact"/>
                    <w:jc w:val="center"/>
                  </w:pPr>
                  <w:r>
                    <w:t xml:space="preserve">0,13 (0,072)</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Meffert e Gschwend (2011)</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outro alvo</w:t>
                  </w:r>
                </w:p>
              </w:tc>
              <w:tc>
                <w:tcPr/>
                <w:p>
                  <w:pPr>
                    <w:pStyle w:val="Compact"/>
                    <w:jc w:val="center"/>
                  </w:pPr>
                  <w:r>
                    <w:t xml:space="preserve">outro resultado</w:t>
                  </w:r>
                </w:p>
              </w:tc>
              <w:tc>
                <w:tcPr/>
                <w:p>
                  <w:pPr>
                    <w:pStyle w:val="Compact"/>
                    <w:jc w:val="center"/>
                  </w:pPr>
                  <w:r>
                    <w:t xml:space="preserve">0,28 (0,286)</w:t>
                  </w:r>
                </w:p>
              </w:tc>
              <w:tc>
                <w:tcPr/>
                <w:p>
                  <w:pPr>
                    <w:pStyle w:val="Compact"/>
                    <w:jc w:val="center"/>
                  </w:pPr>
                  <w:r>
                    <w:t xml:space="preserve">p0 = 0,25</w:t>
                  </w:r>
                </w:p>
              </w:tc>
              <w:tc>
                <w:tcPr/>
                <w:p>
                  <w:pPr>
                    <w:pStyle w:val="Compact"/>
                    <w:jc w:val="center"/>
                  </w:pPr>
                  <w:r>
                    <w:t xml:space="preserve">não (fora da contagem)</w:t>
                  </w:r>
                </w:p>
              </w:tc>
            </w:tr>
            <w:tr>
              <w:tc>
                <w:tcPr/>
                <w:p>
                  <w:pPr>
                    <w:pStyle w:val="Compact"/>
                    <w:jc w:val="center"/>
                  </w:pPr>
                  <w:r>
                    <w:t xml:space="preserve">Morton et al. (2015)</w:t>
                  </w:r>
                </w:p>
              </w:tc>
              <w:tc>
                <w:tcPr/>
                <w:p>
                  <w:pPr>
                    <w:pStyle w:val="Compact"/>
                    <w:jc w:val="center"/>
                  </w:pPr>
                  <w:r>
                    <w:t xml:space="preserve">E12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antes e depois da proibição</w:t>
                  </w:r>
                </w:p>
              </w:tc>
              <w:tc>
                <w:tcPr/>
                <w:p>
                  <w:pPr>
                    <w:pStyle w:val="Compact"/>
                    <w:jc w:val="center"/>
                  </w:pPr>
                  <w:r>
                    <w:t xml:space="preserve">−0,25 (0,044)</w:t>
                  </w:r>
                </w:p>
              </w:tc>
              <w:tc>
                <w:tcPr/>
                <w:p>
                  <w:pPr>
                    <w:pStyle w:val="Compact"/>
                    <w:jc w:val="center"/>
                  </w:pPr>
                  <w:r>
                    <w:t xml:space="preserve">−11,00 p.p.; p0 = 0,64; conversão aproximada</w:t>
                  </w:r>
                </w:p>
              </w:tc>
              <w:tc>
                <w:tcPr/>
                <w:p>
                  <w:pPr>
                    <w:pStyle w:val="Compact"/>
                    <w:jc w:val="center"/>
                  </w:pPr>
                  <w:r>
                    <w:t xml:space="preserve">sim</w:t>
                  </w:r>
                </w:p>
              </w:tc>
            </w:tr>
            <w:tr>
              <w:tc>
                <w:tcPr/>
                <w:p>
                  <w:pPr>
                    <w:pStyle w:val="Compact"/>
                    <w:jc w:val="center"/>
                  </w:pPr>
                  <w:r>
                    <w:t xml:space="preserve">Morton et al. (2015)</w:t>
                  </w:r>
                </w:p>
              </w:tc>
              <w:tc>
                <w:tcPr/>
                <w:p>
                  <w:pPr>
                    <w:pStyle w:val="Compact"/>
                    <w:jc w:val="center"/>
                  </w:pPr>
                  <w:r>
                    <w:t xml:space="preserve">E41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antes e depois da proibição</w:t>
                  </w:r>
                </w:p>
              </w:tc>
              <w:tc>
                <w:tcPr/>
                <w:p>
                  <w:pPr>
                    <w:pStyle w:val="Compact"/>
                    <w:jc w:val="center"/>
                  </w:pPr>
                  <w:r>
                    <w:t xml:space="preserve">NR</w:t>
                  </w:r>
                </w:p>
              </w:tc>
              <w:tc>
                <w:tcPr/>
                <w:p>
                  <w:pPr>
                    <w:pStyle w:val="Compact"/>
                    <w:jc w:val="center"/>
                  </w:pPr>
                  <w:r>
                    <w:t xml:space="preserve">β = 5,220</w:t>
                  </w:r>
                </w:p>
              </w:tc>
              <w:tc>
                <w:tcPr/>
                <w:p>
                  <w:pPr>
                    <w:pStyle w:val="Compact"/>
                    <w:jc w:val="center"/>
                  </w:pPr>
                  <w:r>
                    <w:t xml:space="preserve">sim</w:t>
                  </w:r>
                </w:p>
              </w:tc>
            </w:tr>
            <w:tr>
              <w:tc>
                <w:tcPr/>
                <w:p>
                  <w:pPr>
                    <w:pStyle w:val="Compact"/>
                    <w:jc w:val="center"/>
                  </w:pPr>
                  <w:r>
                    <w:t xml:space="preserve">Schlegel et al. (2023)</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11,00 p.p.; sinal por efeito em p.p.</w:t>
                  </w:r>
                </w:p>
              </w:tc>
              <w:tc>
                <w:tcPr/>
                <w:p>
                  <w:pPr>
                    <w:pStyle w:val="Compact"/>
                    <w:jc w:val="center"/>
                  </w:pPr>
                  <w:r>
                    <w:t xml:space="preserve">sim</w:t>
                  </w:r>
                </w:p>
              </w:tc>
            </w:tr>
            <w:tr>
              <w:tc>
                <w:tcPr/>
                <w:p>
                  <w:pPr>
                    <w:pStyle w:val="Compact"/>
                    <w:jc w:val="center"/>
                  </w:pPr>
                  <w:r>
                    <w:t xml:space="preserve">Schlegel et al. (2023)</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17,00 p.p.; sinal por efeito em p.p.</w:t>
                  </w:r>
                </w:p>
              </w:tc>
              <w:tc>
                <w:tcPr/>
                <w:p>
                  <w:pPr>
                    <w:pStyle w:val="Compact"/>
                    <w:jc w:val="center"/>
                  </w:pPr>
                  <w:r>
                    <w:t xml:space="preserve">sim</w:t>
                  </w:r>
                </w:p>
              </w:tc>
            </w:tr>
            <w:tr>
              <w:tc>
                <w:tcPr/>
                <w:p>
                  <w:pPr>
                    <w:pStyle w:val="Compact"/>
                    <w:jc w:val="center"/>
                  </w:pPr>
                  <w:r>
                    <w:t xml:space="preserve">Stolwijk et al. (2016)</w:t>
                  </w:r>
                </w:p>
              </w:tc>
              <w:tc>
                <w:tcPr/>
                <w:p>
                  <w:pPr>
                    <w:pStyle w:val="Compact"/>
                    <w:jc w:val="center"/>
                  </w:pPr>
                  <w:r>
                    <w:t xml:space="preserve">E01</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β = 0,010</w:t>
                  </w:r>
                </w:p>
              </w:tc>
              <w:tc>
                <w:tcPr/>
                <w:p>
                  <w:pPr>
                    <w:pStyle w:val="Compact"/>
                    <w:jc w:val="center"/>
                  </w:pPr>
                  <w:r>
                    <w:t xml:space="preserve">sim</w:t>
                  </w:r>
                </w:p>
              </w:tc>
            </w:tr>
            <w:tr>
              <w:tc>
                <w:tcPr/>
                <w:p>
                  <w:pPr>
                    <w:pStyle w:val="Compact"/>
                    <w:jc w:val="center"/>
                  </w:pPr>
                  <w:r>
                    <w:t xml:space="preserve">Stolwijk e Schuck (2019)</w:t>
                  </w:r>
                </w:p>
              </w:tc>
              <w:tc>
                <w:tcPr/>
                <w:p>
                  <w:pPr>
                    <w:pStyle w:val="Compact"/>
                    <w:jc w:val="center"/>
                  </w:pPr>
                  <w:r>
                    <w:t xml:space="preserve">E03</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unidades não expostas</w:t>
                  </w:r>
                </w:p>
              </w:tc>
              <w:tc>
                <w:tcPr/>
                <w:p>
                  <w:pPr>
                    <w:pStyle w:val="Compact"/>
                    <w:jc w:val="center"/>
                  </w:pPr>
                  <w:r>
                    <w:t xml:space="preserve">NR</w:t>
                  </w:r>
                </w:p>
              </w:tc>
              <w:tc>
                <w:tcPr/>
                <w:p>
                  <w:pPr>
                    <w:pStyle w:val="Compact"/>
                    <w:jc w:val="center"/>
                  </w:pPr>
                  <w:r>
                    <w:t xml:space="preserve">p0 = 0,36; p1 = 0,50; sinal por p1-p0</w:t>
                  </w:r>
                </w:p>
              </w:tc>
              <w:tc>
                <w:tcPr/>
                <w:p>
                  <w:pPr>
                    <w:pStyle w:val="Compact"/>
                    <w:jc w:val="center"/>
                  </w:pPr>
                  <w:r>
                    <w:t xml:space="preserve">sim</w:t>
                  </w:r>
                </w:p>
              </w:tc>
            </w:tr>
            <w:tr>
              <w:tc>
                <w:tcPr/>
                <w:p>
                  <w:pPr>
                    <w:pStyle w:val="Compact"/>
                    <w:jc w:val="center"/>
                  </w:pPr>
                  <w:r>
                    <w:t xml:space="preserve">Tal et al.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NR</w:t>
                  </w:r>
                </w:p>
              </w:tc>
              <w:tc>
                <w:tcPr/>
                <w:p>
                  <w:pPr>
                    <w:pStyle w:val="Compact"/>
                    <w:jc w:val="center"/>
                  </w:pPr>
                  <w:r>
                    <w:t xml:space="preserve">p0 = 0,70; p1 = 0,92; sinal por p1-p0</w:t>
                  </w:r>
                </w:p>
              </w:tc>
              <w:tc>
                <w:tcPr/>
                <w:p>
                  <w:pPr>
                    <w:pStyle w:val="Compact"/>
                    <w:jc w:val="center"/>
                  </w:pPr>
                  <w:r>
                    <w:t xml:space="preserve">sim</w:t>
                  </w:r>
                </w:p>
              </w:tc>
            </w:tr>
            <w:tr>
              <w:tc>
                <w:tcPr/>
                <w:p>
                  <w:pPr>
                    <w:pStyle w:val="Compact"/>
                    <w:jc w:val="center"/>
                  </w:pPr>
                  <w:r>
                    <w:t xml:space="preserve">Tal et al. (2015)</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NR</w:t>
                  </w:r>
                </w:p>
              </w:tc>
              <w:tc>
                <w:tcPr/>
                <w:p>
                  <w:pPr>
                    <w:pStyle w:val="Compact"/>
                    <w:jc w:val="center"/>
                  </w:pPr>
                  <w:r>
                    <w:t xml:space="preserve">p0 = 0,64; p1 = 0,73; sinal por p1-p0</w:t>
                  </w:r>
                </w:p>
              </w:tc>
              <w:tc>
                <w:tcPr/>
                <w:p>
                  <w:pPr>
                    <w:pStyle w:val="Compact"/>
                    <w:jc w:val="center"/>
                  </w:pPr>
                  <w:r>
                    <w:t xml:space="preserve">sim</w:t>
                  </w:r>
                </w:p>
              </w:tc>
            </w:tr>
            <w:tr>
              <w:tc>
                <w:tcPr/>
                <w:p>
                  <w:pPr>
                    <w:pStyle w:val="Compact"/>
                    <w:jc w:val="center"/>
                  </w:pPr>
                  <w:r>
                    <w:t xml:space="preserve">Timotei (2013)</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0,13 (0,345)</w:t>
                  </w:r>
                </w:p>
              </w:tc>
              <w:tc>
                <w:tcPr/>
                <w:p>
                  <w:pPr>
                    <w:pStyle w:val="Compact"/>
                    <w:jc w:val="center"/>
                  </w:pPr>
                  <w:r>
                    <w:t xml:space="preserve">p0 = 0,40; p1 = 0,46</w:t>
                  </w:r>
                </w:p>
              </w:tc>
              <w:tc>
                <w:tcPr/>
                <w:p>
                  <w:pPr>
                    <w:pStyle w:val="Compact"/>
                    <w:jc w:val="center"/>
                  </w:pPr>
                  <w:r>
                    <w:t xml:space="preserve">sim</w:t>
                  </w:r>
                </w:p>
              </w:tc>
            </w:tr>
            <w:tr>
              <w:tc>
                <w:tcPr/>
                <w:p>
                  <w:pPr>
                    <w:pStyle w:val="Compact"/>
                    <w:jc w:val="center"/>
                  </w:pPr>
                  <w:r>
                    <w:t xml:space="preserve">Tyszler e Schram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0,30 (1,035)</w:t>
                  </w:r>
                </w:p>
              </w:tc>
              <w:tc>
                <w:tcPr/>
                <w:p>
                  <w:pPr>
                    <w:pStyle w:val="Compact"/>
                    <w:jc w:val="center"/>
                  </w:pPr>
                  <w:r>
                    <w:t xml:space="preserve">p0 = 0,88; p1 = 0,93</w:t>
                  </w:r>
                </w:p>
              </w:tc>
              <w:tc>
                <w:tcPr/>
                <w:p>
                  <w:pPr>
                    <w:pStyle w:val="Compact"/>
                    <w:jc w:val="center"/>
                  </w:pPr>
                  <w:r>
                    <w:t xml:space="preserve">sim</w:t>
                  </w:r>
                </w:p>
              </w:tc>
            </w:tr>
            <w:tr>
              <w:tc>
                <w:tcPr/>
                <w:p>
                  <w:pPr>
                    <w:pStyle w:val="Compact"/>
                    <w:jc w:val="center"/>
                  </w:pPr>
                  <w:r>
                    <w:t xml:space="preserve">Tyszler e Schram (2015)</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1,14 (1,157)</w:t>
                  </w:r>
                </w:p>
              </w:tc>
              <w:tc>
                <w:tcPr/>
                <w:p>
                  <w:pPr>
                    <w:pStyle w:val="Compact"/>
                    <w:jc w:val="center"/>
                  </w:pPr>
                  <w:r>
                    <w:t xml:space="preserve">p0 = 0,72; p1 = 0,96</w:t>
                  </w:r>
                </w:p>
              </w:tc>
              <w:tc>
                <w:tcPr/>
                <w:p>
                  <w:pPr>
                    <w:pStyle w:val="Compact"/>
                    <w:jc w:val="center"/>
                  </w:pPr>
                  <w:r>
                    <w:t xml:space="preserve">sim</w:t>
                  </w:r>
                </w:p>
              </w:tc>
            </w:tr>
            <w:tr>
              <w:tc>
                <w:tcPr/>
                <w:p>
                  <w:pPr>
                    <w:pStyle w:val="Compact"/>
                    <w:jc w:val="center"/>
                  </w:pPr>
                  <w:r>
                    <w:t xml:space="preserve">Unkelbach et al. (2022)</w:t>
                  </w:r>
                </w:p>
              </w:tc>
              <w:tc>
                <w:tcPr/>
                <w:p>
                  <w:pPr>
                    <w:pStyle w:val="Compact"/>
                    <w:jc w:val="center"/>
                  </w:pPr>
                  <w:r>
                    <w:t xml:space="preserve">E01</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0,02 (0,021)</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E02</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0,06 (0,023)</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E03</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0,01 (0,039)</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E04</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0,02 (0,021)</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E05</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0,05 (0,036)</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E06</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−0,04 (0,038)</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Urminsky e Shen (2019)</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w:t>
                  </w:r>
                </w:p>
              </w:tc>
              <w:tc>
                <w:tcPr/>
                <w:p>
                  <w:pPr>
                    <w:pStyle w:val="Compact"/>
                    <w:jc w:val="center"/>
                  </w:pPr>
                  <w:r>
                    <w:t xml:space="preserve">−0,20 (0,133)</w:t>
                  </w:r>
                </w:p>
              </w:tc>
              <w:tc>
                <w:tcPr/>
                <w:p>
                  <w:pPr>
                    <w:pStyle w:val="Compact"/>
                    <w:jc w:val="center"/>
                  </w:pPr>
                  <w:r>
                    <w:t xml:space="preserve">conversão aproximada</w:t>
                  </w:r>
                </w:p>
              </w:tc>
              <w:tc>
                <w:tcPr/>
                <w:p>
                  <w:pPr>
                    <w:pStyle w:val="Compact"/>
                    <w:jc w:val="center"/>
                  </w:pPr>
                  <w:r>
                    <w:t xml:space="preserve">não (fora da contagem)</w:t>
                  </w:r>
                </w:p>
              </w:tc>
            </w:tr>
            <w:tr>
              <w:tc>
                <w:tcPr/>
                <w:p>
                  <w:pPr>
                    <w:pStyle w:val="Compact"/>
                    <w:jc w:val="center"/>
                  </w:pPr>
                  <w:r>
                    <w:t xml:space="preserve">Westwood et al. (2020)</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−0,10 (0,023)</w:t>
                  </w:r>
                </w:p>
              </w:tc>
              <w:tc>
                <w:tcPr/>
                <w:p>
                  <w:pPr>
                    <w:pStyle w:val="Compact"/>
                    <w:jc w:val="center"/>
                  </w:pPr>
                  <w:r>
                    <w:t xml:space="preserve">−3,40 p.p.; p0 = 0,75; conversão aproximada</w:t>
                  </w:r>
                </w:p>
              </w:tc>
              <w:tc>
                <w:tcPr/>
                <w:p>
                  <w:pPr>
                    <w:pStyle w:val="Compact"/>
                    <w:jc w:val="center"/>
                  </w:pPr>
                  <w:r>
                    <w:t xml:space="preserve">sim</w:t>
                  </w:r>
                </w:p>
              </w:tc>
            </w:tr>
            <w:tr>
              <w:tc>
                <w:tcPr/>
                <w:p>
                  <w:pPr>
                    <w:pStyle w:val="Compact"/>
                    <w:jc w:val="center"/>
                  </w:pPr>
                  <w:r>
                    <w:t xml:space="preserve">Witsman (2016)</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0,90 (0,241)</w:t>
                  </w:r>
                </w:p>
              </w:tc>
              <w:tc>
                <w:tcPr/>
                <w:p>
                  <w:pPr>
                    <w:pStyle w:val="Compact"/>
                    <w:jc w:val="center"/>
                  </w:pPr>
                  <w:r>
                    <w:t xml:space="preserve">p0 = 0,55; p1 = 0,86</w:t>
                  </w:r>
                </w:p>
              </w:tc>
              <w:tc>
                <w:tcPr/>
                <w:p>
                  <w:pPr>
                    <w:pStyle w:val="Compact"/>
                    <w:jc w:val="center"/>
                  </w:pPr>
                  <w:r>
                    <w:t xml:space="preserve">sim</w:t>
                  </w:r>
                </w:p>
              </w:tc>
            </w:tr>
          </w:tbl>
          <w:bookmarkEnd w:id="41"/>
          <w:p/>
        </w:tc>
      </w:tr>
    </w:tbl>
    <w:p>
      <w:pPr>
        <w:pStyle w:val="BodyText"/>
      </w:pPr>
      <w:r>
        <w:rPr>
          <w:b/>
          <w:bCs/>
        </w:rPr>
        <w:t xml:space="preserve">Pontos de julgamento deixados para o revisor humano.</w:t>
      </w:r>
      <w:r>
        <w:t xml:space="preserve"> </w:t>
      </w:r>
      <w:r>
        <w:t xml:space="preserve">Os árbitros levantaram decisões que mudariam a composição das células e não foram aplicadas pelo coordenador, porque seriam decisões novas de síntese tomadas depois de ver os dados (</w:t>
      </w:r>
      <w:r>
        <w:rPr>
          <w:rStyle w:val="VerbatimChar"/>
        </w:rPr>
        <w:t xml:space="preserve">08-revisao-humana/efeitos/pontos_para_o_revisor.md</w:t>
      </w:r>
      <w:r>
        <w:t xml:space="preserve">). Os principais são:</w:t>
      </w:r>
    </w:p>
    <w:p>
      <w:pPr>
        <w:pStyle w:val="Compact"/>
        <w:numPr>
          <w:ilvl w:val="0"/>
          <w:numId w:val="1006"/>
        </w:numPr>
      </w:pPr>
      <w:r>
        <w:t xml:space="preserve">se Gerber2020a-E12 (efeito de 1 p.p. de crença sobre o comparecimento, por variável instrumental) vai para o dicionário</w:t>
      </w:r>
      <w:r>
        <w:t xml:space="preserve"> </w:t>
      </w:r>
      <w:r>
        <w:rPr>
          <w:rStyle w:val="VerbatimChar"/>
        </w:rPr>
        <w:t xml:space="preserve">FORA</w:t>
      </w:r>
      <w:r>
        <w:t xml:space="preserve">; o nulo da célula não muda, porque a E31 o sustenta;</w:t>
      </w:r>
    </w:p>
    <w:p>
      <w:pPr>
        <w:pStyle w:val="Compact"/>
        <w:numPr>
          <w:ilvl w:val="0"/>
          <w:numId w:val="1006"/>
        </w:numPr>
      </w:pPr>
      <w:r>
        <w:t xml:space="preserve">se</w:t>
      </w:r>
      <w:r>
        <w:t xml:space="preserve"> </w:t>
      </w:r>
      <w:r>
        <w:t xml:space="preserve">Feltovich e Giovannoni (2022)</w:t>
      </w:r>
      <w:r>
        <w:t xml:space="preserve"> </w:t>
      </w:r>
      <w:r>
        <w:t xml:space="preserve">(E01 e E02) vai para o</w:t>
      </w:r>
      <w:r>
        <w:t xml:space="preserve"> </w:t>
      </w:r>
      <w:r>
        <w:rPr>
          <w:rStyle w:val="VerbatimChar"/>
        </w:rPr>
        <w:t xml:space="preserve">FORA</w:t>
      </w:r>
      <w:r>
        <w:t xml:space="preserve">, porque os autores tratam a prévia como mecanismo de identificação e não como exposição; com isso, a célula não randomizada de apoio com outro resultado ficaria vazia;</w:t>
      </w:r>
    </w:p>
    <w:p>
      <w:pPr>
        <w:pStyle w:val="Compact"/>
        <w:numPr>
          <w:ilvl w:val="0"/>
          <w:numId w:val="1006"/>
        </w:numPr>
      </w:pPr>
      <w:r>
        <w:t xml:space="preserve">se</w:t>
      </w:r>
      <w:r>
        <w:t xml:space="preserve"> </w:t>
      </w:r>
      <w:r>
        <w:t xml:space="preserve">Schlegel et al. (2023)</w:t>
      </w:r>
      <w:r>
        <w:t xml:space="preserve"> </w:t>
      </w:r>
      <w:r>
        <w:t xml:space="preserve">vai para o</w:t>
      </w:r>
      <w:r>
        <w:t xml:space="preserve"> </w:t>
      </w:r>
      <w:r>
        <w:rPr>
          <w:rStyle w:val="VerbatimChar"/>
        </w:rPr>
        <w:t xml:space="preserve">FORA</w:t>
      </w:r>
      <w:r>
        <w:t xml:space="preserve"> </w:t>
      </w:r>
      <w:r>
        <w:t xml:space="preserve">ou recebe só uma ressalva: o contraste principal mistura a precisão das pesquisas com a retirada da carga cognitiva, e o contraste só de informação dá cerca de 5,2 p.p., com IC que cruza zero;</w:t>
      </w:r>
    </w:p>
    <w:p>
      <w:pPr>
        <w:pStyle w:val="Compact"/>
        <w:numPr>
          <w:ilvl w:val="0"/>
          <w:numId w:val="1006"/>
        </w:numPr>
      </w:pPr>
      <w:r>
        <w:t xml:space="preserve">se</w:t>
      </w:r>
      <w:r>
        <w:t xml:space="preserve"> </w:t>
      </w:r>
      <w:r>
        <w:t xml:space="preserve">Geers et al. (2018)</w:t>
      </w:r>
      <w:r>
        <w:t xml:space="preserve"> </w:t>
      </w:r>
      <w:r>
        <w:t xml:space="preserve">volta à contagem: o motivo anterior para excluí-lo partia de uma leitura errada do desvio-padrão, e as duas linhas principais são negativas, de desmobilização;</w:t>
      </w:r>
    </w:p>
    <w:p>
      <w:pPr>
        <w:pStyle w:val="Compact"/>
        <w:numPr>
          <w:ilvl w:val="0"/>
          <w:numId w:val="1006"/>
        </w:numPr>
      </w:pPr>
      <w:r>
        <w:t xml:space="preserve">o alvo de Witsman2016a-E01, que o autor lê como voto estratégico; se virar viabilidade, o estudo sai da célula mesmo candidato atrás;</w:t>
      </w:r>
    </w:p>
    <w:p>
      <w:pPr>
        <w:pStyle w:val="Compact"/>
        <w:numPr>
          <w:ilvl w:val="0"/>
          <w:numId w:val="1006"/>
        </w:numPr>
      </w:pPr>
      <w:r>
        <w:t xml:space="preserve">se Klor2017a-E01 volta à contagem, porque o motivo do</w:t>
      </w:r>
      <w:r>
        <w:t xml:space="preserve"> </w:t>
      </w:r>
      <w:r>
        <w:rPr>
          <w:rStyle w:val="VerbatimChar"/>
        </w:rPr>
        <w:t xml:space="preserve">FORA</w:t>
      </w:r>
      <w:r>
        <w:t xml:space="preserve"> </w:t>
      </w:r>
      <w:r>
        <w:t xml:space="preserve">conflita com o comparador</w:t>
      </w:r>
      <w:r>
        <w:t xml:space="preserve"> </w:t>
      </w:r>
      <w:r>
        <w:rPr>
          <w:rStyle w:val="VerbatimChar"/>
        </w:rPr>
        <w:t xml:space="preserve">mesmo_candidato_atras</w:t>
      </w:r>
      <w:r>
        <w:t xml:space="preserve">, que o protocolo aceita;</w:t>
      </w:r>
    </w:p>
    <w:p>
      <w:pPr>
        <w:pStyle w:val="Compact"/>
        <w:numPr>
          <w:ilvl w:val="0"/>
          <w:numId w:val="1006"/>
        </w:numPr>
      </w:pPr>
      <w:r>
        <w:t xml:space="preserve">o comparador de</w:t>
      </w:r>
      <w:r>
        <w:t xml:space="preserve"> </w:t>
      </w:r>
      <w:r>
        <w:t xml:space="preserve">Grillo e Raiber (2024)</w:t>
      </w:r>
      <w:r>
        <w:t xml:space="preserve"> </w:t>
      </w:r>
      <w:r>
        <w:t xml:space="preserve">(os autores chamam o primeiro turno de grupo controle);</w:t>
      </w:r>
    </w:p>
    <w:p>
      <w:pPr>
        <w:pStyle w:val="Compact"/>
        <w:numPr>
          <w:ilvl w:val="0"/>
          <w:numId w:val="1006"/>
        </w:numPr>
      </w:pPr>
      <w:r>
        <w:t xml:space="preserve">a regra de ano da eleição em experimentos de laboratório, hoje inconsistente:</w:t>
      </w:r>
      <w:r>
        <w:t xml:space="preserve"> </w:t>
      </w:r>
      <w:r>
        <w:t xml:space="preserve">Tyszler e Schram (2015)</w:t>
      </w:r>
      <w:r>
        <w:t xml:space="preserve"> </w:t>
      </w:r>
      <w:r>
        <w:t xml:space="preserve">e</w:t>
      </w:r>
      <w:r>
        <w:t xml:space="preserve"> </w:t>
      </w:r>
      <w:r>
        <w:t xml:space="preserve">Klor e Winter (2017)</w:t>
      </w:r>
      <w:r>
        <w:t xml:space="preserve"> </w:t>
      </w:r>
      <w:r>
        <w:t xml:space="preserve">usam o ano da coleta e saem da sensibilidade sem dados anteriores a 2010, enquanto outros usam</w:t>
      </w:r>
      <w:r>
        <w:t xml:space="preserve"> </w:t>
      </w:r>
      <w:r>
        <w:rPr>
          <w:rStyle w:val="VerbatimChar"/>
        </w:rPr>
        <w:t xml:space="preserve">999</w:t>
      </w:r>
      <w:r>
        <w:t xml:space="preserve">.</w:t>
      </w:r>
    </w:p>
    <w:bookmarkEnd w:id="42"/>
    <w:bookmarkStart w:id="59" w:name="resultados-das-sínteses-20a-20d"/>
    <w:p>
      <w:pPr>
        <w:pStyle w:val="Heading2"/>
      </w:pPr>
      <w:r>
        <w:t xml:space="preserve">Resultados das sínteses (20a-20d)</w:t>
      </w:r>
    </w:p>
    <w:p>
      <w:pPr>
        <w:pStyle w:val="FirstParagraph"/>
      </w:pPr>
      <w:r>
        <w:t xml:space="preserve">A</w:t>
      </w:r>
      <w:r>
        <w:t xml:space="preserve"> </w:t>
      </w:r>
      <w:hyperlink w:anchor="tbl-swim">
        <w:r>
          <w:rPr>
            <w:rStyle w:val="Hyperlink"/>
          </w:rPr>
          <w:t xml:space="preserve">Tabela 8</w:t>
        </w:r>
      </w:hyperlink>
      <w:r>
        <w:t xml:space="preserve"> </w:t>
      </w:r>
      <w:r>
        <w:t xml:space="preserve">resume a SWiM principal, com uma linha por célula do protocolo. Das 19 células, 18 têm estudo em risco não crítico; a de agregador ou projeção × mobilização × sem pesquisa × não randomizado ficou vazia depois da exclusão de</w:t>
      </w:r>
      <w:r>
        <w:t xml:space="preserve"> </w:t>
      </w:r>
      <w:r>
        <w:t xml:space="preserve">Kaplan (2019)</w:t>
      </w:r>
      <w:r>
        <w:t xml:space="preserve"> </w:t>
      </w:r>
      <w:r>
        <w:t xml:space="preserve">(risco crítico). A direção é a do estimador pontual, e o teste de sinal não estima magnitude nem considera a precisão e o tamanho dos estudos. A sensibilidade com ICC = 0,20 (</w:t>
      </w:r>
      <w:r>
        <w:rPr>
          <w:rStyle w:val="VerbatimChar"/>
        </w:rPr>
        <w:t xml:space="preserve">06-analise/swim_sens_icc020/</w:t>
      </w:r>
      <w:r>
        <w:t xml:space="preserve">) não mudou nenhuma contagem de direção em nenhuma célula.</w:t>
      </w:r>
    </w:p>
    <w:tbl>
      <w:tblPr>
        <w:tblStyle w:val="Table"/>
        <w:tblW w:type="pct" w:w="5000"/>
        <w:tblLayout w:type="fixed"/>
        <w:tblLook w:firstRow="0" w:lastRow="0" w:firstColumn="0" w:lastColumn="0" w:noHBand="0" w:noVBand="0" w:val="0000"/>
      </w:tblPr>
      <w:tblGrid>
        <w:gridCol w:w="7920"/>
      </w:tblGrid>
      <w:tr>
        <w:tc>
          <w:tcPr/>
          <w:bookmarkStart w:id="43" w:name="tbl-swim"/>
          <w:p>
            <w:pPr>
              <w:jc w:val="center"/>
            </w:pPr>
            <w:pPr>
              <w:jc w:val="left"/>
              <w:spacing w:before="200"/>
              <w:pStyle w:val="ImageCaption"/>
            </w:pPr>
            <w:r>
              <w:t xml:space="preserve">Tabela 8: SWiM principal por célula do protocolo (</w:t>
            </w:r>
            <w:r>
              <w:rPr>
                <w:rStyle w:val="VerbatimChar"/>
              </w:rPr>
              <w:t xml:space="preserve">06-analise/swim_principal/swim_resumo.json</w:t>
            </w:r>
            <w:r>
              <w:t xml:space="preserve">, sem risco crítico). Proporção = estudos na direção positiva entre os estudos com direção definida (nulos e mistos fora do denominador), com IC 95% de Clopper-Pearson; p do teste de sinal binomial exato bilateral. Certeza de</w:t>
            </w:r>
            <w:r>
              <w:t xml:space="preserve"> </w:t>
            </w:r>
            <w:r>
              <w:rPr>
                <w:rStyle w:val="VerbatimChar"/>
              </w:rPr>
              <w:t xml:space="preserve">06-analise/certeza.csv</w:t>
            </w:r>
            <w:r>
              <w:t xml:space="preserve">, sobre a direção, rascunho de IA não validado.</w:t>
            </w:r>
          </w:p>
          <w:tbl>
            <w:tblPr>
              <w:tblStyle w:val="Table"/>
              <w:tblW w:type="pct" w:w="5000"/>
              <w:tblLayout w:type="fixed"/>
              <w:tblLook w:firstRow="1" w:lastRow="0" w:firstColumn="0" w:lastColumn="0" w:noHBand="0" w:noVBand="0" w:val="0020"/>
            </w:tblPr>
            <w:tblGrid>
              <w:gridCol w:w="871"/>
              <w:gridCol w:w="950"/>
              <w:gridCol w:w="871"/>
              <w:gridCol w:w="712"/>
              <w:gridCol w:w="1584"/>
              <w:gridCol w:w="1108"/>
              <w:gridCol w:w="871"/>
              <w:gridCol w:w="396"/>
              <w:gridCol w:w="554"/>
            </w:tblGrid>
            <w:tr>
              <w:trPr>
                <w:tblHeader w:val="on"/>
              </w:trPr>
              <w:tc>
                <w:tcPr/>
                <w:p>
                  <w:pPr>
                    <w:pStyle w:val="Compact"/>
                    <w:jc w:val="center"/>
                  </w:pPr>
                  <w:r>
                    <w:t xml:space="preserve">Exposição</w:t>
                  </w:r>
                </w:p>
              </w:tc>
              <w:tc>
                <w:tcPr/>
                <w:p>
                  <w:pPr>
                    <w:pStyle w:val="Compact"/>
                    <w:jc w:val="center"/>
                  </w:pPr>
                  <w:r>
                    <w:t xml:space="preserve">Desfecho (célula de alvo)</w:t>
                  </w:r>
                </w:p>
              </w:tc>
              <w:tc>
                <w:tcPr/>
                <w:p>
                  <w:pPr>
                    <w:pStyle w:val="Compact"/>
                    <w:jc w:val="center"/>
                  </w:pPr>
                  <w:r>
                    <w:t xml:space="preserve">Comparador</w:t>
                  </w:r>
                </w:p>
              </w:tc>
              <w:tc>
                <w:tcPr/>
                <w:p>
                  <w:pPr>
                    <w:pStyle w:val="Compact"/>
                    <w:jc w:val="center"/>
                  </w:pPr>
                  <w:r>
                    <w:t xml:space="preserve">Classe</w:t>
                  </w:r>
                </w:p>
              </w:tc>
              <w:tc>
                <w:tcPr/>
                <w:p>
                  <w:pPr>
                    <w:pStyle w:val="Compact"/>
                    <w:jc w:val="center"/>
                  </w:pPr>
                  <w:r>
                    <w:t xml:space="preserve">Estudos</w:t>
                  </w:r>
                </w:p>
              </w:tc>
              <w:tc>
                <w:tcPr/>
                <w:p>
                  <w:pPr>
                    <w:pStyle w:val="Compact"/>
                    <w:jc w:val="center"/>
                  </w:pPr>
                  <w:r>
                    <w:t xml:space="preserve">Direções</w:t>
                  </w:r>
                </w:p>
              </w:tc>
              <w:tc>
                <w:tcPr/>
                <w:p>
                  <w:pPr>
                    <w:pStyle w:val="Compact"/>
                    <w:jc w:val="center"/>
                  </w:pPr>
                  <w:r>
                    <w:t xml:space="preserve">Proporção (IC 95%)</w:t>
                  </w:r>
                </w:p>
              </w:tc>
              <w:tc>
                <w:tcPr/>
                <w:p>
                  <w:pPr>
                    <w:pStyle w:val="Compact"/>
                    <w:jc w:val="center"/>
                  </w:pPr>
                  <w:r>
                    <w:t xml:space="preserve">p (sinal)</w:t>
                  </w:r>
                </w:p>
              </w:tc>
              <w:tc>
                <w:tcPr/>
                <w:p>
                  <w:pPr>
                    <w:pStyle w:val="Compact"/>
                    <w:jc w:val="center"/>
                  </w:pPr>
                  <w:r>
                    <w:t xml:space="preserve">Certeza</w:t>
                  </w:r>
                </w:p>
              </w:tc>
            </w:tr>
            <w:tr>
              <w:tc>
                <w:tcPr/>
                <w:p>
                  <w:pPr>
                    <w:pStyle w:val="Compact"/>
                    <w:jc w:val="center"/>
                  </w:pPr>
                  <w:r>
                    <w:t xml:space="preserve">pesquisa pré-eleitoral</w:t>
                  </w:r>
                </w:p>
              </w:tc>
              <w:tc>
                <w:tcPr/>
                <w:p>
                  <w:pPr>
                    <w:pStyle w:val="Compact"/>
                    <w:jc w:val="center"/>
                  </w:pPr>
                  <w:r>
                    <w:t xml:space="preserve">apoio (principal)</w:t>
                  </w:r>
                </w:p>
              </w:tc>
              <w:tc>
                <w:tcPr/>
                <w:p>
                  <w:pPr>
                    <w:pStyle w:val="Compact"/>
                    <w:jc w:val="center"/>
                  </w:pPr>
                  <w:r>
                    <w:t xml:space="preserve">mesmo candidato atrás</w:t>
                  </w:r>
                </w:p>
              </w:tc>
              <w:tc>
                <w:tcPr/>
                <w:p>
                  <w:pPr>
                    <w:pStyle w:val="Compact"/>
                    <w:jc w:val="center"/>
                  </w:pPr>
                  <w:r>
                    <w:t xml:space="preserve">randomizado</w:t>
                  </w:r>
                </w:p>
              </w:tc>
              <w:tc>
                <w:tcPr/>
                <w:p>
                  <w:pPr>
                    <w:pStyle w:val="Compact"/>
                    <w:jc w:val="center"/>
                  </w:pPr>
                  <w:r>
                    <w:t xml:space="preserve">Tal et al. (2015)</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Witsman (2016)</w:t>
                  </w:r>
                </w:p>
              </w:tc>
              <w:tc>
                <w:tcPr/>
                <w:p>
                  <w:pPr>
                    <w:pStyle w:val="Compact"/>
                    <w:jc w:val="center"/>
                  </w:pPr>
                  <w:r>
                    <w:t xml:space="preserve">4</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(0,40 a 1,00)</w:t>
                  </w:r>
                </w:p>
              </w:tc>
              <w:tc>
                <w:tcPr/>
                <w:p>
                  <w:pPr>
                    <w:pStyle w:val="Compact"/>
                    <w:jc w:val="center"/>
                  </w:pPr>
                  <w:r>
                    <w:t xml:space="preserve">0,125</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(principal)</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Feltovich e Giovannoni (2022)</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(principal)</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Boukouras et al. (2020)</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(principal)</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Farjam (2020)</w:t>
                  </w:r>
                  <w:r>
                    <w:t xml:space="preserve">;</w:t>
                  </w:r>
                  <w:r>
                    <w:t xml:space="preserve"> </w:t>
                  </w:r>
                  <w:r>
                    <w:t xml:space="preserve">Timotei (2013)</w:t>
                  </w:r>
                  <w:r>
                    <w:t xml:space="preserve">;</w:t>
                  </w:r>
                  <w:r>
                    <w:t xml:space="preserve"> </w:t>
                  </w:r>
                  <w:r>
                    <w:t xml:space="preserve">Tyszler e Schram (2015)</w:t>
                  </w:r>
                </w:p>
              </w:tc>
              <w:tc>
                <w:tcPr/>
                <w:p>
                  <w:pPr>
                    <w:pStyle w:val="Compact"/>
                    <w:jc w:val="center"/>
                  </w:pPr>
                  <w:r>
                    <w:t xml:space="preserve">4</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(0,40 a 1,00)</w:t>
                  </w:r>
                </w:p>
              </w:tc>
              <w:tc>
                <w:tcPr/>
                <w:p>
                  <w:pPr>
                    <w:pStyle w:val="Compact"/>
                    <w:jc w:val="center"/>
                  </w:pPr>
                  <w:r>
                    <w:t xml:space="preserve">0,125</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(viabilidade)</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Schlegel et al. (2023)</w:t>
                  </w:r>
                  <w:r>
                    <w:t xml:space="preserve">;</w:t>
                  </w:r>
                  <w:r>
                    <w:t xml:space="preserve"> </w:t>
                  </w:r>
                  <w:r>
                    <w:t xml:space="preserve">Fredén et al. (2024)</w:t>
                  </w:r>
                </w:p>
              </w:tc>
              <w:tc>
                <w:tcPr/>
                <w:p>
                  <w:pPr>
                    <w:pStyle w:val="Compact"/>
                    <w:jc w:val="center"/>
                  </w:pPr>
                  <w:r>
                    <w:t xml:space="preserve">1 viabilidade; 0 contra; 1 misto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(viabilidade)</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Cornejo (2023)</w:t>
                  </w:r>
                </w:p>
              </w:tc>
              <w:tc>
                <w:tcPr/>
                <w:p>
                  <w:pPr>
                    <w:pStyle w:val="Compact"/>
                    <w:jc w:val="center"/>
                  </w:pPr>
                  <w:r>
                    <w:t xml:space="preserve">1 viabilidade;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w:t>
                  </w:r>
                  <w:r>
                    <w:rPr>
                      <w:i/>
                      <w:iCs/>
                    </w:rPr>
                    <w:t xml:space="preserve">momentum</w:t>
                  </w:r>
                  <w:r>
                    <w:t xml:space="preserve">)</w:t>
                  </w:r>
                </w:p>
              </w:tc>
              <w:tc>
                <w:tcPr/>
                <w:p>
                  <w:pPr>
                    <w:pStyle w:val="Compact"/>
                    <w:jc w:val="center"/>
                  </w:pPr>
                  <w:r>
                    <w:t xml:space="preserve">outro</w:t>
                  </w:r>
                </w:p>
              </w:tc>
              <w:tc>
                <w:tcPr/>
                <w:p>
                  <w:pPr>
                    <w:pStyle w:val="Compact"/>
                    <w:jc w:val="center"/>
                  </w:pPr>
                  <w:r>
                    <w:t xml:space="preserve">randomizado</w:t>
                  </w:r>
                </w:p>
              </w:tc>
              <w:tc>
                <w:tcPr/>
                <w:p>
                  <w:pPr>
                    <w:pStyle w:val="Compact"/>
                    <w:jc w:val="center"/>
                  </w:pPr>
                  <w:r>
                    <w:t xml:space="preserve">Meer et al. (2015)</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w:t>
                  </w:r>
                  <w:r>
                    <w:rPr>
                      <w:i/>
                      <w:iCs/>
                    </w:rPr>
                    <w:t xml:space="preserve">momentum</w:t>
                  </w:r>
                  <w:r>
                    <w:t xml:space="preserve">)</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w:t>
                  </w:r>
                  <w:r>
                    <w:rPr>
                      <w:i/>
                      <w:iCs/>
                    </w:rPr>
                    <w:t xml:space="preserve">momentum</w:t>
                  </w:r>
                  <w:r>
                    <w:t xml:space="preserve">)</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Dahlgaard et al. (2016)</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mobilização (mobilização)</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Gerber et al. (2020)</w:t>
                  </w:r>
                </w:p>
              </w:tc>
              <w:tc>
                <w:tcPr/>
                <w:p>
                  <w:pPr>
                    <w:pStyle w:val="Compact"/>
                    <w:jc w:val="center"/>
                  </w:pPr>
                  <w:r>
                    <w:t xml:space="preserve">0 mobilização; 0 desmobilização; 1 nulo</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moderada</w:t>
                  </w:r>
                </w:p>
              </w:tc>
            </w:tr>
            <w:tr>
              <w:tc>
                <w:tcPr/>
                <w:p>
                  <w:pPr>
                    <w:pStyle w:val="Compact"/>
                    <w:jc w:val="center"/>
                  </w:pPr>
                  <w:r>
                    <w:t xml:space="preserve">pesquisa pré-eleitoral</w:t>
                  </w:r>
                </w:p>
              </w:tc>
              <w:tc>
                <w:tcPr/>
                <w:p>
                  <w:pPr>
                    <w:pStyle w:val="Compact"/>
                    <w:jc w:val="center"/>
                  </w:pPr>
                  <w:r>
                    <w:t xml:space="preserve">mobilização (mobilização)</w:t>
                  </w:r>
                </w:p>
              </w:tc>
              <w:tc>
                <w:tcPr/>
                <w:p>
                  <w:pPr>
                    <w:pStyle w:val="Compact"/>
                    <w:jc w:val="center"/>
                  </w:pPr>
                  <w:r>
                    <w:t xml:space="preserve">sem pesquisa</w:t>
                  </w:r>
                </w:p>
              </w:tc>
              <w:tc>
                <w:tcPr/>
                <w:p>
                  <w:pPr>
                    <w:pStyle w:val="Compact"/>
                    <w:jc w:val="center"/>
                  </w:pPr>
                  <w:r>
                    <w:t xml:space="preserve">não randomizado</w:t>
                  </w:r>
                </w:p>
              </w:tc>
              <w:tc>
                <w:tcPr/>
                <w:p>
                  <w:pPr>
                    <w:pStyle w:val="Compact"/>
                    <w:jc w:val="center"/>
                  </w:pPr>
                  <w:r>
                    <w:t xml:space="preserve">Klor e Winter (2017)</w:t>
                  </w:r>
                </w:p>
              </w:tc>
              <w:tc>
                <w:tcPr/>
                <w:p>
                  <w:pPr>
                    <w:pStyle w:val="Compact"/>
                    <w:jc w:val="center"/>
                  </w:pPr>
                  <w:r>
                    <w:t xml:space="preserve">1 mobilização; 0 desmobilização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mobilização (mobilização)</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Erlich (2023)</w:t>
                  </w:r>
                </w:p>
              </w:tc>
              <w:tc>
                <w:tcPr/>
                <w:p>
                  <w:pPr>
                    <w:pStyle w:val="Compact"/>
                    <w:jc w:val="center"/>
                  </w:pPr>
                  <w:r>
                    <w:t xml:space="preserve">2 mobilização; 1 desmobilização</w:t>
                  </w:r>
                </w:p>
              </w:tc>
              <w:tc>
                <w:tcPr/>
                <w:p>
                  <w:pPr>
                    <w:pStyle w:val="Compact"/>
                    <w:jc w:val="center"/>
                  </w:pPr>
                  <w:r>
                    <w:t xml:space="preserve">0,67 (0,09 a 0,99)</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mobilização (mobilização)</w:t>
                  </w:r>
                </w:p>
              </w:tc>
              <w:tc>
                <w:tcPr/>
                <w:p>
                  <w:pPr>
                    <w:pStyle w:val="Compact"/>
                    <w:jc w:val="center"/>
                  </w:pPr>
                  <w:r>
                    <w:t xml:space="preserve">unidades não expostas</w:t>
                  </w:r>
                </w:p>
              </w:tc>
              <w:tc>
                <w:tcPr/>
                <w:p>
                  <w:pPr>
                    <w:pStyle w:val="Compact"/>
                    <w:jc w:val="center"/>
                  </w:pPr>
                  <w:r>
                    <w:t xml:space="preserve">não randomizado</w:t>
                  </w:r>
                </w:p>
              </w:tc>
              <w:tc>
                <w:tcPr/>
                <w:p>
                  <w:pPr>
                    <w:pStyle w:val="Compact"/>
                    <w:jc w:val="center"/>
                  </w:pPr>
                  <w:r>
                    <w:t xml:space="preserve">Stolwijk e Schuck (2019)</w:t>
                  </w:r>
                  <w:r>
                    <w:t xml:space="preserve">;</w:t>
                  </w:r>
                  <w:r>
                    <w:t xml:space="preserve"> </w:t>
                  </w:r>
                  <w:r>
                    <w:t xml:space="preserve">Brugarolas e Miller (2021)</w:t>
                  </w:r>
                </w:p>
              </w:tc>
              <w:tc>
                <w:tcPr/>
                <w:p>
                  <w:pPr>
                    <w:pStyle w:val="Compact"/>
                    <w:jc w:val="center"/>
                  </w:pPr>
                  <w:r>
                    <w:t xml:space="preserve">2 mobilização; 0 desmobilização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baixa</w:t>
                  </w:r>
                </w:p>
              </w:tc>
            </w:tr>
            <w:tr>
              <w:tc>
                <w:tcPr/>
                <w:p>
                  <w:pPr>
                    <w:pStyle w:val="Compact"/>
                    <w:jc w:val="center"/>
                  </w:pPr>
                  <w:r>
                    <w:t xml:space="preserve">agregador ou projeção</w:t>
                  </w:r>
                </w:p>
              </w:tc>
              <w:tc>
                <w:tcPr/>
                <w:p>
                  <w:pPr>
                    <w:pStyle w:val="Compact"/>
                    <w:jc w:val="center"/>
                  </w:pPr>
                  <w:r>
                    <w:t xml:space="preserve">mobilização (mobilização)</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Westwood et al. (2020)</w:t>
                  </w:r>
                </w:p>
              </w:tc>
              <w:tc>
                <w:tcPr/>
                <w:p>
                  <w:pPr>
                    <w:pStyle w:val="Compact"/>
                    <w:jc w:val="center"/>
                  </w:pPr>
                  <w:r>
                    <w:t xml:space="preserve">0 mobilização; 1 desmobilização</w:t>
                  </w:r>
                </w:p>
              </w:tc>
              <w:tc>
                <w:tcPr/>
                <w:p>
                  <w:pPr>
                    <w:pStyle w:val="Compact"/>
                    <w:jc w:val="center"/>
                  </w:pPr>
                  <w:r>
                    <w:t xml:space="preserve">0,00 (0,00 a 0,97)</w:t>
                  </w:r>
                </w:p>
              </w:tc>
              <w:tc>
                <w:tcPr/>
                <w:p>
                  <w:pPr>
                    <w:pStyle w:val="Compact"/>
                    <w:jc w:val="center"/>
                  </w:pPr>
                  <w:r>
                    <w:t xml:space="preserve">1</w:t>
                  </w:r>
                </w:p>
              </w:tc>
              <w:tc>
                <w:tcPr/>
                <w:p>
                  <w:pPr>
                    <w:pStyle w:val="Compact"/>
                    <w:jc w:val="center"/>
                  </w:pPr>
                  <w:r>
                    <w:t xml:space="preserve">baixa</w:t>
                  </w:r>
                </w:p>
              </w:tc>
            </w:tr>
            <w:tr>
              <w:tc>
                <w:tcPr/>
                <w:p>
                  <w:pPr>
                    <w:pStyle w:val="Compact"/>
                    <w:jc w:val="center"/>
                  </w:pPr>
                  <w:r>
                    <w:t xml:space="preserve">agregador ou projeção</w:t>
                  </w:r>
                </w:p>
              </w:tc>
              <w:tc>
                <w:tcPr/>
                <w:p>
                  <w:pPr>
                    <w:pStyle w:val="Compact"/>
                    <w:jc w:val="center"/>
                  </w:pPr>
                  <w:r>
                    <w:t xml:space="preserve">mobilização (mobilização)</w:t>
                  </w:r>
                </w:p>
              </w:tc>
              <w:tc>
                <w:tcPr/>
                <w:p>
                  <w:pPr>
                    <w:pStyle w:val="Compact"/>
                    <w:jc w:val="center"/>
                  </w:pPr>
                  <w:r>
                    <w:t xml:space="preserve">sem pesquisa</w:t>
                  </w:r>
                </w:p>
              </w:tc>
              <w:tc>
                <w:tcPr/>
                <w:p>
                  <w:pPr>
                    <w:pStyle w:val="Compact"/>
                    <w:jc w:val="center"/>
                  </w:pPr>
                  <w:r>
                    <w:t xml:space="preserve">não randomizado</w:t>
                  </w:r>
                </w:p>
              </w:tc>
              <w:tc>
                <w:tcPr/>
                <w:p>
                  <w:pPr>
                    <w:pStyle w:val="Compact"/>
                    <w:jc w:val="center"/>
                  </w:pPr>
                  <w:r>
                    <w:t xml:space="preserve">nenhum (fora, risco crítico:</w:t>
                  </w:r>
                  <w:r>
                    <w:t xml:space="preserve"> </w:t>
                  </w:r>
                  <w:r>
                    <w:t xml:space="preserve">Kaplan (2019)</w:t>
                  </w:r>
                  <w:r>
                    <w:t xml:space="preserve">)</w:t>
                  </w:r>
                </w:p>
              </w:tc>
              <w:tc>
                <w:tcPr/>
                <w:p>
                  <w:pPr>
                    <w:pStyle w:val="Compact"/>
                    <w:jc w:val="center"/>
                  </w:pPr>
                  <w:r>
                    <w:t xml:space="preserve">nenhum estudo</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não julgada (célula vazia)</w:t>
                  </w:r>
                </w:p>
              </w:tc>
            </w:tr>
            <w:tr>
              <w:tc>
                <w:tcPr/>
                <w:p>
                  <w:pPr>
                    <w:pStyle w:val="Compact"/>
                    <w:jc w:val="center"/>
                  </w:pPr>
                  <w:r>
                    <w:t xml:space="preserve">boca de urna</w:t>
                  </w:r>
                </w:p>
              </w:tc>
              <w:tc>
                <w:tcPr/>
                <w:p>
                  <w:pPr>
                    <w:pStyle w:val="Compact"/>
                    <w:jc w:val="center"/>
                  </w:pPr>
                  <w:r>
                    <w:t xml:space="preserve">apoio (principal)</w:t>
                  </w:r>
                </w:p>
              </w:tc>
              <w:tc>
                <w:tcPr/>
                <w:p>
                  <w:pPr>
                    <w:pStyle w:val="Compact"/>
                    <w:jc w:val="center"/>
                  </w:pPr>
                  <w:r>
                    <w:t xml:space="preserve">antes e depois da proibição</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Chatterjee e Kamal (2019)</w:t>
                  </w:r>
                </w:p>
              </w:tc>
              <w:tc>
                <w:tcPr/>
                <w:p>
                  <w:pPr>
                    <w:pStyle w:val="Compact"/>
                    <w:jc w:val="center"/>
                  </w:pPr>
                  <w:r>
                    <w:t xml:space="preserve">1</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0,50 (0,01 a 0,99)</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boca de urna</w:t>
                  </w:r>
                </w:p>
              </w:tc>
              <w:tc>
                <w:tcPr/>
                <w:p>
                  <w:pPr>
                    <w:pStyle w:val="Compact"/>
                    <w:jc w:val="center"/>
                  </w:pPr>
                  <w:r>
                    <w:t xml:space="preserve">mobilização (mobilização)</w:t>
                  </w:r>
                </w:p>
              </w:tc>
              <w:tc>
                <w:tcPr/>
                <w:p>
                  <w:pPr>
                    <w:pStyle w:val="Compact"/>
                    <w:jc w:val="center"/>
                  </w:pPr>
                  <w:r>
                    <w:t xml:space="preserve">antes e depois da proibição</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Chatterjee e Kamal (2019)</w:t>
                  </w:r>
                </w:p>
              </w:tc>
              <w:tc>
                <w:tcPr/>
                <w:p>
                  <w:pPr>
                    <w:pStyle w:val="Compact"/>
                    <w:jc w:val="center"/>
                  </w:pPr>
                  <w:r>
                    <w:t xml:space="preserve">0 mobilização; 1 desmobilização; 1 misto</w:t>
                  </w:r>
                </w:p>
              </w:tc>
              <w:tc>
                <w:tcPr/>
                <w:p>
                  <w:pPr>
                    <w:pStyle w:val="Compact"/>
                    <w:jc w:val="center"/>
                  </w:pPr>
                  <w:r>
                    <w:t xml:space="preserve">0,00 (0,00 a 0,97)</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boca de urna</w:t>
                  </w:r>
                </w:p>
              </w:tc>
              <w:tc>
                <w:tcPr/>
                <w:p>
                  <w:pPr>
                    <w:pStyle w:val="Compact"/>
                    <w:jc w:val="center"/>
                  </w:pPr>
                  <w:r>
                    <w:t xml:space="preserve">mobilização (mobilização)</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Grillo e Raiber (2024)</w:t>
                  </w:r>
                </w:p>
              </w:tc>
              <w:tc>
                <w:tcPr/>
                <w:p>
                  <w:pPr>
                    <w:pStyle w:val="Compact"/>
                    <w:jc w:val="center"/>
                  </w:pPr>
                  <w:r>
                    <w:t xml:space="preserve">0 mobilização; 1 desmobilização</w:t>
                  </w:r>
                </w:p>
              </w:tc>
              <w:tc>
                <w:tcPr/>
                <w:p>
                  <w:pPr>
                    <w:pStyle w:val="Compact"/>
                    <w:jc w:val="center"/>
                  </w:pPr>
                  <w:r>
                    <w:t xml:space="preserve">0,00 (0,00 a 0,97)</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outro</w:t>
                  </w:r>
                </w:p>
              </w:tc>
              <w:tc>
                <w:tcPr/>
                <w:p>
                  <w:pPr>
                    <w:pStyle w:val="Compact"/>
                    <w:jc w:val="center"/>
                  </w:pPr>
                  <w:r>
                    <w:t xml:space="preserve">apoio (principal)</w:t>
                  </w:r>
                </w:p>
              </w:tc>
              <w:tc>
                <w:tcPr/>
                <w:p>
                  <w:pPr>
                    <w:pStyle w:val="Compact"/>
                    <w:jc w:val="center"/>
                  </w:pPr>
                  <w:r>
                    <w:t xml:space="preserve">unidades não expostas</w:t>
                  </w:r>
                </w:p>
              </w:tc>
              <w:tc>
                <w:tcPr/>
                <w:p>
                  <w:pPr>
                    <w:pStyle w:val="Compact"/>
                    <w:jc w:val="center"/>
                  </w:pPr>
                  <w:r>
                    <w:t xml:space="preserve">não randomizado</w:t>
                  </w:r>
                </w:p>
              </w:tc>
              <w:tc>
                <w:tcPr/>
                <w:p>
                  <w:pPr>
                    <w:pStyle w:val="Compact"/>
                    <w:jc w:val="center"/>
                  </w:pPr>
                  <w:r>
                    <w:t xml:space="preserve">Araujo e Gatto (2021b)</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bl>
          <w:bookmarkEnd w:id="4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 w:name="fig-direcao"/>
          <w:p>
            <w:pPr>
              <w:pStyle w:val="Compact"/>
              <w:jc w:val="center"/>
            </w:pPr>
            <w:r>
              <w:drawing>
                <wp:inline>
                  <wp:extent cx="5334000" cy="2353510"/>
                  <wp:effectExtent b="0" l="0" r="0" t="0"/>
                  <wp:docPr descr="" title="" id="45" name="Picture"/>
                  <a:graphic>
                    <a:graphicData uri="http://schemas.openxmlformats.org/drawingml/2006/picture">
                      <pic:pic>
                        <pic:nvPicPr>
                          <pic:cNvPr descr="../06-analise/swim_principal/figuras/direcao_efeito.png" id="46" name="Picture"/>
                          <pic:cNvPicPr>
                            <a:picLocks noChangeArrowheads="1" noChangeAspect="1"/>
                          </pic:cNvPicPr>
                        </pic:nvPicPr>
                        <pic:blipFill>
                          <a:blip r:embed="rId44"/>
                          <a:stretch>
                            <a:fillRect/>
                          </a:stretch>
                        </pic:blipFill>
                        <pic:spPr bwMode="auto">
                          <a:xfrm>
                            <a:off x="0" y="0"/>
                            <a:ext cx="5334000" cy="235351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Direção do efeito por estudo e célula na SWiM principal.</w:t>
            </w:r>
          </w:p>
          <w:bookmarkEnd w:id="47"/>
        </w:tc>
      </w:tr>
    </w:tbl>
    <w:p>
      <w:pPr>
        <w:pStyle w:val="BodyText"/>
      </w:pPr>
      <w:r>
        <w:rPr>
          <w:b/>
          <w:bCs/>
        </w:rPr>
        <w:t xml:space="preserve">Apoio ao líder, pesquisa pré-eleitoral frente a nenhuma pesquisa, randomizados (20a, 20b).</w:t>
      </w:r>
      <w:r>
        <w:t xml:space="preserve"> </w:t>
      </w:r>
      <w:r>
        <w:t xml:space="preserve">Quatro experimentos (</w:t>
      </w:r>
      <w:r>
        <w:t xml:space="preserve">Agranov et al. (2017)</w:t>
      </w:r>
      <w:r>
        <w:t xml:space="preserve">,</w:t>
      </w:r>
      <w:r>
        <w:t xml:space="preserve"> </w:t>
      </w:r>
      <w:r>
        <w:t xml:space="preserve">Farjam (2020)</w:t>
      </w:r>
      <w:r>
        <w:t xml:space="preserve">,</w:t>
      </w:r>
      <w:r>
        <w:t xml:space="preserve"> </w:t>
      </w:r>
      <w:r>
        <w:t xml:space="preserve">Timotei (2013)</w:t>
      </w:r>
      <w:r>
        <w:t xml:space="preserve">,</w:t>
      </w:r>
      <w:r>
        <w:t xml:space="preserve"> </w:t>
      </w:r>
      <w:r>
        <w:t xml:space="preserve">Tyszler e Schram (2015)</w:t>
      </w:r>
      <w:r>
        <w:t xml:space="preserve">), todos com algumas preocupações de risco de viés; três em laboratório com preferências induzidas ou vinheta hipotética e só</w:t>
      </w:r>
      <w:r>
        <w:t xml:space="preserve"> </w:t>
      </w:r>
      <w:r>
        <w:t xml:space="preserve">Farjam (2020)</w:t>
      </w:r>
      <w:r>
        <w:t xml:space="preserve"> </w:t>
      </w:r>
      <w:r>
        <w:t xml:space="preserve">com partidos e organizações reais. Foram 4 de 4 estudos com estimativa na direção</w:t>
      </w:r>
      <w:r>
        <w:t xml:space="preserve"> </w:t>
      </w:r>
      <w:r>
        <w:rPr>
          <w:i/>
          <w:iCs/>
        </w:rPr>
        <w:t xml:space="preserve">bandwagon</w:t>
      </w:r>
      <w:r>
        <w:t xml:space="preserve"> </w:t>
      </w:r>
      <w:r>
        <w:t xml:space="preserve">(proporção 1,00; IC 95% 0,40 a 1,00; teste de sinal p = 0,125): é muito incerto se mostrar uma pesquisa, frente a não mostrar, aumenta o apoio à opção mostrada à frente (certeza muito baixa). Em</w:t>
      </w:r>
      <w:r>
        <w:t xml:space="preserve"> </w:t>
      </w:r>
      <w:r>
        <w:t xml:space="preserve">Agranov et al. (2017)</w:t>
      </w:r>
      <w:r>
        <w:t xml:space="preserve"> </w:t>
      </w:r>
      <w:r>
        <w:t xml:space="preserve">e</w:t>
      </w:r>
      <w:r>
        <w:t xml:space="preserve"> </w:t>
      </w:r>
      <w:r>
        <w:t xml:space="preserve">Tyszler e Schram (2015)</w:t>
      </w:r>
      <w:r>
        <w:t xml:space="preserve">, o desfecho é o resultado da eleição do grupo, não o apoio individual. A meta-análise exploratória reuniu os três estudos que têm g (</w:t>
      </w:r>
      <w:r>
        <w:t xml:space="preserve">Agranov et al. (2017)</w:t>
      </w:r>
      <w:r>
        <w:t xml:space="preserve">,</w:t>
      </w:r>
      <w:r>
        <w:t xml:space="preserve"> </w:t>
      </w:r>
      <w:r>
        <w:t xml:space="preserve">Timotei (2013)</w:t>
      </w:r>
      <w:r>
        <w:t xml:space="preserve"> </w:t>
      </w:r>
      <w:r>
        <w:t xml:space="preserve">e</w:t>
      </w:r>
      <w:r>
        <w:t xml:space="preserve"> </w:t>
      </w:r>
      <w:r>
        <w:t xml:space="preserve">Tyszler e Schram (2015)</w:t>
      </w:r>
      <w:r>
        <w:t xml:space="preserve">, este com dois efeitos principais lidos de figura), com 4 efeitos, por CHE (REML) com RVE (CR2) e ρ = 0,6. O resultado foi g = 0,48 (IC 95% −1,51 a 2,47; p = 0,263), com 1,25 graus de liberdade de Satterthwaite, abaixo de 4: a inferência robusta não é confiável. O IC cruza zero e ±δ (0,0573). τ² = 0,04 e I² = 15% não são interpretáveis com k = 3, e o intervalo de predição (−3,55 a 4,51) não foi interpretado com k &lt; 5. Com ρ = 0,2, 0,5 e 0,8, a estimativa foi 0,49, 0,48 e 0,47, sempre com IC que cruza zero. No</w:t>
      </w:r>
      <w:r>
        <w:t xml:space="preserve"> </w:t>
      </w:r>
      <w:r>
        <w:rPr>
          <w:i/>
          <w:iCs/>
        </w:rPr>
        <w:t xml:space="preserve">leave-one-out</w:t>
      </w:r>
      <w:r>
        <w:t xml:space="preserve">, a estimativa variou de 0,19 a 0,69; sem</w:t>
      </w:r>
      <w:r>
        <w:t xml:space="preserve"> </w:t>
      </w:r>
      <w:r>
        <w:t xml:space="preserve">Timotei (2013)</w:t>
      </w:r>
      <w:r>
        <w:t xml:space="preserve">, ela foi 0,69 (IC 95% 0,40 a 0,98), e o IC deixou de cruzar zero. Com ICC = 0,20, g = 0,51 (IC 95% −0,97 a 1,98). Esta meta-análise é exploratória, não é a síntese principal, e sua certeza é a da célula (muito baixa).</w:t>
      </w:r>
    </w:p>
    <w:tbl>
      <w:tblPr>
        <w:tblStyle w:val="Table"/>
        <w:tblW w:type="pct" w:w="5000"/>
        <w:tblLayout w:type="fixed"/>
        <w:tblLook w:firstRow="0" w:lastRow="0" w:firstColumn="0" w:lastColumn="0" w:noHBand="0" w:noVBand="0" w:val="0000"/>
      </w:tblPr>
      <w:tblGrid>
        <w:gridCol w:w="7920"/>
      </w:tblGrid>
      <w:tr>
        <w:tc>
          <w:tcPr/>
          <w:bookmarkStart w:id="51" w:name="fig-forest"/>
          <w:p>
            <w:pPr>
              <w:pStyle w:val="Compact"/>
              <w:jc w:val="center"/>
            </w:pPr>
            <w:r>
              <w:drawing>
                <wp:inline>
                  <wp:extent cx="5334000" cy="2667000"/>
                  <wp:effectExtent b="0" l="0" r="0" t="0"/>
                  <wp:docPr descr="" title="" id="49" name="Picture"/>
                  <a:graphic>
                    <a:graphicData uri="http://schemas.openxmlformats.org/drawingml/2006/picture">
                      <pic:pic>
                        <pic:nvPicPr>
                          <pic:cNvPr descr="../06-analise/meta_exploratoria/figuras/forest_01_pesquisa_pre_eleitoral_apoio_ao_lider_sem_pesquisa_randomiza.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Meta-análise exploratória (3 estudos, 4 efeitos), pesquisa pré-eleitoral × sem pesquisa × apoio ao líder, randomizados.</w:t>
            </w:r>
          </w:p>
          <w:bookmarkEnd w:id="51"/>
        </w:tc>
      </w:tr>
    </w:tbl>
    <w:p>
      <w:pPr>
        <w:pStyle w:val="BodyText"/>
      </w:pPr>
      <w:r>
        <w:rPr>
          <w:b/>
          <w:bCs/>
        </w:rPr>
        <w:t xml:space="preserve">Apoio ao líder, o mesmo candidato mostrado à frente ou atrás, randomizados (20a, 20b).</w:t>
      </w:r>
      <w:r>
        <w:t xml:space="preserve"> </w:t>
      </w:r>
      <w:r>
        <w:t xml:space="preserve">Célula nova nesta versão, com 4 experimentos, todos em risco de viés alto e todos em laboratório com preferências induzidas (</w:t>
      </w:r>
      <w:r>
        <w:t xml:space="preserve">Tal et al. (2015)</w:t>
      </w:r>
      <w:r>
        <w:t xml:space="preserve">) ou vinheta hipotética (</w:t>
      </w:r>
      <w:r>
        <w:t xml:space="preserve">Lammers et al. (2022)</w:t>
      </w:r>
      <w:r>
        <w:t xml:space="preserve">,</w:t>
      </w:r>
      <w:r>
        <w:t xml:space="preserve"> </w:t>
      </w:r>
      <w:r>
        <w:t xml:space="preserve">Fichnová e Wojciechowski (2015)</w:t>
      </w:r>
      <w:r>
        <w:t xml:space="preserve">,</w:t>
      </w:r>
      <w:r>
        <w:t xml:space="preserve"> </w:t>
      </w:r>
      <w:r>
        <w:t xml:space="preserve">Witsman (2016)</w:t>
      </w:r>
      <w:r>
        <w:t xml:space="preserve">). Foram 4 de 4 na direção</w:t>
      </w:r>
      <w:r>
        <w:t xml:space="preserve"> </w:t>
      </w:r>
      <w:r>
        <w:rPr>
          <w:i/>
          <w:iCs/>
        </w:rPr>
        <w:t xml:space="preserve">bandwagon</w:t>
      </w:r>
      <w:r>
        <w:t xml:space="preserve"> </w:t>
      </w:r>
      <w:r>
        <w:t xml:space="preserve">(proporção 1,00; IC 95% 0,40 a 1,00; p = 0,125): é muito incerto se ver o candidato à frente numa pesquisa, em vez de atrás, aumenta o apoio a ele (certeza muito baixa). Dentro de</w:t>
      </w:r>
      <w:r>
        <w:t xml:space="preserve"> </w:t>
      </w:r>
      <w:r>
        <w:t xml:space="preserve">Lammers et al. (2022)</w:t>
      </w:r>
      <w:r>
        <w:t xml:space="preserve">, os sinais se opõem entre os níveis do fator de modo de raciocínio: g = 1,25 e 1,03 no modo heurístico e −0,39 e 0,06 no modo moral. É modificação de efeito dentro do estudo, e o estudo recebeu direção</w:t>
      </w:r>
      <w:r>
        <w:t xml:space="preserve"> </w:t>
      </w:r>
      <w:r>
        <w:rPr>
          <w:i/>
          <w:iCs/>
        </w:rPr>
        <w:t xml:space="preserve">bandwagon</w:t>
      </w:r>
      <w:r>
        <w:t xml:space="preserve"> </w:t>
      </w:r>
      <w:r>
        <w:t xml:space="preserve">pela regra de 70% (3 de 4 efeitos). Os três estudos com g calculado (</w:t>
      </w:r>
      <w:r>
        <w:t xml:space="preserve">Fichnová e Wojciechowski (2015)</w:t>
      </w:r>
      <w:r>
        <w:t xml:space="preserve"> </w:t>
      </w:r>
      <w:r>
        <w:t xml:space="preserve">E10,</w:t>
      </w:r>
      <w:r>
        <w:t xml:space="preserve"> </w:t>
      </w:r>
      <w:r>
        <w:t xml:space="preserve">Lammers et al. (2022)</w:t>
      </w:r>
      <w:r>
        <w:t xml:space="preserve"> </w:t>
      </w:r>
      <w:r>
        <w:t xml:space="preserve">E06 a E09 e</w:t>
      </w:r>
      <w:r>
        <w:t xml:space="preserve"> </w:t>
      </w:r>
      <w:r>
        <w:t xml:space="preserve">Witsman (2016)</w:t>
      </w:r>
      <w:r>
        <w:t xml:space="preserve"> </w:t>
      </w:r>
      <w:r>
        <w:t xml:space="preserve">E01; 6 efeitos) entraram numa meta-análise exploratória por CHE (REML) com RVE (CR2), ρ = 0,6 e δ = 0,044. O resultado foi g = 0,62 (IC 95% −0,48 a 1,72; p = 0,111), com 1,46 graus de liberdade de Satterthwaite, abaixo de 4: a inferência robusta não é confiável. O IC cruza zero e ±δ. A comparabilidade é limitada: os desfechos são posto num ranking de 7 candidatos (</w:t>
      </w:r>
      <w:r>
        <w:t xml:space="preserve">Fichnová e Wojciechowski (2015)</w:t>
      </w:r>
      <w:r>
        <w:t xml:space="preserve">), probabilidade autodeclarada numa escala Likert de 1 a 7 (</w:t>
      </w:r>
      <w:r>
        <w:t xml:space="preserve">Lammers et al. (2022)</w:t>
      </w:r>
      <w:r>
        <w:t xml:space="preserve">) e proporção de voto (</w:t>
      </w:r>
      <w:r>
        <w:t xml:space="preserve">Witsman (2016)</w:t>
      </w:r>
      <w:r>
        <w:t xml:space="preserve">), e a saída da análise avisa que há vários desfechos no mesmo construto. τ² = 0,41 e I² = 94% não são interpretáveis com k = 3, e o intervalo de predição (−7,82 a 9,05) não foi interpretado com k &lt; 5. Com ρ = 0,2, 0,5 e 0,8, a estimativa foi 0,61, 0,62 e 0,62, sempre com IC que cruza zero. No</w:t>
      </w:r>
      <w:r>
        <w:t xml:space="preserve"> </w:t>
      </w:r>
      <w:r>
        <w:rPr>
          <w:i/>
          <w:iCs/>
        </w:rPr>
        <w:t xml:space="preserve">leave-one-out</w:t>
      </w:r>
      <w:r>
        <w:t xml:space="preserve">, a estimativa variou de 0,55 a 0,90; sem</w:t>
      </w:r>
      <w:r>
        <w:t xml:space="preserve"> </w:t>
      </w:r>
      <w:r>
        <w:t xml:space="preserve">Lammers et al. (2022)</w:t>
      </w:r>
      <w:r>
        <w:t xml:space="preserve">, ela foi 0,90 (IC 95% 0,85 a 0,94), e o IC deixou de cruzar zero. A sensibilidade com ICC = 0,20 (</w:t>
      </w:r>
      <w:r>
        <w:rPr>
          <w:rStyle w:val="VerbatimChar"/>
        </w:rPr>
        <w:t xml:space="preserve">06-analise/meta_mesmo_candidato_icc020/</w:t>
      </w:r>
      <w:r>
        <w:t xml:space="preserve">) deu o mesmo resultado, porque nenhum efeito da célula tem ajuste de conglomerado. A sensibilidade sem risco alto não pôde ser rodada, porque todos os efeitos estão em risco alto. Esta meta-análise é exploratória, e sua certeza é a da célula (muito baixa). Os pontos sobre</w:t>
      </w:r>
      <w:r>
        <w:t xml:space="preserve"> </w:t>
      </w:r>
      <w:r>
        <w:t xml:space="preserve">Witsman (2016)</w:t>
      </w:r>
      <w:r>
        <w:t xml:space="preserve"> </w:t>
      </w:r>
      <w:r>
        <w:t xml:space="preserve">e Klor2017a-E01 podem mudar a composição da célula.</w:t>
      </w:r>
    </w:p>
    <w:tbl>
      <w:tblPr>
        <w:tblStyle w:val="Table"/>
        <w:tblW w:type="pct" w:w="5000"/>
        <w:tblLayout w:type="fixed"/>
        <w:tblLook w:firstRow="0" w:lastRow="0" w:firstColumn="0" w:lastColumn="0" w:noHBand="0" w:noVBand="0" w:val="0000"/>
      </w:tblPr>
      <w:tblGrid>
        <w:gridCol w:w="7920"/>
      </w:tblGrid>
      <w:tr>
        <w:tc>
          <w:tcPr/>
          <w:bookmarkStart w:id="55" w:name="fig-forest-mesmo"/>
          <w:p>
            <w:pPr>
              <w:pStyle w:val="Compact"/>
              <w:jc w:val="center"/>
            </w:pPr>
            <w:r>
              <w:drawing>
                <wp:inline>
                  <wp:extent cx="5334000" cy="2867025"/>
                  <wp:effectExtent b="0" l="0" r="0" t="0"/>
                  <wp:docPr descr="" title="" id="53" name="Picture"/>
                  <a:graphic>
                    <a:graphicData uri="http://schemas.openxmlformats.org/drawingml/2006/picture">
                      <pic:pic>
                        <pic:nvPicPr>
                          <pic:cNvPr descr="../06-analise/meta_mesmo_candidato/figuras/forest_01_pesquisa_pre_eleitoral_apoio_ao_lider_mesmo_candidato_atras_.png" id="54" name="Picture"/>
                          <pic:cNvPicPr>
                            <a:picLocks noChangeArrowheads="1" noChangeAspect="1"/>
                          </pic:cNvPicPr>
                        </pic:nvPicPr>
                        <pic:blipFill>
                          <a:blip r:embed="rId52"/>
                          <a:stretch>
                            <a:fillRect/>
                          </a:stretch>
                        </pic:blipFill>
                        <pic:spPr bwMode="auto">
                          <a:xfrm>
                            <a:off x="0" y="0"/>
                            <a:ext cx="5334000" cy="2867025"/>
                          </a:xfrm>
                          <a:prstGeom prst="rect">
                            <a:avLst/>
                          </a:prstGeom>
                          <a:noFill/>
                          <a:ln w="9525">
                            <a:noFill/>
                            <a:headEnd/>
                            <a:tailEnd/>
                          </a:ln>
                        </pic:spPr>
                      </pic:pic>
                    </a:graphicData>
                  </a:graphic>
                </wp:inline>
              </w:drawing>
            </w:r>
          </w:p>
          <w:p>
            <w:pPr>
              <w:jc w:val="center"/>
            </w:pPr>
            <w:pPr>
              <w:jc w:val="left"/>
              <w:spacing w:before="200"/>
              <w:pStyle w:val="ImageCaption"/>
            </w:pPr>
            <w:r>
              <w:t xml:space="preserve">Figura 4: Meta-análise exploratória (3 estudos, 6 efeitos), pesquisa pré-eleitoral × mesmo candidato atrás × apoio ao líder, randomizados.</w:t>
            </w:r>
          </w:p>
          <w:bookmarkEnd w:id="55"/>
        </w:tc>
      </w:tr>
    </w:tbl>
    <w:p>
      <w:pPr>
        <w:pStyle w:val="BodyText"/>
      </w:pPr>
      <w:r>
        <w:rPr>
          <w:b/>
          <w:bCs/>
        </w:rPr>
        <w:t xml:space="preserve">Apoio ao líder, outras células de pesquisa pré-eleitoral.</w:t>
      </w:r>
      <w:r>
        <w:t xml:space="preserve"> </w:t>
      </w:r>
      <w:r>
        <w:t xml:space="preserve">Com outro resultado de pesquisa como comparador, 1 experimento de laboratório (</w:t>
      </w:r>
      <w:r>
        <w:t xml:space="preserve">Boukouras et al. (2020)</w:t>
      </w:r>
      <w:r>
        <w:t xml:space="preserve">, algumas preocupações, 3 de 3 efeitos positivos) foi na direção</w:t>
      </w:r>
      <w:r>
        <w:t xml:space="preserve"> </w:t>
      </w:r>
      <w:r>
        <w:rPr>
          <w:i/>
          <w:iCs/>
        </w:rPr>
        <w:t xml:space="preserve">bandwagon</w:t>
      </w:r>
      <w:r>
        <w:t xml:space="preserve">: é muito incerto se revelar um conjunto de pesquisas diferente, da mesma eleição, aumenta a vitória do candidato à frente (certeza muito baixa). Nos não randomizados com o mesmo comparador, 1 estudo de laboratório (</w:t>
      </w:r>
      <w:r>
        <w:t xml:space="preserve">Feltovich e Giovannoni (2022)</w:t>
      </w:r>
      <w:r>
        <w:t xml:space="preserve">, risco grave; efeitos marginais 0,248 e 0,442) foi na direção</w:t>
      </w:r>
      <w:r>
        <w:t xml:space="preserve"> </w:t>
      </w:r>
      <w:r>
        <w:rPr>
          <w:i/>
          <w:iCs/>
        </w:rPr>
        <w:t xml:space="preserve">bandwagon</w:t>
      </w:r>
      <w:r>
        <w:t xml:space="preserve">: é muito incerto se ver uma prévia com maior parcela do incumbente aumenta o voto nele (certeza muito baixa).</w:t>
      </w:r>
    </w:p>
    <w:p>
      <w:pPr>
        <w:pStyle w:val="BodyText"/>
      </w:pPr>
      <w:r>
        <w:rPr>
          <w:b/>
          <w:bCs/>
        </w:rPr>
        <w:t xml:space="preserve">Apoio ao líder, boca de urna e apuração parcial.</w:t>
      </w:r>
      <w:r>
        <w:t xml:space="preserve"> </w:t>
      </w:r>
      <w:r>
        <w:t xml:space="preserve">Nos dois experimentos naturais sobre proibição de boca de urna (risco alto no EPOC),</w:t>
      </w:r>
      <w:r>
        <w:t xml:space="preserve"> </w:t>
      </w:r>
      <w:r>
        <w:t xml:space="preserve">Morton et al. (2015)</w:t>
      </w:r>
      <w:r>
        <w:t xml:space="preserve"> </w:t>
      </w:r>
      <w:r>
        <w:t xml:space="preserve">foi na direção</w:t>
      </w:r>
      <w:r>
        <w:t xml:space="preserve"> </w:t>
      </w:r>
      <w:r>
        <w:rPr>
          <w:i/>
          <w:iCs/>
        </w:rPr>
        <w:t xml:space="preserve">bandwagon</w:t>
      </w:r>
      <w:r>
        <w:t xml:space="preserve"> </w:t>
      </w:r>
      <w:r>
        <w:t xml:space="preserve">e</w:t>
      </w:r>
      <w:r>
        <w:t xml:space="preserve"> </w:t>
      </w:r>
      <w:r>
        <w:t xml:space="preserve">Chatterjee e Kamal (2019)</w:t>
      </w:r>
      <w:r>
        <w:t xml:space="preserve"> </w:t>
      </w:r>
      <w:r>
        <w:t xml:space="preserve">na direção</w:t>
      </w:r>
      <w:r>
        <w:t xml:space="preserve"> </w:t>
      </w:r>
      <w:r>
        <w:rPr>
          <w:i/>
          <w:iCs/>
        </w:rPr>
        <w:t xml:space="preserve">underdog</w:t>
      </w:r>
      <w:r>
        <w:t xml:space="preserve">, com dois efeitos principais (g −0,29 e −0,42). A proporção foi 0,50 (IC 95% 0,01 a 0,99; p = 1): é muito incerto se a divulgação de boca de urna antes do fechamento das urnas aumenta ou reduz o apoio ao líder (certeza muito baixa). A apuração parcial oficial durante a votação (</w:t>
      </w:r>
      <w:r>
        <w:t xml:space="preserve">Araujo e Gatto (2021b)</w:t>
      </w:r>
      <w:r>
        <w:t xml:space="preserve">, único estudo, risco grave) foi seguida de mais votos no líder mostrado nos dois turnos (+5,69 e +11,76 p.p.): é muito incerto se essa divulgação aumenta a votação do líder (certeza muito baixa).</w:t>
      </w:r>
    </w:p>
    <w:p>
      <w:pPr>
        <w:pStyle w:val="BodyText"/>
      </w:pPr>
      <w:r>
        <w:rPr>
          <w:b/>
          <w:bCs/>
        </w:rPr>
        <w:t xml:space="preserve">Mobilização (desfecho de dano).</w:t>
      </w:r>
    </w:p>
    <w:p>
      <w:pPr>
        <w:pStyle w:val="Compact"/>
        <w:numPr>
          <w:ilvl w:val="0"/>
          <w:numId w:val="1007"/>
        </w:numPr>
      </w:pPr>
      <w:r>
        <w:rPr>
          <w:i/>
          <w:iCs/>
        </w:rPr>
        <w:t xml:space="preserve">Pesquisa, unidades não expostas, não randomizados.</w:t>
      </w:r>
      <w:r>
        <w:t xml:space="preserve"> </w:t>
      </w:r>
      <w:r>
        <w:t xml:space="preserve">2 de 2 estudos foram na direção de mobilização (</w:t>
      </w:r>
      <w:r>
        <w:t xml:space="preserve">Stolwijk e Schuck (2019)</w:t>
      </w:r>
      <w:r>
        <w:t xml:space="preserve">, risco grave;</w:t>
      </w:r>
      <w:r>
        <w:t xml:space="preserve"> </w:t>
      </w:r>
      <w:r>
        <w:t xml:space="preserve">Brugarolas e Miller (2021)</w:t>
      </w:r>
      <w:r>
        <w:t xml:space="preserve">, descontinuidade com risco moderado; IC 95% 0,16 a 1,00; p = 0,5): ter visto a divulgação de pesquisas pode aumentar a intenção de votar ou o comparecimento (certeza baixa sobre a direção).</w:t>
      </w:r>
    </w:p>
    <w:p>
      <w:pPr>
        <w:pStyle w:val="Compact"/>
        <w:numPr>
          <w:ilvl w:val="0"/>
          <w:numId w:val="1007"/>
        </w:numPr>
      </w:pPr>
      <w:r>
        <w:rPr>
          <w:i/>
          <w:iCs/>
        </w:rPr>
        <w:t xml:space="preserve">Pesquisa apertada frente a folgada, randomizado.</w:t>
      </w:r>
      <w:r>
        <w:t xml:space="preserve"> </w:t>
      </w:r>
      <w:r>
        <w:t xml:space="preserve">No experimento de campo de</w:t>
      </w:r>
      <w:r>
        <w:t xml:space="preserve"> </w:t>
      </w:r>
      <w:r>
        <w:t xml:space="preserve">Gerber et al. (2020)</w:t>
      </w:r>
      <w:r>
        <w:t xml:space="preserve">, com cartas que informavam uma pesquisa apertada ou folgada e comparecimento em registros administrativos, as duas estimativas tiveram IC 95% dentro de ±δ (0,046): receber uma pesquisa de disputa apertada, em vez de folgada, provavelmente não muda o comparecimento além de 2 pontos percentuais para mais ou para menos (certeza moderada; aqui a certeza qualifica a classificação como nulo ou trivial).</w:t>
      </w:r>
    </w:p>
    <w:p>
      <w:pPr>
        <w:pStyle w:val="Compact"/>
        <w:numPr>
          <w:ilvl w:val="0"/>
          <w:numId w:val="1007"/>
        </w:numPr>
      </w:pPr>
      <w:r>
        <w:rPr>
          <w:i/>
          <w:iCs/>
        </w:rPr>
        <w:t xml:space="preserve">Pesquisa frente a nenhuma pesquisa, randomizados.</w:t>
      </w:r>
      <w:r>
        <w:t xml:space="preserve"> </w:t>
      </w:r>
      <w:r>
        <w:t xml:space="preserve">2 estudos foram na direção de mobilização (</w:t>
      </w:r>
      <w:r>
        <w:t xml:space="preserve">Agranov et al. (2017)</w:t>
      </w:r>
      <w:r>
        <w:t xml:space="preserve">,</w:t>
      </w:r>
      <w:r>
        <w:t xml:space="preserve"> </w:t>
      </w:r>
      <w:r>
        <w:t xml:space="preserve">Großer e Schram (2010)</w:t>
      </w:r>
      <w:r>
        <w:t xml:space="preserve">, ambos em laboratório com preferências induzidas) e 1 na de desmobilização (</w:t>
      </w:r>
      <w:r>
        <w:t xml:space="preserve">Erlich (2023)</w:t>
      </w:r>
      <w:r>
        <w:t xml:space="preserve">, risco alto, com candidatos reais), com proporção 0,67 (IC 95% 0,09 a 0,99; p = 1): é muito incerto se ver uma pesquisa, frente a não ver, aumenta ou reduz o comparecimento (certeza muito baixa).</w:t>
      </w:r>
    </w:p>
    <w:p>
      <w:pPr>
        <w:pStyle w:val="Compact"/>
        <w:numPr>
          <w:ilvl w:val="0"/>
          <w:numId w:val="1007"/>
        </w:numPr>
      </w:pPr>
      <w:r>
        <w:rPr>
          <w:i/>
          <w:iCs/>
        </w:rPr>
        <w:t xml:space="preserve">Pesquisa frente a nenhuma pesquisa, não randomizado.</w:t>
      </w:r>
      <w:r>
        <w:t xml:space="preserve"> </w:t>
      </w:r>
      <w:r>
        <w:t xml:space="preserve">No contraste antes e depois dentro do sujeito de</w:t>
      </w:r>
      <w:r>
        <w:t xml:space="preserve"> </w:t>
      </w:r>
      <w:r>
        <w:t xml:space="preserve">Klor e Winter (2017)</w:t>
      </w:r>
      <w:r>
        <w:t xml:space="preserve"> </w:t>
      </w:r>
      <w:r>
        <w:t xml:space="preserve">(laboratório), a direção foi de mobilização: é muito incerto se revelar a distribuição de preferências aumenta o comparecimento (certeza muito baixa).</w:t>
      </w:r>
    </w:p>
    <w:p>
      <w:pPr>
        <w:pStyle w:val="Compact"/>
        <w:numPr>
          <w:ilvl w:val="0"/>
          <w:numId w:val="1007"/>
        </w:numPr>
      </w:pPr>
      <w:r>
        <w:rPr>
          <w:i/>
          <w:iCs/>
        </w:rPr>
        <w:t xml:space="preserve">Projeções.</w:t>
      </w:r>
      <w:r>
        <w:t xml:space="preserve"> </w:t>
      </w:r>
      <w:r>
        <w:t xml:space="preserve">O único estudo em risco não crítico (</w:t>
      </w:r>
      <w:r>
        <w:t xml:space="preserve">Westwood et al. (2020)</w:t>
      </w:r>
      <w:r>
        <w:t xml:space="preserve">, jogo online com preferências induzidas, 5.845 decisões; g = −0,10, EP 0,023, com IC 95% inteiro abaixo de −δ) foi na direção de desmobilização quando a probabilidade exibida se afastava de 50:50: ver projeções mais distantes de 50:50 pode reduzir a decisão de votar (certeza baixa).</w:t>
      </w:r>
    </w:p>
    <w:p>
      <w:pPr>
        <w:pStyle w:val="Compact"/>
        <w:numPr>
          <w:ilvl w:val="0"/>
          <w:numId w:val="1007"/>
        </w:numPr>
      </w:pPr>
      <w:r>
        <w:rPr>
          <w:i/>
          <w:iCs/>
        </w:rPr>
        <w:t xml:space="preserve">Boca de urna.</w:t>
      </w:r>
      <w:r>
        <w:t xml:space="preserve"> </w:t>
      </w:r>
      <w:r>
        <w:t xml:space="preserve">Nos dois experimentos naturais de proibição,</w:t>
      </w:r>
      <w:r>
        <w:t xml:space="preserve"> </w:t>
      </w:r>
      <w:r>
        <w:t xml:space="preserve">Morton et al. (2015)</w:t>
      </w:r>
      <w:r>
        <w:t xml:space="preserve"> </w:t>
      </w:r>
      <w:r>
        <w:t xml:space="preserve">foi na direção de desmobilização (−11 p.p.) e</w:t>
      </w:r>
      <w:r>
        <w:t xml:space="preserve"> </w:t>
      </w:r>
      <w:r>
        <w:t xml:space="preserve">Chatterjee e Kamal (2019)</w:t>
      </w:r>
      <w:r>
        <w:t xml:space="preserve"> </w:t>
      </w:r>
      <w:r>
        <w:t xml:space="preserve">ficou misto (um efeito negativo e outro positivo, abaixo do limiar de 70%). A proporção foi 0,00 (IC 95% 0,00 a 0,97; p = 1). Em</w:t>
      </w:r>
      <w:r>
        <w:t xml:space="preserve"> </w:t>
      </w:r>
      <w:r>
        <w:t xml:space="preserve">Grillo e Raiber (2024)</w:t>
      </w:r>
      <w:r>
        <w:t xml:space="preserve">, que compara momentos de divulgação, a direção também foi de desmobilização, com IC que cruza zero. É muito incerto se a divulgação de boca de urna antes do fechamento das urnas reduz o comparecimento (certeza muito baixa nas duas células).</w:t>
      </w:r>
    </w:p>
    <w:p>
      <w:pPr>
        <w:pStyle w:val="FirstParagraph"/>
      </w:pPr>
      <w:r>
        <w:t xml:space="preserve">O padrão boca de urna em desmobilização e pesquisa em mobilização foi observado depois de ver os dados e não foi testado.</w:t>
      </w:r>
    </w:p>
    <w:p>
      <w:pPr>
        <w:pStyle w:val="BodyText"/>
      </w:pPr>
      <w:r>
        <w:rPr>
          <w:b/>
          <w:bCs/>
        </w:rPr>
        <w:t xml:space="preserve">Viabilidade e</w:t>
      </w:r>
      <w:r>
        <w:rPr>
          <w:b/>
          <w:bCs/>
        </w:rPr>
        <w:t xml:space="preserve"> </w:t>
      </w:r>
      <w:r>
        <w:rPr>
          <w:b/>
          <w:bCs/>
          <w:i/>
          <w:iCs/>
        </w:rPr>
        <w:t xml:space="preserve">momentum</w:t>
      </w:r>
      <w:r>
        <w:rPr>
          <w:b/>
          <w:bCs/>
        </w:rPr>
        <w:t xml:space="preserve"> </w:t>
      </w:r>
      <w:r>
        <w:rPr>
          <w:b/>
          <w:bCs/>
        </w:rPr>
        <w:t xml:space="preserve">(achados secundários).</w:t>
      </w:r>
      <w:r>
        <w:t xml:space="preserve"> </w:t>
      </w:r>
      <w:r>
        <w:t xml:space="preserve">Os efeitos sobre o segundo viável, o terceiro inviável ou o partido perto da cláusula de barreira, e os de ganho de apoio sem posição mostrada, não entram na célula principal (</w:t>
      </w:r>
      <w:hyperlink w:anchor="tbl-viabilidade">
        <w:r>
          <w:rPr>
            <w:rStyle w:val="Hyperlink"/>
          </w:rPr>
          <w:t xml:space="preserve">Tabela 9</w:t>
        </w:r>
      </w:hyperlink>
      <w:r>
        <w:t xml:space="preserve">). Nos experimentos de viabilidade com outro resultado como comparador,</w:t>
      </w:r>
      <w:r>
        <w:t xml:space="preserve"> </w:t>
      </w:r>
      <w:r>
        <w:t xml:space="preserve">Schlegel et al. (2023)</w:t>
      </w:r>
      <w:r>
        <w:t xml:space="preserve"> </w:t>
      </w:r>
      <w:r>
        <w:t xml:space="preserve">foi na direção da deserção para a opção viável (+11 e +17 p.p.), e</w:t>
      </w:r>
      <w:r>
        <w:t xml:space="preserve"> </w:t>
      </w:r>
      <w:r>
        <w:t xml:space="preserve">Fredén et al. (2024)</w:t>
      </w:r>
      <w:r>
        <w:t xml:space="preserve"> </w:t>
      </w:r>
      <w:r>
        <w:t xml:space="preserve">foi misto, com 2 de 3 efeitos contrários: é muito incerto se pesquisas que mostram quais opções são viáveis levam eleitores a desertar para a opção viável (certeza muito baixa). Com nenhuma pesquisa como comparador,</w:t>
      </w:r>
      <w:r>
        <w:t xml:space="preserve"> </w:t>
      </w:r>
      <w:r>
        <w:t xml:space="preserve">Cornejo (2023)</w:t>
      </w:r>
      <w:r>
        <w:t xml:space="preserve"> </w:t>
      </w:r>
      <w:r>
        <w:t xml:space="preserve">(México) foi na direção de viabilidade (g = 0,19, EP 0,105): é muito incerto se ver pesquisa que mostra um candidato de oposição como segundo colocado viável aumenta o apoio a ele (certeza muito baixa). No</w:t>
      </w:r>
      <w:r>
        <w:t xml:space="preserve"> </w:t>
      </w:r>
      <w:r>
        <w:rPr>
          <w:i/>
          <w:iCs/>
        </w:rPr>
        <w:t xml:space="preserve">momentum</w:t>
      </w:r>
      <w:r>
        <w:t xml:space="preserve">,</w:t>
      </w:r>
      <w:r>
        <w:t xml:space="preserve"> </w:t>
      </w:r>
      <w:r>
        <w:t xml:space="preserve">Dahlgaard et al. (2016)</w:t>
      </w:r>
      <w:r>
        <w:t xml:space="preserve"> </w:t>
      </w:r>
      <w:r>
        <w:t xml:space="preserve">(frente a nenhuma pesquisa; +3,40 p.p., g = 0,12, EP 0,080) e</w:t>
      </w:r>
      <w:r>
        <w:t xml:space="preserve"> </w:t>
      </w:r>
      <w:r>
        <w:t xml:space="preserve">Meer et al. (2015)</w:t>
      </w:r>
      <w:r>
        <w:t xml:space="preserve"> </w:t>
      </w:r>
      <w:r>
        <w:t xml:space="preserve">(g = 0,13, EP 0,072) foram a favor do partido mostrado ganhando apoio, com IC do g que cruza zero nos dois;</w:t>
      </w:r>
      <w:r>
        <w:t xml:space="preserve"> </w:t>
      </w:r>
      <w:r>
        <w:t xml:space="preserve">Stolwijk et al. (2016)</w:t>
      </w:r>
      <w:r>
        <w:t xml:space="preserve">, painel com a valência da cobertura de pesquisas, também foi a favor. Nas três células, é muito incerto se uma pesquisa que mostra um partido ganhando apoio aumenta o voto nele (certeza muito baixa).</w:t>
      </w:r>
      <w:r>
        <w:t xml:space="preserve"> </w:t>
      </w:r>
      <w:r>
        <w:t xml:space="preserve">Lago et al. (2015)</w:t>
      </w:r>
      <w:r>
        <w:t xml:space="preserve">, corte transversal de países, e o efeito de viabilidade de</w:t>
      </w:r>
      <w:r>
        <w:t xml:space="preserve"> </w:t>
      </w:r>
      <w:r>
        <w:t xml:space="preserve">Alabrese e Fetzer (2024)</w:t>
      </w:r>
      <w:r>
        <w:t xml:space="preserve"> </w:t>
      </w:r>
      <w:r>
        <w:t xml:space="preserve">ficaram fora da contagem por serem interações com moderadores contínuos.</w:t>
      </w:r>
    </w:p>
    <w:tbl>
      <w:tblPr>
        <w:tblStyle w:val="Table"/>
        <w:tblW w:type="pct" w:w="5000"/>
        <w:tblLayout w:type="fixed"/>
        <w:tblLook w:firstRow="0" w:lastRow="0" w:firstColumn="0" w:lastColumn="0" w:noHBand="0" w:noVBand="0" w:val="0000"/>
      </w:tblPr>
      <w:tblGrid>
        <w:gridCol w:w="7920"/>
      </w:tblGrid>
      <w:tr>
        <w:tc>
          <w:tcPr/>
          <w:bookmarkStart w:id="56" w:name="tbl-viabilidade"/>
          <w:p>
            <w:pPr>
              <w:jc w:val="center"/>
            </w:pPr>
            <w:pPr>
              <w:jc w:val="left"/>
              <w:spacing w:before="200"/>
              <w:pStyle w:val="ImageCaption"/>
            </w:pPr>
            <w:r>
              <w:t xml:space="preserve">Tabela 9: Efeitos principais de viabilidade e de</w:t>
            </w:r>
            <w:r>
              <w:t xml:space="preserve"> </w:t>
            </w:r>
            <w:r>
              <w:rPr>
                <w:i/>
                <w:iCs/>
              </w:rPr>
              <w:t xml:space="preserve">momentum</w:t>
            </w:r>
            <w:r>
              <w:t xml:space="preserve"> </w:t>
            </w:r>
            <w:r>
              <w:t xml:space="preserve">(achados secundários). Positivo = mais apoio à opção mostrada como viável, menos à mostrada como inviável ou abaixo da cláusula, ou mais apoio ao partido mostrado ganhando apoio. Direção do estudo na SWiM principal (NR quando o estudo não entra nela).</w:t>
            </w:r>
          </w:p>
          <w:tbl>
            <w:tblPr>
              <w:tblStyle w:val="Table"/>
              <w:tblW w:type="pct" w:w="5000"/>
              <w:tblLayout w:type="fixed"/>
              <w:tblLook w:firstRow="1" w:lastRow="0" w:firstColumn="0" w:lastColumn="0" w:noHBand="0" w:noVBand="0" w:val="0020"/>
            </w:tblPr>
            <w:tblGrid>
              <w:gridCol w:w="1029"/>
              <w:gridCol w:w="396"/>
              <w:gridCol w:w="712"/>
              <w:gridCol w:w="871"/>
              <w:gridCol w:w="871"/>
              <w:gridCol w:w="712"/>
              <w:gridCol w:w="871"/>
              <w:gridCol w:w="712"/>
              <w:gridCol w:w="792"/>
              <w:gridCol w:w="950"/>
            </w:tblGrid>
            <w:tr>
              <w:trPr>
                <w:tblHeader w:val="on"/>
              </w:trPr>
              <w:tc>
                <w:tcPr/>
                <w:p>
                  <w:pPr>
                    <w:pStyle w:val="Compact"/>
                    <w:jc w:val="center"/>
                  </w:pPr>
                  <w:r>
                    <w:t xml:space="preserve">Estudo</w:t>
                  </w:r>
                </w:p>
              </w:tc>
              <w:tc>
                <w:tcPr/>
                <w:p>
                  <w:pPr>
                    <w:pStyle w:val="Compact"/>
                    <w:jc w:val="center"/>
                  </w:pPr>
                  <w:r>
                    <w:t xml:space="preserve">Efeito</w:t>
                  </w:r>
                </w:p>
              </w:tc>
              <w:tc>
                <w:tcPr/>
                <w:p>
                  <w:pPr>
                    <w:pStyle w:val="Compact"/>
                    <w:jc w:val="center"/>
                  </w:pPr>
                  <w:r>
                    <w:t xml:space="preserve">Célula</w:t>
                  </w:r>
                </w:p>
              </w:tc>
              <w:tc>
                <w:tcPr/>
                <w:p>
                  <w:pPr>
                    <w:pStyle w:val="Compact"/>
                    <w:jc w:val="center"/>
                  </w:pPr>
                  <w:r>
                    <w:t xml:space="preserve">Alvo</w:t>
                  </w:r>
                </w:p>
              </w:tc>
              <w:tc>
                <w:tcPr/>
                <w:p>
                  <w:pPr>
                    <w:pStyle w:val="Compact"/>
                    <w:jc w:val="center"/>
                  </w:pPr>
                  <w:r>
                    <w:t xml:space="preserve">Comparador</w:t>
                  </w:r>
                </w:p>
              </w:tc>
              <w:tc>
                <w:tcPr/>
                <w:p>
                  <w:pPr>
                    <w:pStyle w:val="Compact"/>
                    <w:jc w:val="center"/>
                  </w:pPr>
                  <w:r>
                    <w:t xml:space="preserve">Classe</w:t>
                  </w:r>
                </w:p>
              </w:tc>
              <w:tc>
                <w:tcPr/>
                <w:p>
                  <w:pPr>
                    <w:pStyle w:val="Compact"/>
                    <w:jc w:val="center"/>
                  </w:pPr>
                  <w:r>
                    <w:t xml:space="preserve">g (EP)</w:t>
                  </w:r>
                </w:p>
              </w:tc>
              <w:tc>
                <w:tcPr/>
                <w:p>
                  <w:pPr>
                    <w:pStyle w:val="Compact"/>
                    <w:jc w:val="center"/>
                  </w:pPr>
                  <w:r>
                    <w:t xml:space="preserve">Direção do estudo</w:t>
                  </w:r>
                </w:p>
              </w:tc>
              <w:tc>
                <w:tcPr/>
                <w:p>
                  <w:pPr>
                    <w:pStyle w:val="Compact"/>
                    <w:jc w:val="center"/>
                  </w:pPr>
                  <w:r>
                    <w:t xml:space="preserve">Risco de viés</w:t>
                  </w:r>
                </w:p>
              </w:tc>
              <w:tc>
                <w:tcPr/>
                <w:p>
                  <w:pPr>
                    <w:pStyle w:val="Compact"/>
                    <w:jc w:val="center"/>
                  </w:pPr>
                  <w:r>
                    <w:t xml:space="preserve">Certeza da célula</w:t>
                  </w:r>
                </w:p>
              </w:tc>
            </w:tr>
            <w:tr>
              <w:tc>
                <w:tcPr/>
                <w:p>
                  <w:pPr>
                    <w:pStyle w:val="Compact"/>
                    <w:jc w:val="center"/>
                  </w:pPr>
                  <w:r>
                    <w:t xml:space="preserve">Alabrese e Fetzer (2024)</w:t>
                  </w:r>
                </w:p>
              </w:tc>
              <w:tc>
                <w:tcPr/>
                <w:p>
                  <w:pPr>
                    <w:pStyle w:val="Compact"/>
                    <w:jc w:val="center"/>
                  </w:pPr>
                  <w:r>
                    <w:t xml:space="preserve">E126</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−1,06 (0,668)</w:t>
                  </w:r>
                </w:p>
              </w:tc>
              <w:tc>
                <w:tcPr/>
                <w:p>
                  <w:pPr>
                    <w:pStyle w:val="Compact"/>
                    <w:jc w:val="center"/>
                  </w:pPr>
                  <w:r>
                    <w:t xml:space="preserve">NR</w:t>
                  </w:r>
                </w:p>
              </w:tc>
              <w:tc>
                <w:tcPr/>
                <w:p>
                  <w:pPr>
                    <w:pStyle w:val="Compact"/>
                    <w:jc w:val="center"/>
                  </w:pPr>
                  <w:r>
                    <w:t xml:space="preserve">grave</w:t>
                  </w:r>
                </w:p>
              </w:tc>
              <w:tc>
                <w:tcPr/>
                <w:p>
                  <w:pPr>
                    <w:pStyle w:val="Compact"/>
                    <w:jc w:val="center"/>
                  </w:pPr>
                  <w:r>
                    <w:t xml:space="preserve">fora da contagem principal (sem certeza)</w:t>
                  </w:r>
                </w:p>
              </w:tc>
            </w:tr>
            <w:tr>
              <w:tc>
                <w:tcPr/>
                <w:p>
                  <w:pPr>
                    <w:pStyle w:val="Compact"/>
                    <w:jc w:val="center"/>
                  </w:pPr>
                  <w:r>
                    <w:t xml:space="preserve">Alabrese e Fetzer (2024)</w:t>
                  </w:r>
                </w:p>
              </w:tc>
              <w:tc>
                <w:tcPr/>
                <w:p>
                  <w:pPr>
                    <w:pStyle w:val="Compact"/>
                    <w:jc w:val="center"/>
                  </w:pPr>
                  <w:r>
                    <w:t xml:space="preserve">E127</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5,99 (0,770)</w:t>
                  </w:r>
                </w:p>
              </w:tc>
              <w:tc>
                <w:tcPr/>
                <w:p>
                  <w:pPr>
                    <w:pStyle w:val="Compact"/>
                    <w:jc w:val="center"/>
                  </w:pPr>
                  <w:r>
                    <w:t xml:space="preserve">NR</w:t>
                  </w:r>
                </w:p>
              </w:tc>
              <w:tc>
                <w:tcPr/>
                <w:p>
                  <w:pPr>
                    <w:pStyle w:val="Compact"/>
                    <w:jc w:val="center"/>
                  </w:pPr>
                  <w:r>
                    <w:t xml:space="preserve">grave</w:t>
                  </w:r>
                </w:p>
              </w:tc>
              <w:tc>
                <w:tcPr/>
                <w:p>
                  <w:pPr>
                    <w:pStyle w:val="Compact"/>
                    <w:jc w:val="center"/>
                  </w:pPr>
                  <w:r>
                    <w:t xml:space="preserve">fora da contagem principal (sem certeza)</w:t>
                  </w:r>
                </w:p>
              </w:tc>
            </w:tr>
            <w:tr>
              <w:tc>
                <w:tcPr/>
                <w:p>
                  <w:pPr>
                    <w:pStyle w:val="Compact"/>
                    <w:jc w:val="center"/>
                  </w:pPr>
                  <w:r>
                    <w:t xml:space="preserve">Cornejo (2023)</w:t>
                  </w:r>
                </w:p>
              </w:tc>
              <w:tc>
                <w:tcPr/>
                <w:p>
                  <w:pPr>
                    <w:pStyle w:val="Compact"/>
                    <w:jc w:val="center"/>
                  </w:pPr>
                  <w:r>
                    <w:t xml:space="preserve">E05</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0,19 (0,105)</w:t>
                  </w:r>
                </w:p>
              </w:tc>
              <w:tc>
                <w:tcPr/>
                <w:p>
                  <w:pPr>
                    <w:pStyle w:val="Compact"/>
                    <w:jc w:val="center"/>
                  </w:pPr>
                  <w:r>
                    <w:t xml:space="preserve">viabilidade</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Fredén et al. (2024)</w:t>
                  </w:r>
                </w:p>
              </w:tc>
              <w:tc>
                <w:tcPr/>
                <w:p>
                  <w:pPr>
                    <w:pStyle w:val="Compact"/>
                    <w:jc w:val="center"/>
                  </w:pPr>
                  <w:r>
                    <w:t xml:space="preserve">E01</w:t>
                  </w:r>
                </w:p>
              </w:tc>
              <w:tc>
                <w:tcPr/>
                <w:p>
                  <w:pPr>
                    <w:pStyle w:val="Compact"/>
                    <w:jc w:val="center"/>
                  </w:pPr>
                  <w:r>
                    <w:t xml:space="preserve">viabilidade</w:t>
                  </w:r>
                </w:p>
              </w:tc>
              <w:tc>
                <w:tcPr/>
                <w:p>
                  <w:pPr>
                    <w:pStyle w:val="Compact"/>
                    <w:jc w:val="center"/>
                  </w:pPr>
                  <w:r>
                    <w:t xml:space="preserve">partido perto da cláusula</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−0,41 (0,178)</w:t>
                  </w:r>
                </w:p>
              </w:tc>
              <w:tc>
                <w:tcPr/>
                <w:p>
                  <w:pPr>
                    <w:pStyle w:val="Compact"/>
                    <w:jc w:val="center"/>
                  </w:pPr>
                  <w:r>
                    <w:t xml:space="preserve">misto</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Fredén et al. (2024)</w:t>
                  </w:r>
                </w:p>
              </w:tc>
              <w:tc>
                <w:tcPr/>
                <w:p>
                  <w:pPr>
                    <w:pStyle w:val="Compact"/>
                    <w:jc w:val="center"/>
                  </w:pPr>
                  <w:r>
                    <w:t xml:space="preserve">E04</w:t>
                  </w:r>
                </w:p>
              </w:tc>
              <w:tc>
                <w:tcPr/>
                <w:p>
                  <w:pPr>
                    <w:pStyle w:val="Compact"/>
                    <w:jc w:val="center"/>
                  </w:pPr>
                  <w:r>
                    <w:t xml:space="preserve">viabilidade</w:t>
                  </w:r>
                </w:p>
              </w:tc>
              <w:tc>
                <w:tcPr/>
                <w:p>
                  <w:pPr>
                    <w:pStyle w:val="Compact"/>
                    <w:jc w:val="center"/>
                  </w:pPr>
                  <w:r>
                    <w:t xml:space="preserve">partido perto da cláusula</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−0,19 (0,179)</w:t>
                  </w:r>
                </w:p>
              </w:tc>
              <w:tc>
                <w:tcPr/>
                <w:p>
                  <w:pPr>
                    <w:pStyle w:val="Compact"/>
                    <w:jc w:val="center"/>
                  </w:pPr>
                  <w:r>
                    <w:t xml:space="preserve">misto</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Fredén et al. (2024)</w:t>
                  </w:r>
                </w:p>
              </w:tc>
              <w:tc>
                <w:tcPr/>
                <w:p>
                  <w:pPr>
                    <w:pStyle w:val="Compact"/>
                    <w:jc w:val="center"/>
                  </w:pPr>
                  <w:r>
                    <w:t xml:space="preserve">E07</w:t>
                  </w:r>
                </w:p>
              </w:tc>
              <w:tc>
                <w:tcPr/>
                <w:p>
                  <w:pPr>
                    <w:pStyle w:val="Compact"/>
                    <w:jc w:val="center"/>
                  </w:pPr>
                  <w:r>
                    <w:t xml:space="preserve">viabilidade</w:t>
                  </w:r>
                </w:p>
              </w:tc>
              <w:tc>
                <w:tcPr/>
                <w:p>
                  <w:pPr>
                    <w:pStyle w:val="Compact"/>
                    <w:jc w:val="center"/>
                  </w:pPr>
                  <w:r>
                    <w:t xml:space="preserve">partido perto da cláusula</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0,04 (0,130)</w:t>
                  </w:r>
                </w:p>
              </w:tc>
              <w:tc>
                <w:tcPr/>
                <w:p>
                  <w:pPr>
                    <w:pStyle w:val="Compact"/>
                    <w:jc w:val="center"/>
                  </w:pPr>
                  <w:r>
                    <w:t xml:space="preserve">misto</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Lago et al. (2015)</w:t>
                  </w:r>
                </w:p>
              </w:tc>
              <w:tc>
                <w:tcPr/>
                <w:p>
                  <w:pPr>
                    <w:pStyle w:val="Compact"/>
                    <w:jc w:val="center"/>
                  </w:pPr>
                  <w:r>
                    <w:t xml:space="preserve">E01</w:t>
                  </w:r>
                </w:p>
              </w:tc>
              <w:tc>
                <w:tcPr/>
                <w:p>
                  <w:pPr>
                    <w:pStyle w:val="Compact"/>
                    <w:jc w:val="center"/>
                  </w:pPr>
                  <w:r>
                    <w:t xml:space="preserve">viabilidade</w:t>
                  </w:r>
                </w:p>
              </w:tc>
              <w:tc>
                <w:tcPr/>
                <w:p>
                  <w:pPr>
                    <w:pStyle w:val="Compact"/>
                    <w:jc w:val="center"/>
                  </w:pPr>
                  <w:r>
                    <w:t xml:space="preserve">terceiro inviável</w:t>
                  </w:r>
                </w:p>
              </w:tc>
              <w:tc>
                <w:tcPr/>
                <w:p>
                  <w:pPr>
                    <w:pStyle w:val="Compact"/>
                    <w:jc w:val="center"/>
                  </w:pPr>
                  <w:r>
                    <w:t xml:space="preserve">unidades não expostas</w:t>
                  </w:r>
                </w:p>
              </w:tc>
              <w:tc>
                <w:tcPr/>
                <w:p>
                  <w:pPr>
                    <w:pStyle w:val="Compact"/>
                    <w:jc w:val="center"/>
                  </w:pPr>
                  <w:r>
                    <w:t xml:space="preserve">não randomizado</w:t>
                  </w:r>
                </w:p>
              </w:tc>
              <w:tc>
                <w:tcPr/>
                <w:p>
                  <w:pPr>
                    <w:pStyle w:val="Compact"/>
                    <w:jc w:val="center"/>
                  </w:pPr>
                  <w:r>
                    <w:t xml:space="preserve">0,03 (0,016)</w:t>
                  </w:r>
                </w:p>
              </w:tc>
              <w:tc>
                <w:tcPr/>
                <w:p>
                  <w:pPr>
                    <w:pStyle w:val="Compact"/>
                    <w:jc w:val="center"/>
                  </w:pPr>
                  <w:r>
                    <w:t xml:space="preserve">NR</w:t>
                  </w:r>
                </w:p>
              </w:tc>
              <w:tc>
                <w:tcPr/>
                <w:p>
                  <w:pPr>
                    <w:pStyle w:val="Compact"/>
                    <w:jc w:val="center"/>
                  </w:pPr>
                  <w:r>
                    <w:t xml:space="preserve">grave</w:t>
                  </w:r>
                </w:p>
              </w:tc>
              <w:tc>
                <w:tcPr/>
                <w:p>
                  <w:pPr>
                    <w:pStyle w:val="Compact"/>
                    <w:jc w:val="center"/>
                  </w:pPr>
                  <w:r>
                    <w:t xml:space="preserve">fora da contagem principal (sem certeza)</w:t>
                  </w:r>
                </w:p>
              </w:tc>
            </w:tr>
            <w:tr>
              <w:tc>
                <w:tcPr/>
                <w:p>
                  <w:pPr>
                    <w:pStyle w:val="Compact"/>
                    <w:jc w:val="center"/>
                  </w:pPr>
                  <w:r>
                    <w:t xml:space="preserve">Schlegel et al. (2023)</w:t>
                  </w:r>
                </w:p>
              </w:tc>
              <w:tc>
                <w:tcPr/>
                <w:p>
                  <w:pPr>
                    <w:pStyle w:val="Compact"/>
                    <w:jc w:val="center"/>
                  </w:pPr>
                  <w:r>
                    <w:t xml:space="preserve">E01</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NR</w:t>
                  </w:r>
                </w:p>
              </w:tc>
              <w:tc>
                <w:tcPr/>
                <w:p>
                  <w:pPr>
                    <w:pStyle w:val="Compact"/>
                    <w:jc w:val="center"/>
                  </w:pPr>
                  <w:r>
                    <w:t xml:space="preserve">viabilidade</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Schlegel et al. (2023)</w:t>
                  </w:r>
                </w:p>
              </w:tc>
              <w:tc>
                <w:tcPr/>
                <w:p>
                  <w:pPr>
                    <w:pStyle w:val="Compact"/>
                    <w:jc w:val="center"/>
                  </w:pPr>
                  <w:r>
                    <w:t xml:space="preserve">E02</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NR</w:t>
                  </w:r>
                </w:p>
              </w:tc>
              <w:tc>
                <w:tcPr/>
                <w:p>
                  <w:pPr>
                    <w:pStyle w:val="Compact"/>
                    <w:jc w:val="center"/>
                  </w:pPr>
                  <w:r>
                    <w:t xml:space="preserve">viabilidade</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Dahlgaard et al. (2016)</w:t>
                  </w:r>
                </w:p>
              </w:tc>
              <w:tc>
                <w:tcPr/>
                <w:p>
                  <w:pPr>
                    <w:pStyle w:val="Compact"/>
                    <w:jc w:val="center"/>
                  </w:pPr>
                  <w:r>
                    <w:t xml:space="preserve">E01</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0,12 (0,080)</w:t>
                  </w:r>
                </w:p>
              </w:tc>
              <w:tc>
                <w:tcPr/>
                <w:p>
                  <w:pPr>
                    <w:pStyle w:val="Compact"/>
                    <w:jc w:val="center"/>
                  </w:pPr>
                  <w:r>
                    <w:t xml:space="preserve">a favor</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Meer et al. (2015)</w:t>
                  </w:r>
                </w:p>
              </w:tc>
              <w:tc>
                <w:tcPr/>
                <w:p>
                  <w:pPr>
                    <w:pStyle w:val="Compact"/>
                    <w:jc w:val="center"/>
                  </w:pPr>
                  <w:r>
                    <w:t xml:space="preserve">E01</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w:t>
                  </w:r>
                </w:p>
              </w:tc>
              <w:tc>
                <w:tcPr/>
                <w:p>
                  <w:pPr>
                    <w:pStyle w:val="Compact"/>
                    <w:jc w:val="center"/>
                  </w:pPr>
                  <w:r>
                    <w:t xml:space="preserve">randomizado</w:t>
                  </w:r>
                </w:p>
              </w:tc>
              <w:tc>
                <w:tcPr/>
                <w:p>
                  <w:pPr>
                    <w:pStyle w:val="Compact"/>
                    <w:jc w:val="center"/>
                  </w:pPr>
                  <w:r>
                    <w:t xml:space="preserve">0,13 (0,072)</w:t>
                  </w:r>
                </w:p>
              </w:tc>
              <w:tc>
                <w:tcPr/>
                <w:p>
                  <w:pPr>
                    <w:pStyle w:val="Compact"/>
                    <w:jc w:val="center"/>
                  </w:pPr>
                  <w:r>
                    <w:t xml:space="preserve">a favor</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Stolwijk et al. (2016)</w:t>
                  </w:r>
                </w:p>
              </w:tc>
              <w:tc>
                <w:tcPr/>
                <w:p>
                  <w:pPr>
                    <w:pStyle w:val="Compact"/>
                    <w:jc w:val="center"/>
                  </w:pPr>
                  <w:r>
                    <w:t xml:space="preserve">E01</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NR</w:t>
                  </w:r>
                </w:p>
              </w:tc>
              <w:tc>
                <w:tcPr/>
                <w:p>
                  <w:pPr>
                    <w:pStyle w:val="Compact"/>
                    <w:jc w:val="center"/>
                  </w:pPr>
                  <w:r>
                    <w:t xml:space="preserve">a favor</w:t>
                  </w:r>
                </w:p>
              </w:tc>
              <w:tc>
                <w:tcPr/>
                <w:p>
                  <w:pPr>
                    <w:pStyle w:val="Compact"/>
                    <w:jc w:val="center"/>
                  </w:pPr>
                  <w:r>
                    <w:t xml:space="preserve">grave</w:t>
                  </w:r>
                </w:p>
              </w:tc>
              <w:tc>
                <w:tcPr/>
                <w:p>
                  <w:pPr>
                    <w:pStyle w:val="Compact"/>
                    <w:jc w:val="center"/>
                  </w:pPr>
                  <w:r>
                    <w:t xml:space="preserve">muito baixa</w:t>
                  </w:r>
                </w:p>
              </w:tc>
            </w:tr>
            <w:tr>
              <w:tc>
                <w:tcPr/>
                <w:p>
                  <w:pPr>
                    <w:pStyle w:val="Compact"/>
                    <w:jc w:val="center"/>
                  </w:pPr>
                  <w:r>
                    <w:t xml:space="preserve">Unkelbach et al. (2022)</w:t>
                  </w:r>
                </w:p>
              </w:tc>
              <w:tc>
                <w:tcPr/>
                <w:p>
                  <w:pPr>
                    <w:pStyle w:val="Compact"/>
                    <w:jc w:val="center"/>
                  </w:pPr>
                  <w:r>
                    <w:t xml:space="preserve">E01</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0,02 (0,021)</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E02</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0,06 (0,023)</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E03</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0,01 (0,039)</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E04</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0,02 (0,021)</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E05</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0,05 (0,036)</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E06</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−0,04 (0,038)</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bl>
          <w:bookmarkEnd w:id="56"/>
          <w:p/>
        </w:tc>
      </w:tr>
    </w:tbl>
    <w:p>
      <w:pPr>
        <w:pStyle w:val="BodyText"/>
      </w:pPr>
      <w:r>
        <w:rPr>
          <w:b/>
          <w:bCs/>
        </w:rPr>
        <w:t xml:space="preserve">Efeitos fora da contagem principal.</w:t>
      </w:r>
      <w:r>
        <w:t xml:space="preserve"> </w:t>
      </w:r>
      <w:r>
        <w:t xml:space="preserve">Os efeitos da</w:t>
      </w:r>
      <w:r>
        <w:t xml:space="preserve"> </w:t>
      </w:r>
      <w:hyperlink w:anchor="tbl-fora">
        <w:r>
          <w:rPr>
            <w:rStyle w:val="Hyperlink"/>
          </w:rPr>
          <w:t xml:space="preserve">Tabela 10</w:t>
        </w:r>
      </w:hyperlink>
      <w:r>
        <w:t xml:space="preserve"> </w:t>
      </w:r>
      <w:r>
        <w:t xml:space="preserve">são os principais dos seus estudos, mas ficaram fora do teste de sinal, com o motivo registrado antes da certeza (Emenda 5, item 4) e atualizado depois das arbitragens. Eles entram na sensibilidade com os efeitos fora da contagem e na leitura de mecanismos e moderadores.</w:t>
      </w:r>
      <w:r>
        <w:t xml:space="preserve"> </w:t>
      </w:r>
      <w:r>
        <w:t xml:space="preserve">Gasperoni e Mantovani (2015)</w:t>
      </w:r>
      <w:r>
        <w:t xml:space="preserve"> </w:t>
      </w:r>
      <w:r>
        <w:t xml:space="preserve">está no dicionário e também em risco crítico.</w:t>
      </w:r>
    </w:p>
    <w:tbl>
      <w:tblPr>
        <w:tblStyle w:val="Table"/>
        <w:tblW w:type="pct" w:w="5000"/>
        <w:tblLayout w:type="fixed"/>
        <w:tblLook w:firstRow="0" w:lastRow="0" w:firstColumn="0" w:lastColumn="0" w:noHBand="0" w:noVBand="0" w:val="0000"/>
      </w:tblPr>
      <w:tblGrid>
        <w:gridCol w:w="7920"/>
      </w:tblGrid>
      <w:tr>
        <w:tc>
          <w:tcPr/>
          <w:bookmarkStart w:id="57" w:name="tbl-fora"/>
          <w:p>
            <w:pPr>
              <w:jc w:val="center"/>
            </w:pPr>
            <w:pPr>
              <w:jc w:val="left"/>
              <w:spacing w:before="200"/>
              <w:pStyle w:val="ImageCaption"/>
            </w:pPr>
            <w:r>
              <w:t xml:space="preserve">Tabela 10: Efeitos principais fora da contagem e motivo registrado no dicionário</w:t>
            </w:r>
            <w:r>
              <w:t xml:space="preserve"> </w:t>
            </w:r>
            <w:r>
              <w:rPr>
                <w:rStyle w:val="VerbatimChar"/>
              </w:rPr>
              <w:t xml:space="preserve">FORA</w:t>
            </w:r>
            <w:r>
              <w:t xml:space="preserve"> </w:t>
            </w:r>
            <w:r>
              <w:t xml:space="preserve">de</w:t>
            </w:r>
            <w:r>
              <w:t xml:space="preserve"> </w:t>
            </w:r>
            <w:r>
              <w:rPr>
                <w:rStyle w:val="VerbatimChar"/>
              </w:rPr>
              <w:t xml:space="preserve">06-analise/montar_entradas_swim.py</w:t>
            </w:r>
            <w:r>
              <w:t xml:space="preserve"> </w:t>
            </w:r>
            <w:r>
              <w:t xml:space="preserve">(versão depois das arbitragens de 23/09/2026).</w:t>
            </w:r>
          </w:p>
          <w:tbl>
            <w:tblPr>
              <w:tblStyle w:val="Table"/>
              <w:tblW w:type="pct" w:w="5000"/>
              <w:tblLayout w:type="fixed"/>
              <w:tblLook w:firstRow="1" w:lastRow="0" w:firstColumn="0" w:lastColumn="0" w:noHBand="0" w:noVBand="0" w:val="0020"/>
            </w:tblPr>
            <w:tblGrid>
              <w:gridCol w:w="1108"/>
              <w:gridCol w:w="475"/>
              <w:gridCol w:w="712"/>
              <w:gridCol w:w="1267"/>
              <w:gridCol w:w="4356"/>
            </w:tblGrid>
            <w:tr>
              <w:trPr>
                <w:tblHeader w:val="on"/>
              </w:trPr>
              <w:tc>
                <w:tcPr/>
                <w:p>
                  <w:pPr>
                    <w:pStyle w:val="Compact"/>
                    <w:jc w:val="center"/>
                  </w:pPr>
                  <w:r>
                    <w:t xml:space="preserve">Estudo</w:t>
                  </w:r>
                </w:p>
              </w:tc>
              <w:tc>
                <w:tcPr/>
                <w:p>
                  <w:pPr>
                    <w:pStyle w:val="Compact"/>
                    <w:jc w:val="center"/>
                  </w:pPr>
                  <w:r>
                    <w:t xml:space="preserve">Efeito</w:t>
                  </w:r>
                </w:p>
              </w:tc>
              <w:tc>
                <w:tcPr/>
                <w:p>
                  <w:pPr>
                    <w:pStyle w:val="Compact"/>
                    <w:jc w:val="center"/>
                  </w:pPr>
                  <w:r>
                    <w:t xml:space="preserve">Desfecho</w:t>
                  </w:r>
                </w:p>
              </w:tc>
              <w:tc>
                <w:tcPr/>
                <w:p>
                  <w:pPr>
                    <w:pStyle w:val="Compact"/>
                    <w:jc w:val="center"/>
                  </w:pPr>
                  <w:r>
                    <w:t xml:space="preserve">g (EP) ou outra medida</w:t>
                  </w:r>
                </w:p>
              </w:tc>
              <w:tc>
                <w:tcPr/>
                <w:p>
                  <w:pPr>
                    <w:pStyle w:val="Compact"/>
                    <w:jc w:val="center"/>
                  </w:pPr>
                  <w:r>
                    <w:t xml:space="preserve">Motivo registrado para ficar fora do teste de sinal</w:t>
                  </w:r>
                </w:p>
              </w:tc>
            </w:tr>
            <w:tr>
              <w:tc>
                <w:tcPr/>
                <w:p>
                  <w:pPr>
                    <w:pStyle w:val="Compact"/>
                    <w:jc w:val="center"/>
                  </w:pPr>
                  <w:r>
                    <w:t xml:space="preserve">Alabrese e Fetzer (2024)</w:t>
                  </w:r>
                </w:p>
              </w:tc>
              <w:tc>
                <w:tcPr/>
                <w:p>
                  <w:pPr>
                    <w:pStyle w:val="Compact"/>
                    <w:jc w:val="center"/>
                  </w:pPr>
                  <w:r>
                    <w:t xml:space="preserve">E002</w:t>
                  </w:r>
                </w:p>
              </w:tc>
              <w:tc>
                <w:tcPr/>
                <w:p>
                  <w:pPr>
                    <w:pStyle w:val="Compact"/>
                    <w:jc w:val="center"/>
                  </w:pPr>
                  <w:r>
                    <w:t xml:space="preserve">mobilização</w:t>
                  </w:r>
                </w:p>
              </w:tc>
              <w:tc>
                <w:tcPr/>
                <w:p>
                  <w:pPr>
                    <w:pStyle w:val="Compact"/>
                    <w:jc w:val="center"/>
                  </w:pPr>
                  <w:r>
                    <w:t xml:space="preserve">−2,14 (0,334)</w:t>
                  </w:r>
                </w:p>
              </w:tc>
              <w:tc>
                <w:tcPr/>
                <w:p>
                  <w:pPr>
                    <w:pStyle w:val="Compact"/>
                    <w:jc w:val="center"/>
                  </w:pPr>
                  <w:r>
                    <w:t xml:space="preserve">interação margem nacional × segurança local (exposição contínua, estimando associação)</w:t>
                  </w:r>
                </w:p>
              </w:tc>
            </w:tr>
            <w:tr>
              <w:tc>
                <w:tcPr/>
                <w:p>
                  <w:pPr>
                    <w:pStyle w:val="Compact"/>
                    <w:jc w:val="center"/>
                  </w:pPr>
                  <w:r>
                    <w:t xml:space="preserve">Alabrese e Fetzer (2024)</w:t>
                  </w:r>
                </w:p>
              </w:tc>
              <w:tc>
                <w:tcPr/>
                <w:p>
                  <w:pPr>
                    <w:pStyle w:val="Compact"/>
                    <w:jc w:val="center"/>
                  </w:pPr>
                  <w:r>
                    <w:t xml:space="preserve">E125</w:t>
                  </w:r>
                </w:p>
              </w:tc>
              <w:tc>
                <w:tcPr/>
                <w:p>
                  <w:pPr>
                    <w:pStyle w:val="Compact"/>
                    <w:jc w:val="center"/>
                  </w:pPr>
                  <w:r>
                    <w:t xml:space="preserve">apoio</w:t>
                  </w:r>
                </w:p>
              </w:tc>
              <w:tc>
                <w:tcPr/>
                <w:p>
                  <w:pPr>
                    <w:pStyle w:val="Compact"/>
                    <w:jc w:val="center"/>
                  </w:pPr>
                  <w:r>
                    <w:t xml:space="preserve">−0,70 (0,901)</w:t>
                  </w:r>
                </w:p>
              </w:tc>
              <w:tc>
                <w:tcPr/>
                <w:p>
                  <w:pPr>
                    <w:pStyle w:val="Compact"/>
                    <w:jc w:val="center"/>
                  </w:pPr>
                  <w:r>
                    <w:t xml:space="preserve">interação margem nacional × segurança local (moderador contínuo)</w:t>
                  </w:r>
                </w:p>
              </w:tc>
            </w:tr>
            <w:tr>
              <w:tc>
                <w:tcPr/>
                <w:p>
                  <w:pPr>
                    <w:pStyle w:val="Compact"/>
                    <w:jc w:val="center"/>
                  </w:pPr>
                  <w:r>
                    <w:t xml:space="preserve">Alabrese e Fetzer (2024)</w:t>
                  </w:r>
                </w:p>
              </w:tc>
              <w:tc>
                <w:tcPr/>
                <w:p>
                  <w:pPr>
                    <w:pStyle w:val="Compact"/>
                    <w:jc w:val="center"/>
                  </w:pPr>
                  <w:r>
                    <w:t xml:space="preserve">E126</w:t>
                  </w:r>
                </w:p>
              </w:tc>
              <w:tc>
                <w:tcPr/>
                <w:p>
                  <w:pPr>
                    <w:pStyle w:val="Compact"/>
                    <w:jc w:val="center"/>
                  </w:pPr>
                  <w:r>
                    <w:t xml:space="preserve">apoio</w:t>
                  </w:r>
                </w:p>
              </w:tc>
              <w:tc>
                <w:tcPr/>
                <w:p>
                  <w:pPr>
                    <w:pStyle w:val="Compact"/>
                    <w:jc w:val="center"/>
                  </w:pPr>
                  <w:r>
                    <w:t xml:space="preserve">−1,06 (0,668)</w:t>
                  </w:r>
                </w:p>
              </w:tc>
              <w:tc>
                <w:tcPr/>
                <w:p>
                  <w:pPr>
                    <w:pStyle w:val="Compact"/>
                    <w:jc w:val="center"/>
                  </w:pPr>
                  <w:r>
                    <w:t xml:space="preserve">idem à linha anterior</w:t>
                  </w:r>
                </w:p>
              </w:tc>
            </w:tr>
            <w:tr>
              <w:tc>
                <w:tcPr/>
                <w:p>
                  <w:pPr>
                    <w:pStyle w:val="Compact"/>
                    <w:jc w:val="center"/>
                  </w:pPr>
                  <w:r>
                    <w:t xml:space="preserve">Alabrese e Fetzer (2024)</w:t>
                  </w:r>
                </w:p>
              </w:tc>
              <w:tc>
                <w:tcPr/>
                <w:p>
                  <w:pPr>
                    <w:pStyle w:val="Compact"/>
                    <w:jc w:val="center"/>
                  </w:pPr>
                  <w:r>
                    <w:t xml:space="preserve">E127</w:t>
                  </w:r>
                </w:p>
              </w:tc>
              <w:tc>
                <w:tcPr/>
                <w:p>
                  <w:pPr>
                    <w:pStyle w:val="Compact"/>
                    <w:jc w:val="center"/>
                  </w:pPr>
                  <w:r>
                    <w:t xml:space="preserve">apoio</w:t>
                  </w:r>
                </w:p>
              </w:tc>
              <w:tc>
                <w:tcPr/>
                <w:p>
                  <w:pPr>
                    <w:pStyle w:val="Compact"/>
                    <w:jc w:val="center"/>
                  </w:pPr>
                  <w:r>
                    <w:t xml:space="preserve">5,99 (0,770)</w:t>
                  </w:r>
                </w:p>
              </w:tc>
              <w:tc>
                <w:tcPr/>
                <w:p>
                  <w:pPr>
                    <w:pStyle w:val="Compact"/>
                    <w:jc w:val="center"/>
                  </w:pPr>
                  <w:r>
                    <w:t xml:space="preserve">idem à linha anterior</w:t>
                  </w:r>
                </w:p>
              </w:tc>
            </w:tr>
            <w:tr>
              <w:tc>
                <w:tcPr/>
                <w:p>
                  <w:pPr>
                    <w:pStyle w:val="Compact"/>
                    <w:jc w:val="center"/>
                  </w:pPr>
                  <w:r>
                    <w:t xml:space="preserve">Alabrese e Fetzer (2024)</w:t>
                  </w:r>
                </w:p>
              </w:tc>
              <w:tc>
                <w:tcPr/>
                <w:p>
                  <w:pPr>
                    <w:pStyle w:val="Compact"/>
                    <w:jc w:val="center"/>
                  </w:pPr>
                  <w:r>
                    <w:t xml:space="preserve">E128</w:t>
                  </w:r>
                </w:p>
              </w:tc>
              <w:tc>
                <w:tcPr/>
                <w:p>
                  <w:pPr>
                    <w:pStyle w:val="Compact"/>
                    <w:jc w:val="center"/>
                  </w:pPr>
                  <w:r>
                    <w:t xml:space="preserve">apoio</w:t>
                  </w:r>
                </w:p>
              </w:tc>
              <w:tc>
                <w:tcPr/>
                <w:p>
                  <w:pPr>
                    <w:pStyle w:val="Compact"/>
                    <w:jc w:val="center"/>
                  </w:pPr>
                  <w:r>
                    <w:t xml:space="preserve">−13,76 (1,914)</w:t>
                  </w:r>
                </w:p>
              </w:tc>
              <w:tc>
                <w:tcPr/>
                <w:p>
                  <w:pPr>
                    <w:pStyle w:val="Compact"/>
                    <w:jc w:val="center"/>
                  </w:pPr>
                  <w:r>
                    <w:t xml:space="preserve">idem à linha anterior</w:t>
                  </w:r>
                </w:p>
              </w:tc>
            </w:tr>
            <w:tr>
              <w:tc>
                <w:tcPr/>
                <w:p>
                  <w:pPr>
                    <w:pStyle w:val="Compact"/>
                    <w:jc w:val="center"/>
                  </w:pPr>
                  <w:r>
                    <w:t xml:space="preserve">Bursztyn et al. (2023)</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0,20 (0,087)</w:t>
                  </w:r>
                </w:p>
              </w:tc>
              <w:tc>
                <w:tcPr/>
                <w:p>
                  <w:pPr>
                    <w:pStyle w:val="Compact"/>
                    <w:jc w:val="center"/>
                  </w:pPr>
                  <w:r>
                    <w:t xml:space="preserve">interação dia após a pesquisa × proximidade ex ante (moderador contínuo)</w:t>
                  </w:r>
                </w:p>
              </w:tc>
            </w:tr>
            <w:tr>
              <w:tc>
                <w:tcPr/>
                <w:p>
                  <w:pPr>
                    <w:pStyle w:val="Compact"/>
                    <w:jc w:val="center"/>
                  </w:pPr>
                  <w:r>
                    <w:t xml:space="preserve">Bursztyn et al. (2023)</w:t>
                  </w:r>
                </w:p>
              </w:tc>
              <w:tc>
                <w:tcPr/>
                <w:p>
                  <w:pPr>
                    <w:pStyle w:val="Compact"/>
                    <w:jc w:val="center"/>
                  </w:pPr>
                  <w:r>
                    <w:t xml:space="preserve">E17</w:t>
                  </w:r>
                </w:p>
              </w:tc>
              <w:tc>
                <w:tcPr/>
                <w:p>
                  <w:pPr>
                    <w:pStyle w:val="Compact"/>
                    <w:jc w:val="center"/>
                  </w:pPr>
                  <w:r>
                    <w:t xml:space="preserve">apoio</w:t>
                  </w:r>
                </w:p>
              </w:tc>
              <w:tc>
                <w:tcPr/>
                <w:p>
                  <w:pPr>
                    <w:pStyle w:val="Compact"/>
                    <w:jc w:val="center"/>
                  </w:pPr>
                  <w:r>
                    <w:t xml:space="preserve">−0,003 (0,001); nulo por ±δ</w:t>
                  </w:r>
                </w:p>
              </w:tc>
              <w:tc>
                <w:tcPr/>
                <w:p>
                  <w:pPr>
                    <w:pStyle w:val="Compact"/>
                    <w:jc w:val="center"/>
                  </w:pPr>
                  <w:r>
                    <w:t xml:space="preserve">interação proximidade × apoio estimado ao lado atrás (moderador contínuo)</w:t>
                  </w:r>
                </w:p>
              </w:tc>
            </w:tr>
            <w:tr>
              <w:tc>
                <w:tcPr/>
                <w:p>
                  <w:pPr>
                    <w:pStyle w:val="Compact"/>
                    <w:jc w:val="center"/>
                  </w:pPr>
                  <w:r>
                    <w:t xml:space="preserve">Gandhi e Ong (2019)</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−0,99 (0,181)</w:t>
                  </w:r>
                </w:p>
              </w:tc>
              <w:tc>
                <w:tcPr/>
                <w:p>
                  <w:pPr>
                    <w:pStyle w:val="Compact"/>
                    <w:jc w:val="center"/>
                  </w:pPr>
                  <w:r>
                    <w:t xml:space="preserve">interação tripla: diferença de efeito entre apoiadores (moderador não atribuído)</w:t>
                  </w:r>
                </w:p>
              </w:tc>
            </w:tr>
            <w:tr>
              <w:tc>
                <w:tcPr/>
                <w:p>
                  <w:pPr>
                    <w:pStyle w:val="Compact"/>
                    <w:jc w:val="center"/>
                  </w:pPr>
                  <w:r>
                    <w:t xml:space="preserve">Gandhi e Ong (2019)</w:t>
                  </w:r>
                </w:p>
              </w:tc>
              <w:tc>
                <w:tcPr/>
                <w:p>
                  <w:pPr>
                    <w:pStyle w:val="Compact"/>
                    <w:jc w:val="center"/>
                  </w:pPr>
                  <w:r>
                    <w:t xml:space="preserve">E03</w:t>
                  </w:r>
                </w:p>
              </w:tc>
              <w:tc>
                <w:tcPr/>
                <w:p>
                  <w:pPr>
                    <w:pStyle w:val="Compact"/>
                    <w:jc w:val="center"/>
                  </w:pPr>
                  <w:r>
                    <w:t xml:space="preserve">apoio</w:t>
                  </w:r>
                </w:p>
              </w:tc>
              <w:tc>
                <w:tcPr/>
                <w:p>
                  <w:pPr>
                    <w:pStyle w:val="Compact"/>
                    <w:jc w:val="center"/>
                  </w:pPr>
                  <w:r>
                    <w:t xml:space="preserve">−0,37 (0,166)</w:t>
                  </w:r>
                </w:p>
              </w:tc>
              <w:tc>
                <w:tcPr/>
                <w:p>
                  <w:pPr>
                    <w:pStyle w:val="Compact"/>
                    <w:jc w:val="center"/>
                  </w:pPr>
                  <w:r>
                    <w:t xml:space="preserve">idem à linha anterior</w:t>
                  </w:r>
                </w:p>
              </w:tc>
            </w:tr>
            <w:tr>
              <w:tc>
                <w:tcPr/>
                <w:p>
                  <w:pPr>
                    <w:pStyle w:val="Compact"/>
                    <w:jc w:val="center"/>
                  </w:pPr>
                  <w:r>
                    <w:t xml:space="preserve">Gasperoni e Mantovani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10,11 p.p.; sinal por efeito em p.p.</w:t>
                  </w:r>
                </w:p>
              </w:tc>
              <w:tc>
                <w:tcPr/>
                <w:p>
                  <w:pPr>
                    <w:pStyle w:val="Compact"/>
                    <w:jc w:val="center"/>
                  </w:pPr>
                  <w:r>
                    <w:t xml:space="preserve">troca para o segundo preferido com alvos agregados (líder no Grupo 1, segundo viável no Grupo 2)</w:t>
                  </w:r>
                </w:p>
              </w:tc>
            </w:tr>
            <w:tr>
              <w:tc>
                <w:tcPr/>
                <w:p>
                  <w:pPr>
                    <w:pStyle w:val="Compact"/>
                    <w:jc w:val="center"/>
                  </w:pPr>
                  <w:r>
                    <w:t xml:space="preserve">Geers et al. (2018)</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β = −30,835</w:t>
                  </w:r>
                </w:p>
              </w:tc>
              <w:tc>
                <w:tcPr/>
                <w:p>
                  <w:pPr>
                    <w:pStyle w:val="Compact"/>
                    <w:jc w:val="center"/>
                  </w:pPr>
                  <w:r>
                    <w:t xml:space="preserve">conferência humana pendente (o motivo anterior, β implausível, partia de leitura errada do DP; ver 08-revisao-humana/efeitos/pontos_para_o_revisor.md)</w:t>
                  </w:r>
                </w:p>
              </w:tc>
            </w:tr>
            <w:tr>
              <w:tc>
                <w:tcPr/>
                <w:p>
                  <w:pPr>
                    <w:pStyle w:val="Compact"/>
                    <w:jc w:val="center"/>
                  </w:pPr>
                  <w:r>
                    <w:t xml:space="preserve">Geers et al. (2018)</w:t>
                  </w:r>
                </w:p>
              </w:tc>
              <w:tc>
                <w:tcPr/>
                <w:p>
                  <w:pPr>
                    <w:pStyle w:val="Compact"/>
                    <w:jc w:val="center"/>
                  </w:pPr>
                  <w:r>
                    <w:t xml:space="preserve">E02</w:t>
                  </w:r>
                </w:p>
              </w:tc>
              <w:tc>
                <w:tcPr/>
                <w:p>
                  <w:pPr>
                    <w:pStyle w:val="Compact"/>
                    <w:jc w:val="center"/>
                  </w:pPr>
                  <w:r>
                    <w:t xml:space="preserve">mobilização</w:t>
                  </w:r>
                </w:p>
              </w:tc>
              <w:tc>
                <w:tcPr/>
                <w:p>
                  <w:pPr>
                    <w:pStyle w:val="Compact"/>
                    <w:jc w:val="center"/>
                  </w:pPr>
                  <w:r>
                    <w:t xml:space="preserve">β = −5,675</w:t>
                  </w:r>
                </w:p>
              </w:tc>
              <w:tc>
                <w:tcPr/>
                <w:p>
                  <w:pPr>
                    <w:pStyle w:val="Compact"/>
                    <w:jc w:val="center"/>
                  </w:pPr>
                  <w:r>
                    <w:t xml:space="preserve">idem à linha anterior (E02 passou a principal na arbitragem; mesmo tratamento que E01)</w:t>
                  </w:r>
                </w:p>
              </w:tc>
            </w:tr>
            <w:tr>
              <w:tc>
                <w:tcPr/>
                <w:p>
                  <w:pPr>
                    <w:pStyle w:val="Compact"/>
                    <w:jc w:val="center"/>
                  </w:pPr>
                  <w:r>
                    <w:t xml:space="preserve">Klor e Winter (2017)</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β = 0,305</w:t>
                  </w:r>
                </w:p>
              </w:tc>
              <w:tc>
                <w:tcPr/>
                <w:p>
                  <w:pPr>
                    <w:pStyle w:val="Compact"/>
                    <w:jc w:val="center"/>
                  </w:pPr>
                  <w:r>
                    <w:t xml:space="preserve">coeficiente de pertencer ao time maior sobre a decisão de votar (não é apoio ao líder nem contraste de exposição)</w:t>
                  </w:r>
                </w:p>
              </w:tc>
            </w:tr>
            <w:tr>
              <w:tc>
                <w:tcPr/>
                <w:p>
                  <w:pPr>
                    <w:pStyle w:val="Compact"/>
                    <w:jc w:val="center"/>
                  </w:pPr>
                  <w:r>
                    <w:t xml:space="preserve">Lago et al.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0,03 (0,016)</w:t>
                  </w:r>
                </w:p>
              </w:tc>
              <w:tc>
                <w:tcPr/>
                <w:p>
                  <w:pPr>
                    <w:pStyle w:val="Compact"/>
                    <w:jc w:val="center"/>
                  </w:pPr>
                  <w:r>
                    <w:t xml:space="preserve">interação dias de proibição × ENEP (moderador contínuo não atribuído)</w:t>
                  </w:r>
                </w:p>
              </w:tc>
            </w:tr>
            <w:tr>
              <w:tc>
                <w:tcPr/>
                <w:p>
                  <w:pPr>
                    <w:pStyle w:val="Compact"/>
                    <w:jc w:val="center"/>
                  </w:pPr>
                  <w:r>
                    <w:t xml:space="preserve">Meffert e Gschwend (2011)</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0,28 (0,286)</w:t>
                  </w:r>
                </w:p>
              </w:tc>
              <w:tc>
                <w:tcPr/>
                <w:p>
                  <w:pPr>
                    <w:pStyle w:val="Compact"/>
                    <w:jc w:val="center"/>
                  </w:pPr>
                  <w:r>
                    <w:t xml:space="preserve">voto insincero com alvos opostos agregados (sem posição única do alvo)</w:t>
                  </w:r>
                </w:p>
              </w:tc>
            </w:tr>
            <w:tr>
              <w:tc>
                <w:tcPr/>
                <w:p>
                  <w:pPr>
                    <w:pStyle w:val="Compact"/>
                    <w:jc w:val="center"/>
                  </w:pPr>
                  <w:r>
                    <w:t xml:space="preserve">Urminsky e Shen (2019)</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−0,20 (0,133)</w:t>
                  </w:r>
                </w:p>
              </w:tc>
              <w:tc>
                <w:tcPr/>
                <w:p>
                  <w:pPr>
                    <w:pStyle w:val="Compact"/>
                    <w:jc w:val="center"/>
                  </w:pPr>
                  <w:r>
                    <w:t xml:space="preserve">contraste de formato da mesma previsão (chance × margem), não exposição × não exposição</w:t>
                  </w:r>
                </w:p>
              </w:tc>
            </w:tr>
          </w:tbl>
          <w:bookmarkEnd w:id="57"/>
          <w:p/>
        </w:tc>
      </w:tr>
    </w:tbl>
    <w:p>
      <w:pPr>
        <w:pStyle w:val="BodyText"/>
      </w:pPr>
      <w:r>
        <w:rPr>
          <w:b/>
          <w:bCs/>
        </w:rPr>
        <w:t xml:space="preserve">Mecanismos e moderadores (20c).</w:t>
      </w:r>
      <w:r>
        <w:t xml:space="preserve"> </w:t>
      </w:r>
      <w:r>
        <w:t xml:space="preserve">Nenhuma célula teve estudos suficientes para estimativa por subgrupo (pelo menos 3 por nível) nem para teste de moderador (pelo menos 4). Os efeitos que isolam moderadores ou mecanismos estão na</w:t>
      </w:r>
      <w:r>
        <w:t xml:space="preserve"> </w:t>
      </w:r>
      <w:hyperlink w:anchor="tbl-fora">
        <w:r>
          <w:rPr>
            <w:rStyle w:val="Hyperlink"/>
          </w:rPr>
          <w:t xml:space="preserve">Tabela 10</w:t>
        </w:r>
      </w:hyperlink>
      <w:r>
        <w:t xml:space="preserve"> </w:t>
      </w:r>
      <w:r>
        <w:t xml:space="preserve">e não foram sintetizados de forma estruturada nesta versão: as interações de proximidade em</w:t>
      </w:r>
      <w:r>
        <w:t xml:space="preserve"> </w:t>
      </w:r>
      <w:r>
        <w:t xml:space="preserve">Bursztyn et al. (2023)</w:t>
      </w:r>
      <w:r>
        <w:t xml:space="preserve">, de posição nacional e local em</w:t>
      </w:r>
      <w:r>
        <w:t xml:space="preserve"> </w:t>
      </w:r>
      <w:r>
        <w:t xml:space="preserve">Alabrese e Fetzer (2024)</w:t>
      </w:r>
      <w:r>
        <w:t xml:space="preserve">, de apoio partidário em</w:t>
      </w:r>
      <w:r>
        <w:t xml:space="preserve"> </w:t>
      </w:r>
      <w:r>
        <w:t xml:space="preserve">Gandhi e Ong (2019)</w:t>
      </w:r>
      <w:r>
        <w:t xml:space="preserve"> </w:t>
      </w:r>
      <w:r>
        <w:t xml:space="preserve">e de dias de proibição com o número efetivo de partidos em</w:t>
      </w:r>
      <w:r>
        <w:t xml:space="preserve"> </w:t>
      </w:r>
      <w:r>
        <w:t xml:space="preserve">Lago et al. (2015)</w:t>
      </w:r>
      <w:r>
        <w:t xml:space="preserve">. O único indício de sinais opostos por subgrupo vem de dentro de um estudo,</w:t>
      </w:r>
      <w:r>
        <w:t xml:space="preserve"> </w:t>
      </w:r>
      <w:r>
        <w:t xml:space="preserve">Lammers et al. (2022)</w:t>
      </w:r>
      <w:r>
        <w:t xml:space="preserve"> </w:t>
      </w:r>
      <w:r>
        <w:t xml:space="preserve">(</w:t>
      </w:r>
      <w:r>
        <w:rPr>
          <w:i/>
          <w:iCs/>
        </w:rPr>
        <w:t xml:space="preserve">bandwagon</w:t>
      </w:r>
      <w:r>
        <w:t xml:space="preserve"> </w:t>
      </w:r>
      <w:r>
        <w:t xml:space="preserve">no modo heurístico,</w:t>
      </w:r>
      <w:r>
        <w:t xml:space="preserve"> </w:t>
      </w:r>
      <w:r>
        <w:rPr>
          <w:i/>
          <w:iCs/>
        </w:rPr>
        <w:t xml:space="preserve">underdog</w:t>
      </w:r>
      <w:r>
        <w:t xml:space="preserve"> </w:t>
      </w:r>
      <w:r>
        <w:t xml:space="preserve">ou nulo no modo moral), com células condicionais a uma vinheta sem condição neutra. A hipótese de</w:t>
      </w:r>
      <w:r>
        <w:t xml:space="preserve"> </w:t>
      </w:r>
      <w:r>
        <w:rPr>
          <w:i/>
          <w:iCs/>
        </w:rPr>
        <w:t xml:space="preserve">bandwagon</w:t>
      </w:r>
      <w:r>
        <w:t xml:space="preserve"> </w:t>
      </w:r>
      <w:r>
        <w:t xml:space="preserve">num grupo e</w:t>
      </w:r>
      <w:r>
        <w:t xml:space="preserve"> </w:t>
      </w:r>
      <w:r>
        <w:rPr>
          <w:i/>
          <w:iCs/>
        </w:rPr>
        <w:t xml:space="preserve">underdog</w:t>
      </w:r>
      <w:r>
        <w:t xml:space="preserve"> </w:t>
      </w:r>
      <w:r>
        <w:t xml:space="preserve">em outro, anulando-se no agregado, exige pelo menos 3 estudos com estimativas por subgrupo de sinais opostos e permanece não testada. Os subgrupos PROGRESS-Plus previstos (escolaridade, posição socioeconômica, idade) não foram sintetizados (NR).</w:t>
      </w:r>
    </w:p>
    <w:p>
      <w:pPr>
        <w:pStyle w:val="BodyText"/>
      </w:pPr>
      <w:r>
        <w:rPr>
          <w:b/>
          <w:bCs/>
        </w:rPr>
        <w:t xml:space="preserve">Sensibilidade (20d).</w:t>
      </w:r>
      <w:r>
        <w:t xml:space="preserve"> </w:t>
      </w:r>
      <w:r>
        <w:t xml:space="preserve">No agrupamento do protocolo, a sensibilidade com os resultados em risco crítico muda duas células. A de agregador ou projeção × mobilização × sem pesquisa × não randomizado passa a ter</w:t>
      </w:r>
      <w:r>
        <w:t xml:space="preserve"> </w:t>
      </w:r>
      <w:r>
        <w:t xml:space="preserve">Kaplan (2019)</w:t>
      </w:r>
      <w:r>
        <w:t xml:space="preserve">, na direção de desmobilização (1 de 1). A de</w:t>
      </w:r>
      <w:r>
        <w:t xml:space="preserve"> </w:t>
      </w:r>
      <w:r>
        <w:rPr>
          <w:i/>
          <w:iCs/>
        </w:rPr>
        <w:t xml:space="preserve">momentum</w:t>
      </w:r>
      <w:r>
        <w:t xml:space="preserve"> </w:t>
      </w:r>
      <w:r>
        <w:t xml:space="preserve">não randomizado passa a ter</w:t>
      </w:r>
      <w:r>
        <w:t xml:space="preserve"> </w:t>
      </w:r>
      <w:r>
        <w:t xml:space="preserve">Unkelbach et al. (2022)</w:t>
      </w:r>
      <w:r>
        <w:t xml:space="preserve">, a favor, e fica com 2 de 2 (IC 95% 0,16 a 1,00; p = 0,5).</w:t>
      </w:r>
      <w:r>
        <w:t xml:space="preserve"> </w:t>
      </w:r>
      <w:r>
        <w:t xml:space="preserve">Gasperoni e Mantovani (2015)</w:t>
      </w:r>
      <w:r>
        <w:t xml:space="preserve"> </w:t>
      </w:r>
      <w:r>
        <w:t xml:space="preserve">não entra em nenhuma célula, porque também está no dicionário</w:t>
      </w:r>
      <w:r>
        <w:t xml:space="preserve"> </w:t>
      </w:r>
      <w:r>
        <w:rPr>
          <w:rStyle w:val="VerbatimChar"/>
        </w:rPr>
        <w:t xml:space="preserve">FORA</w:t>
      </w:r>
      <w:r>
        <w:t xml:space="preserve">. A sensibilidade com ICC = 0,20 não mudou nenhuma contagem. A</w:t>
      </w:r>
      <w:r>
        <w:t xml:space="preserve"> </w:t>
      </w:r>
      <w:hyperlink w:anchor="tbl-sens">
        <w:r>
          <w:rPr>
            <w:rStyle w:val="Hyperlink"/>
          </w:rPr>
          <w:t xml:space="preserve">Tabela 11</w:t>
        </w:r>
      </w:hyperlink>
      <w:r>
        <w:t xml:space="preserve"> </w:t>
      </w:r>
      <w:r>
        <w:t xml:space="preserve">traz o agrupamento amplo (construto × célula de alvo × classe), decidido depois de ver os dados (Emenda 5), e as sensibilidades rodadas nele.</w:t>
      </w:r>
    </w:p>
    <w:tbl>
      <w:tblPr>
        <w:tblStyle w:val="Table"/>
        <w:tblW w:type="pct" w:w="5000"/>
        <w:tblLayout w:type="fixed"/>
        <w:tblLook w:firstRow="0" w:lastRow="0" w:firstColumn="0" w:lastColumn="0" w:noHBand="0" w:noVBand="0" w:val="0000"/>
      </w:tblPr>
      <w:tblGrid>
        <w:gridCol w:w="7920"/>
      </w:tblGrid>
      <w:tr>
        <w:tc>
          <w:tcPr/>
          <w:bookmarkStart w:id="58" w:name="tbl-sens"/>
          <w:p>
            <w:pPr>
              <w:jc w:val="center"/>
            </w:pPr>
            <w:pPr>
              <w:jc w:val="left"/>
              <w:spacing w:before="200"/>
              <w:pStyle w:val="ImageCaption"/>
            </w:pPr>
            <w:r>
              <w:t xml:space="preserve">Tabela 11: Análises de sensibilidade da SWiM no agrupamento amplo (construto × célula de alvo × classe; saídas em</w:t>
            </w:r>
            <w:r>
              <w:t xml:space="preserve"> </w:t>
            </w:r>
            <w:r>
              <w:rPr>
                <w:rStyle w:val="VerbatimChar"/>
              </w:rPr>
              <w:t xml:space="preserve">06-analise/swim_sens_*_amplo/</w:t>
            </w:r>
            <w:r>
              <w:t xml:space="preserve">). O agrupamento amplo junta famílias e comparadores que o protocolo manda separar e é descritivo, decidido depois de ver os dados (Emenda 5). Certeza só para o agrupamento amplo sem outras mudanças (</w:t>
            </w:r>
            <w:r>
              <w:rPr>
                <w:rStyle w:val="VerbatimChar"/>
              </w:rPr>
              <w:t xml:space="preserve">06-analise/certeza_agrupamento_amplo.csv</w:t>
            </w:r>
            <w:r>
              <w:t xml:space="preserve">).</w:t>
            </w:r>
          </w:p>
          <w:tbl>
            <w:tblPr>
              <w:tblStyle w:val="Table"/>
              <w:tblW w:type="pct" w:w="5000"/>
              <w:tblLayout w:type="fixed"/>
              <w:tblLook w:firstRow="1" w:lastRow="0" w:firstColumn="0" w:lastColumn="0" w:noHBand="0" w:noVBand="0" w:val="0020"/>
            </w:tblPr>
            <w:tblGrid>
              <w:gridCol w:w="1188"/>
              <w:gridCol w:w="1029"/>
              <w:gridCol w:w="712"/>
              <w:gridCol w:w="1980"/>
              <w:gridCol w:w="1108"/>
              <w:gridCol w:w="871"/>
              <w:gridCol w:w="396"/>
              <w:gridCol w:w="633"/>
            </w:tblGrid>
            <w:tr>
              <w:trPr>
                <w:tblHeader w:val="on"/>
              </w:trPr>
              <w:tc>
                <w:tcPr/>
                <w:p>
                  <w:pPr>
                    <w:pStyle w:val="Compact"/>
                    <w:jc w:val="center"/>
                  </w:pPr>
                  <w:r>
                    <w:t xml:space="preserve">Análise</w:t>
                  </w:r>
                </w:p>
              </w:tc>
              <w:tc>
                <w:tcPr/>
                <w:p>
                  <w:pPr>
                    <w:pStyle w:val="Compact"/>
                    <w:jc w:val="center"/>
                  </w:pPr>
                  <w:r>
                    <w:t xml:space="preserve">Desfecho (célula)</w:t>
                  </w:r>
                </w:p>
              </w:tc>
              <w:tc>
                <w:tcPr/>
                <w:p>
                  <w:pPr>
                    <w:pStyle w:val="Compact"/>
                    <w:jc w:val="center"/>
                  </w:pPr>
                  <w:r>
                    <w:t xml:space="preserve">Classe</w:t>
                  </w:r>
                </w:p>
              </w:tc>
              <w:tc>
                <w:tcPr/>
                <w:p>
                  <w:pPr>
                    <w:pStyle w:val="Compact"/>
                    <w:jc w:val="center"/>
                  </w:pPr>
                  <w:r>
                    <w:t xml:space="preserve">Estudos</w:t>
                  </w:r>
                </w:p>
              </w:tc>
              <w:tc>
                <w:tcPr/>
                <w:p>
                  <w:pPr>
                    <w:pStyle w:val="Compact"/>
                    <w:jc w:val="center"/>
                  </w:pPr>
                  <w:r>
                    <w:t xml:space="preserve">Direções</w:t>
                  </w:r>
                </w:p>
              </w:tc>
              <w:tc>
                <w:tcPr/>
                <w:p>
                  <w:pPr>
                    <w:pStyle w:val="Compact"/>
                    <w:jc w:val="center"/>
                  </w:pPr>
                  <w:r>
                    <w:t xml:space="preserve">Proporção (IC 95%)</w:t>
                  </w:r>
                </w:p>
              </w:tc>
              <w:tc>
                <w:tcPr/>
                <w:p>
                  <w:pPr>
                    <w:pStyle w:val="Compact"/>
                    <w:jc w:val="center"/>
                  </w:pPr>
                  <w:r>
                    <w:t xml:space="preserve">p (sinal)</w:t>
                  </w:r>
                </w:p>
              </w:tc>
              <w:tc>
                <w:tcPr/>
                <w:p>
                  <w:pPr>
                    <w:pStyle w:val="Compact"/>
                    <w:jc w:val="center"/>
                  </w:pPr>
                  <w:r>
                    <w:t xml:space="preserve">Certeza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Araujo e Gatto (2021b)</w:t>
                  </w:r>
                  <w:r>
                    <w:t xml:space="preserve">;</w:t>
                  </w:r>
                  <w:r>
                    <w:t xml:space="preserve"> </w:t>
                  </w:r>
                  <w:r>
                    <w:t xml:space="preserve">Feltovich e Giovannoni (2022)</w:t>
                  </w:r>
                  <w:r>
                    <w:t xml:space="preserve">;</w:t>
                  </w:r>
                  <w:r>
                    <w:t xml:space="preserve"> </w:t>
                  </w:r>
                  <w:r>
                    <w:t xml:space="preserve">Chatterjee e Kamal (2019)</w:t>
                  </w:r>
                </w:p>
              </w:tc>
              <w:tc>
                <w:tcPr/>
                <w:p>
                  <w:pPr>
                    <w:pStyle w:val="Compact"/>
                    <w:jc w:val="center"/>
                  </w:pPr>
                  <w:r>
                    <w:t xml:space="preserve">3</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0,75 (0,19 a 0,99)</w:t>
                  </w:r>
                </w:p>
              </w:tc>
              <w:tc>
                <w:tcPr/>
                <w:p>
                  <w:pPr>
                    <w:pStyle w:val="Compact"/>
                    <w:jc w:val="center"/>
                  </w:pPr>
                  <w:r>
                    <w:t xml:space="preserve">0,625</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r>
                    <w:t xml:space="preserve">;</w:t>
                  </w:r>
                  <w:r>
                    <w:t xml:space="preserve"> </w:t>
                  </w:r>
                  <w:r>
                    <w:t xml:space="preserve">Tyszler e Schram (2015)</w:t>
                  </w:r>
                </w:p>
              </w:tc>
              <w:tc>
                <w:tcPr/>
                <w:p>
                  <w:pPr>
                    <w:pStyle w:val="Compact"/>
                    <w:jc w:val="center"/>
                  </w:pPr>
                  <w:r>
                    <w:t xml:space="preserve">9</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(0,66 a 1,00)</w:t>
                  </w:r>
                </w:p>
              </w:tc>
              <w:tc>
                <w:tcPr/>
                <w:p>
                  <w:pPr>
                    <w:pStyle w:val="Compact"/>
                    <w:jc w:val="center"/>
                  </w:pPr>
                  <w:r>
                    <w:t xml:space="preserve">0,004</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Klor e Winter (2017)</w:t>
                  </w:r>
                  <w:r>
                    <w:t xml:space="preserve">;</w:t>
                  </w:r>
                  <w:r>
                    <w:t xml:space="preserve"> </w:t>
                  </w: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Grillo e Raiber (2024)</w:t>
                  </w:r>
                  <w:r>
                    <w:t xml:space="preserve">;</w:t>
                  </w:r>
                  <w:r>
                    <w:t xml:space="preserve"> </w:t>
                  </w:r>
                  <w:r>
                    <w:t xml:space="preserve">Chatterjee e Kamal (2019)</w:t>
                  </w:r>
                  <w:r>
                    <w:t xml:space="preserve"> </w:t>
                  </w:r>
                  <w:r>
                    <w:t xml:space="preserve">(fora, risco crítico:</w:t>
                  </w:r>
                  <w:r>
                    <w:t xml:space="preserve"> </w:t>
                  </w:r>
                  <w:r>
                    <w:t xml:space="preserve">Kaplan (2019)</w:t>
                  </w:r>
                  <w:r>
                    <w:t xml:space="preserve">)</w:t>
                  </w:r>
                </w:p>
              </w:tc>
              <w:tc>
                <w:tcPr/>
                <w:p>
                  <w:pPr>
                    <w:pStyle w:val="Compact"/>
                    <w:jc w:val="center"/>
                  </w:pPr>
                  <w:r>
                    <w:t xml:space="preserve">3 mobilização; 2 desmobilização; 1 misto</w:t>
                  </w:r>
                </w:p>
              </w:tc>
              <w:tc>
                <w:tcPr/>
                <w:p>
                  <w:pPr>
                    <w:pStyle w:val="Compact"/>
                    <w:jc w:val="center"/>
                  </w:pPr>
                  <w:r>
                    <w:t xml:space="preserve">0,60 (0,15 a 0,95)</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2 desmobilização; 1 nulo</w:t>
                  </w:r>
                </w:p>
              </w:tc>
              <w:tc>
                <w:tcPr/>
                <w:p>
                  <w:pPr>
                    <w:pStyle w:val="Compact"/>
                    <w:jc w:val="center"/>
                  </w:pPr>
                  <w:r>
                    <w:t xml:space="preserve">0,50 (0,07 a 0,93)</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Só contexto real</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Araujo e Gatto (2021b)</w:t>
                  </w:r>
                  <w:r>
                    <w:t xml:space="preserve">;</w:t>
                  </w:r>
                  <w:r>
                    <w:t xml:space="preserve"> </w:t>
                  </w:r>
                  <w:r>
                    <w:t xml:space="preserve">Chatterjee e Kamal (2019)</w:t>
                  </w:r>
                </w:p>
              </w:tc>
              <w:tc>
                <w:tcPr/>
                <w:p>
                  <w:pPr>
                    <w:pStyle w:val="Compact"/>
                    <w:jc w:val="center"/>
                  </w:pPr>
                  <w:r>
                    <w:t xml:space="preserve">2</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0,67 (0,09 a 0,99)</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Farjam (2020)</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Fredén et al. (2024)</w:t>
                  </w:r>
                </w:p>
              </w:tc>
              <w:tc>
                <w:tcPr/>
                <w:p>
                  <w:pPr>
                    <w:pStyle w:val="Compact"/>
                    <w:jc w:val="center"/>
                  </w:pPr>
                  <w:r>
                    <w:t xml:space="preserve">1 viabilidade; 0 contra; 1 misto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Grillo e Raiber (2024)</w:t>
                  </w:r>
                  <w:r>
                    <w:t xml:space="preserve">;</w:t>
                  </w:r>
                  <w:r>
                    <w:t xml:space="preserve"> </w:t>
                  </w:r>
                  <w:r>
                    <w:t xml:space="preserve">Chatterjee e Kamal (2019)</w:t>
                  </w:r>
                </w:p>
              </w:tc>
              <w:tc>
                <w:tcPr/>
                <w:p>
                  <w:pPr>
                    <w:pStyle w:val="Compact"/>
                    <w:jc w:val="center"/>
                  </w:pPr>
                  <w:r>
                    <w:t xml:space="preserve">2 mobilização; 2 desmobilização; 1 misto</w:t>
                  </w:r>
                </w:p>
              </w:tc>
              <w:tc>
                <w:tcPr/>
                <w:p>
                  <w:pPr>
                    <w:pStyle w:val="Compact"/>
                    <w:jc w:val="center"/>
                  </w:pPr>
                  <w:r>
                    <w:t xml:space="preserve">0,50 (0,07 a 0,93)</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Erlich (2023)</w:t>
                  </w:r>
                  <w:r>
                    <w:t xml:space="preserve">;</w:t>
                  </w:r>
                  <w:r>
                    <w:t xml:space="preserve"> </w:t>
                  </w:r>
                  <w:r>
                    <w:t xml:space="preserve">Gerber et al. (2020)</w:t>
                  </w:r>
                </w:p>
              </w:tc>
              <w:tc>
                <w:tcPr/>
                <w:p>
                  <w:pPr>
                    <w:pStyle w:val="Compact"/>
                    <w:jc w:val="center"/>
                  </w:pPr>
                  <w:r>
                    <w:t xml:space="preserve">0 mobilização; 1 desmobilização; 1 nulo</w:t>
                  </w:r>
                </w:p>
              </w:tc>
              <w:tc>
                <w:tcPr/>
                <w:p>
                  <w:pPr>
                    <w:pStyle w:val="Compact"/>
                    <w:jc w:val="center"/>
                  </w:pPr>
                  <w:r>
                    <w:t xml:space="preserve">0,00 (0,00 a 0,97)</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Araujo e Gatto (2021b)</w:t>
                  </w:r>
                  <w:r>
                    <w:t xml:space="preserve">;</w:t>
                  </w:r>
                  <w:r>
                    <w:t xml:space="preserve"> </w:t>
                  </w:r>
                  <w:r>
                    <w:t xml:space="preserve">Feltovich e Giovannoni (2022)</w:t>
                  </w:r>
                </w:p>
              </w:tc>
              <w:tc>
                <w:tcPr/>
                <w:p>
                  <w:pPr>
                    <w:pStyle w:val="Compact"/>
                    <w:jc w:val="center"/>
                  </w:pPr>
                  <w:r>
                    <w:t xml:space="preserve">2</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p>
              </w:tc>
              <w:tc>
                <w:tcPr/>
                <w:p>
                  <w:pPr>
                    <w:pStyle w:val="Compact"/>
                    <w:jc w:val="center"/>
                  </w:pPr>
                  <w:r>
                    <w:t xml:space="preserve">8</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(0,63 a 1,00)</w:t>
                  </w:r>
                </w:p>
              </w:tc>
              <w:tc>
                <w:tcPr/>
                <w:p>
                  <w:pPr>
                    <w:pStyle w:val="Compact"/>
                    <w:jc w:val="center"/>
                  </w:pPr>
                  <w:r>
                    <w:t xml:space="preserve">0,008</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Stolwijk e Schuck (2019)</w:t>
                  </w:r>
                  <w:r>
                    <w:t xml:space="preserve">;</w:t>
                  </w:r>
                  <w:r>
                    <w:t xml:space="preserve"> </w:t>
                  </w:r>
                  <w:r>
                    <w:t xml:space="preserve">Brugarolas e Miller (2021)</w:t>
                  </w:r>
                  <w:r>
                    <w:t xml:space="preserve">;</w:t>
                  </w:r>
                  <w:r>
                    <w:t xml:space="preserve"> </w:t>
                  </w:r>
                  <w:r>
                    <w:t xml:space="preserve">Grillo e Raiber (2024)</w:t>
                  </w:r>
                  <w:r>
                    <w:t xml:space="preserve"> </w:t>
                  </w:r>
                  <w:r>
                    <w:t xml:space="preserve">(fora, risco crítico:</w:t>
                  </w:r>
                  <w:r>
                    <w:t xml:space="preserve"> </w:t>
                  </w:r>
                  <w:r>
                    <w:t xml:space="preserve">Kaplan (2019)</w:t>
                  </w:r>
                  <w:r>
                    <w:t xml:space="preserve">)</w:t>
                  </w:r>
                </w:p>
              </w:tc>
              <w:tc>
                <w:tcPr/>
                <w:p>
                  <w:pPr>
                    <w:pStyle w:val="Compact"/>
                    <w:jc w:val="center"/>
                  </w:pPr>
                  <w:r>
                    <w:t xml:space="preserve">2 mobilização; 1 desmobilização</w:t>
                  </w:r>
                </w:p>
              </w:tc>
              <w:tc>
                <w:tcPr/>
                <w:p>
                  <w:pPr>
                    <w:pStyle w:val="Compact"/>
                    <w:jc w:val="center"/>
                  </w:pPr>
                  <w:r>
                    <w:t xml:space="preserve">0,67 (0,09 a 0,99)</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2 desmobilização; 1 nulo</w:t>
                  </w:r>
                </w:p>
              </w:tc>
              <w:tc>
                <w:tcPr/>
                <w:p>
                  <w:pPr>
                    <w:pStyle w:val="Compact"/>
                    <w:jc w:val="center"/>
                  </w:pPr>
                  <w:r>
                    <w:t xml:space="preserve">0,50 (0,07 a 0,93)</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Feltovich e Giovannoni (2022)</w:t>
                  </w:r>
                  <w:r>
                    <w:t xml:space="preserve">;</w:t>
                  </w:r>
                  <w:r>
                    <w:t xml:space="preserve"> </w:t>
                  </w:r>
                  <w:r>
                    <w:t xml:space="preserve">Chatterjee e Kamal (2019)</w:t>
                  </w:r>
                </w:p>
              </w:tc>
              <w:tc>
                <w:tcPr/>
                <w:p>
                  <w:pPr>
                    <w:pStyle w:val="Compact"/>
                    <w:jc w:val="center"/>
                  </w:pPr>
                  <w:r>
                    <w:t xml:space="preserve">2</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0,67 (0,09 a 0,99)</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r>
                    <w:t xml:space="preserve">;</w:t>
                  </w:r>
                  <w:r>
                    <w:t xml:space="preserve"> </w:t>
                  </w:r>
                  <w:r>
                    <w:t xml:space="preserve">Tyszler e Schram (2015)</w:t>
                  </w:r>
                </w:p>
              </w:tc>
              <w:tc>
                <w:tcPr/>
                <w:p>
                  <w:pPr>
                    <w:pStyle w:val="Compact"/>
                    <w:jc w:val="center"/>
                  </w:pPr>
                  <w:r>
                    <w:t xml:space="preserve">9</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(0,66 a 1,00)</w:t>
                  </w:r>
                </w:p>
              </w:tc>
              <w:tc>
                <w:tcPr/>
                <w:p>
                  <w:pPr>
                    <w:pStyle w:val="Compact"/>
                    <w:jc w:val="center"/>
                  </w:pPr>
                  <w:r>
                    <w:t xml:space="preserve">0,004</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Klor e Winter (2017)</w:t>
                  </w:r>
                  <w:r>
                    <w:t xml:space="preserve">;</w:t>
                  </w:r>
                  <w:r>
                    <w:t xml:space="preserve"> </w:t>
                  </w: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Grillo e Raiber (2024)</w:t>
                  </w:r>
                  <w:r>
                    <w:t xml:space="preserve">;</w:t>
                  </w:r>
                  <w:r>
                    <w:t xml:space="preserve"> </w:t>
                  </w:r>
                  <w:r>
                    <w:t xml:space="preserve">Chatterjee e Kamal (2019)</w:t>
                  </w:r>
                  <w:r>
                    <w:t xml:space="preserve"> </w:t>
                  </w:r>
                  <w:r>
                    <w:t xml:space="preserve">(fora, risco crítico:</w:t>
                  </w:r>
                  <w:r>
                    <w:t xml:space="preserve"> </w:t>
                  </w:r>
                  <w:r>
                    <w:t xml:space="preserve">Kaplan (2019)</w:t>
                  </w:r>
                  <w:r>
                    <w:t xml:space="preserve">)</w:t>
                  </w:r>
                </w:p>
              </w:tc>
              <w:tc>
                <w:tcPr/>
                <w:p>
                  <w:pPr>
                    <w:pStyle w:val="Compact"/>
                    <w:jc w:val="center"/>
                  </w:pPr>
                  <w:r>
                    <w:t xml:space="preserve">3 mobilização; 2 desmobilização; 1 misto</w:t>
                  </w:r>
                </w:p>
              </w:tc>
              <w:tc>
                <w:tcPr/>
                <w:p>
                  <w:pPr>
                    <w:pStyle w:val="Compact"/>
                    <w:jc w:val="center"/>
                  </w:pPr>
                  <w:r>
                    <w:t xml:space="preserve">0,60 (0,15 a 0,95)</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2 desmobilização; 1 nulo</w:t>
                  </w:r>
                </w:p>
              </w:tc>
              <w:tc>
                <w:tcPr/>
                <w:p>
                  <w:pPr>
                    <w:pStyle w:val="Compact"/>
                    <w:jc w:val="center"/>
                  </w:pPr>
                  <w:r>
                    <w:t xml:space="preserve">0,50 (0,07 a 0,93)</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Araujo e Gatto (2021b)</w:t>
                  </w:r>
                  <w:r>
                    <w:t xml:space="preserve">;</w:t>
                  </w:r>
                  <w:r>
                    <w:t xml:space="preserve"> </w:t>
                  </w:r>
                  <w:r>
                    <w:t xml:space="preserve">Feltovich e Giovannoni (2022)</w:t>
                  </w:r>
                  <w:r>
                    <w:t xml:space="preserve">;</w:t>
                  </w:r>
                  <w:r>
                    <w:t xml:space="preserve"> </w:t>
                  </w:r>
                  <w:r>
                    <w:t xml:space="preserve">Chatterjee e Kamal (2019)</w:t>
                  </w:r>
                  <w:r>
                    <w:t xml:space="preserve">;</w:t>
                  </w:r>
                  <w:r>
                    <w:t xml:space="preserve"> </w:t>
                  </w:r>
                  <w:r>
                    <w:t xml:space="preserve">Alabrese e Fetzer (2024)</w:t>
                  </w:r>
                  <w:r>
                    <w:t xml:space="preserve">;</w:t>
                  </w:r>
                  <w:r>
                    <w:t xml:space="preserve"> </w:t>
                  </w:r>
                  <w:r>
                    <w:t xml:space="preserve">Bursztyn et al. (2023)</w:t>
                  </w:r>
                </w:p>
              </w:tc>
              <w:tc>
                <w:tcPr/>
                <w:p>
                  <w:pPr>
                    <w:pStyle w:val="Compact"/>
                    <w:jc w:val="center"/>
                  </w:pPr>
                  <w:r>
                    <w:t xml:space="preserve">3</w:t>
                  </w:r>
                  <w:r>
                    <w:t xml:space="preserve"> </w:t>
                  </w:r>
                  <w:r>
                    <w:rPr>
                      <w:i/>
                      <w:iCs/>
                    </w:rPr>
                    <w:t xml:space="preserve">bandwagon</w:t>
                  </w:r>
                  <w:r>
                    <w:t xml:space="preserve">; 2</w:t>
                  </w:r>
                  <w:r>
                    <w:t xml:space="preserve"> </w:t>
                  </w:r>
                  <w:r>
                    <w:rPr>
                      <w:i/>
                      <w:iCs/>
                    </w:rPr>
                    <w:t xml:space="preserve">underdog</w:t>
                  </w:r>
                  <w:r>
                    <w:t xml:space="preserve">; 1 nulo</w:t>
                  </w:r>
                </w:p>
              </w:tc>
              <w:tc>
                <w:tcPr/>
                <w:p>
                  <w:pPr>
                    <w:pStyle w:val="Compact"/>
                    <w:jc w:val="center"/>
                  </w:pPr>
                  <w:r>
                    <w:t xml:space="preserve">0,60 (0,15 a 0,95)</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Klor e Winter (2017)</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r>
                    <w:t xml:space="preserve">;</w:t>
                  </w:r>
                  <w:r>
                    <w:t xml:space="preserve"> </w:t>
                  </w:r>
                  <w:r>
                    <w:t xml:space="preserve">Tyszler e Schram (2015)</w:t>
                  </w:r>
                  <w:r>
                    <w:t xml:space="preserve">;</w:t>
                  </w:r>
                  <w:r>
                    <w:t xml:space="preserve"> </w:t>
                  </w:r>
                  <w:r>
                    <w:t xml:space="preserve">Gandhi e Ong (2019)</w:t>
                  </w:r>
                </w:p>
              </w:tc>
              <w:tc>
                <w:tcPr/>
                <w:p>
                  <w:pPr>
                    <w:pStyle w:val="Compact"/>
                    <w:jc w:val="center"/>
                  </w:pPr>
                  <w:r>
                    <w:t xml:space="preserve">10</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0,91 (0,59 a 1,00)</w:t>
                  </w:r>
                </w:p>
              </w:tc>
              <w:tc>
                <w:tcPr/>
                <w:p>
                  <w:pPr>
                    <w:pStyle w:val="Compact"/>
                    <w:jc w:val="center"/>
                  </w:pPr>
                  <w:r>
                    <w:t xml:space="preserve">0,012</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(viabilidade)</w:t>
                  </w:r>
                </w:p>
              </w:tc>
              <w:tc>
                <w:tcPr/>
                <w:p>
                  <w:pPr>
                    <w:pStyle w:val="Compact"/>
                    <w:jc w:val="center"/>
                  </w:pPr>
                  <w:r>
                    <w:t xml:space="preserve">não randomizado</w:t>
                  </w:r>
                </w:p>
              </w:tc>
              <w:tc>
                <w:tcPr/>
                <w:p>
                  <w:pPr>
                    <w:pStyle w:val="Compact"/>
                    <w:jc w:val="center"/>
                  </w:pPr>
                  <w:r>
                    <w:t xml:space="preserve">Lago et al. (2015)</w:t>
                  </w:r>
                  <w:r>
                    <w:t xml:space="preserve">;</w:t>
                  </w:r>
                  <w:r>
                    <w:t xml:space="preserve"> </w:t>
                  </w:r>
                  <w:r>
                    <w:t xml:space="preserve">Alabrese e Fetzer (2024)</w:t>
                  </w:r>
                </w:p>
              </w:tc>
              <w:tc>
                <w:tcPr/>
                <w:p>
                  <w:pPr>
                    <w:pStyle w:val="Compact"/>
                    <w:jc w:val="center"/>
                  </w:pPr>
                  <w:r>
                    <w:t xml:space="preserve">1 viabilidade; 0 contra; 1 misto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(outro alvo)</w:t>
                  </w:r>
                </w:p>
              </w:tc>
              <w:tc>
                <w:tcPr/>
                <w:p>
                  <w:pPr>
                    <w:pStyle w:val="Compact"/>
                    <w:jc w:val="center"/>
                  </w:pPr>
                  <w:r>
                    <w:t xml:space="preserve">não randomizado</w:t>
                  </w:r>
                </w:p>
              </w:tc>
              <w:tc>
                <w:tcPr/>
                <w:p>
                  <w:pPr>
                    <w:pStyle w:val="Compact"/>
                    <w:jc w:val="center"/>
                  </w:pPr>
                  <w:r>
                    <w:t xml:space="preserve">nenhum (fora, risco crítico:</w:t>
                  </w:r>
                  <w:r>
                    <w:t xml:space="preserve"> </w:t>
                  </w:r>
                  <w:r>
                    <w:t xml:space="preserve">Gasperoni e Mantovani (2015)</w:t>
                  </w:r>
                  <w:r>
                    <w:t xml:space="preserve">)</w:t>
                  </w:r>
                </w:p>
              </w:tc>
              <w:tc>
                <w:tcPr/>
                <w:p>
                  <w:pPr>
                    <w:pStyle w:val="Compact"/>
                    <w:jc w:val="center"/>
                  </w:pPr>
                  <w:r>
                    <w:t xml:space="preserve">nenhum estudo</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(outro alvo)</w:t>
                  </w:r>
                </w:p>
              </w:tc>
              <w:tc>
                <w:tcPr/>
                <w:p>
                  <w:pPr>
                    <w:pStyle w:val="Compact"/>
                    <w:jc w:val="center"/>
                  </w:pPr>
                  <w:r>
                    <w:t xml:space="preserve">randomizado</w:t>
                  </w:r>
                </w:p>
              </w:tc>
              <w:tc>
                <w:tcPr/>
                <w:p>
                  <w:pPr>
                    <w:pStyle w:val="Compact"/>
                    <w:jc w:val="center"/>
                  </w:pPr>
                  <w:r>
                    <w:t xml:space="preserve">Meffert e Gschwend (2011)</w:t>
                  </w:r>
                </w:p>
              </w:tc>
              <w:tc>
                <w:tcPr/>
                <w:p>
                  <w:pPr>
                    <w:pStyle w:val="Compact"/>
                    <w:jc w:val="center"/>
                  </w:pPr>
                  <w:r>
                    <w:t xml:space="preserve">1 positivo; 0 negativo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Klor e Winter (2017)</w:t>
                  </w:r>
                  <w:r>
                    <w:t xml:space="preserve">;</w:t>
                  </w:r>
                  <w:r>
                    <w:t xml:space="preserve"> </w:t>
                  </w:r>
                  <w:r>
                    <w:t xml:space="preserve">Bursztyn et al. (2023)</w:t>
                  </w:r>
                  <w:r>
                    <w:t xml:space="preserve">;</w:t>
                  </w:r>
                  <w:r>
                    <w:t xml:space="preserve"> </w:t>
                  </w: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Geers et al. (2018)</w:t>
                  </w:r>
                  <w:r>
                    <w:t xml:space="preserve">;</w:t>
                  </w:r>
                  <w:r>
                    <w:t xml:space="preserve"> </w:t>
                  </w:r>
                  <w:r>
                    <w:t xml:space="preserve">Grillo e Raiber (2024)</w:t>
                  </w:r>
                  <w:r>
                    <w:t xml:space="preserve">;</w:t>
                  </w:r>
                  <w:r>
                    <w:t xml:space="preserve"> </w:t>
                  </w:r>
                  <w:r>
                    <w:t xml:space="preserve">Alabrese e Fetzer (2024)</w:t>
                  </w:r>
                  <w:r>
                    <w:t xml:space="preserve">;</w:t>
                  </w:r>
                  <w:r>
                    <w:t xml:space="preserve"> </w:t>
                  </w:r>
                  <w:r>
                    <w:t xml:space="preserve">Chatterjee e Kamal (2019)</w:t>
                  </w:r>
                  <w:r>
                    <w:t xml:space="preserve"> </w:t>
                  </w:r>
                  <w:r>
                    <w:t xml:space="preserve">(fora, risco crítico:</w:t>
                  </w:r>
                  <w:r>
                    <w:t xml:space="preserve"> </w:t>
                  </w:r>
                  <w:r>
                    <w:t xml:space="preserve">Kaplan (2019)</w:t>
                  </w:r>
                  <w:r>
                    <w:t xml:space="preserve">)</w:t>
                  </w:r>
                </w:p>
              </w:tc>
              <w:tc>
                <w:tcPr/>
                <w:p>
                  <w:pPr>
                    <w:pStyle w:val="Compact"/>
                    <w:jc w:val="center"/>
                  </w:pPr>
                  <w:r>
                    <w:t xml:space="preserve">4 mobilização; 4 desmobilização; 1 misto</w:t>
                  </w:r>
                </w:p>
              </w:tc>
              <w:tc>
                <w:tcPr/>
                <w:p>
                  <w:pPr>
                    <w:pStyle w:val="Compact"/>
                    <w:jc w:val="center"/>
                  </w:pPr>
                  <w:r>
                    <w:t xml:space="preserve">0,50 (0,16 a 0,84)</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Urminsky e Shen (2019)</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3 desmobilização; 1 nulo</w:t>
                  </w:r>
                </w:p>
              </w:tc>
              <w:tc>
                <w:tcPr/>
                <w:p>
                  <w:pPr>
                    <w:pStyle w:val="Compact"/>
                    <w:jc w:val="center"/>
                  </w:pPr>
                  <w:r>
                    <w:t xml:space="preserve">0,40 (0,05 a 0,85)</w:t>
                  </w:r>
                </w:p>
              </w:tc>
              <w:tc>
                <w:tcPr/>
                <w:p>
                  <w:pPr>
                    <w:pStyle w:val="Compact"/>
                    <w:jc w:val="center"/>
                  </w:pPr>
                  <w:r>
                    <w:t xml:space="preserve">1</w:t>
                  </w:r>
                </w:p>
              </w:tc>
              <w:tc>
                <w:tcPr/>
                <w:p>
                  <w:pPr>
                    <w:pStyle w:val="Compact"/>
                    <w:jc w:val="center"/>
                  </w:pPr>
                  <w:r>
                    <w:t xml:space="preserve">sem GRADE próprio</w:t>
                  </w:r>
                </w:p>
              </w:tc>
            </w:tr>
          </w:tbl>
          <w:bookmarkEnd w:id="58"/>
          <w:p/>
        </w:tc>
      </w:tr>
    </w:tbl>
    <w:p>
      <w:pPr>
        <w:pStyle w:val="BodyText"/>
      </w:pPr>
      <w:r>
        <w:t xml:space="preserve">No agrupamento amplo, 9 de 9 experimentos foram na direção</w:t>
      </w:r>
      <w:r>
        <w:t xml:space="preserve"> </w:t>
      </w:r>
      <w:r>
        <w:rPr>
          <w:i/>
          <w:iCs/>
        </w:rPr>
        <w:t xml:space="preserve">bandwagon</w:t>
      </w:r>
      <w:r>
        <w:t xml:space="preserve"> </w:t>
      </w:r>
      <w:r>
        <w:t xml:space="preserve">(proporção 1,00; IC 95% 0,66 a 1,00; p = 0,004). Mesmo assim, na análise descritiva, é muito incerto se ver pesquisas aumenta o apoio ao candidato mostrado à frente (certeza muito baixa). O rascunho do GRADE rebaixou esse corpo por risco de viés, indireção e viés de publicação; sem o rebaixamento por viés de publicação, a certeza seria baixa, e essa decisão está na P036. Só 1 dos 9 experimentos tem contexto real (</w:t>
      </w:r>
      <w:r>
        <w:t xml:space="preserve">Farjam (2020)</w:t>
      </w:r>
      <w:r>
        <w:t xml:space="preserve">), e na sensibilidade só com contexto real a célula randomizada fica com esse estudo. Nos não randomizados do agrupamento amplo, 3 de 4 foram</w:t>
      </w:r>
      <w:r>
        <w:t xml:space="preserve"> </w:t>
      </w:r>
      <w:r>
        <w:rPr>
          <w:i/>
          <w:iCs/>
        </w:rPr>
        <w:t xml:space="preserve">bandwagon</w:t>
      </w:r>
      <w:r>
        <w:t xml:space="preserve"> </w:t>
      </w:r>
      <w:r>
        <w:t xml:space="preserve">(IC 95% 0,19 a 0,99; p = 0,625): é muito incerto se exposições não sorteadas a pesquisas, boca de urna ou apuração parcial aumentam o apoio ao líder (certeza muito baixa). Na viabilidade randomizada ampla, 2 estudos foram a favor e 1 foi misto, e no</w:t>
      </w:r>
      <w:r>
        <w:t xml:space="preserve"> </w:t>
      </w:r>
      <w:r>
        <w:rPr>
          <w:i/>
          <w:iCs/>
        </w:rPr>
        <w:t xml:space="preserve">momentum</w:t>
      </w:r>
      <w:r>
        <w:t xml:space="preserve"> </w:t>
      </w:r>
      <w:r>
        <w:t xml:space="preserve">randomizado, 2 de 2 foram a favor: nas duas, é muito incerto se as pesquisas deslocam o voto (certeza muito baixa). Na mobilização ampla, as direções se dividiram nos randomizados (2 a 2, mais 1 nulo) e nos não randomizados (3 a 2, mais 1 misto): nas duas classes, é muito incerto se a exposição muda o comparecimento (certeza muito baixa).</w:t>
      </w:r>
    </w:p>
    <w:p>
      <w:pPr>
        <w:pStyle w:val="BodyText"/>
      </w:pPr>
      <w:r>
        <w:t xml:space="preserve">As demais sensibilidades não têm GRADE próprio e são lidas como contagens. Sem dados anteriores a 2010, os randomizados de apoio ficaram com 8 de 8</w:t>
      </w:r>
      <w:r>
        <w:t xml:space="preserve"> </w:t>
      </w:r>
      <w:r>
        <w:rPr>
          <w:i/>
          <w:iCs/>
        </w:rPr>
        <w:t xml:space="preserve">bandwagon</w:t>
      </w:r>
      <w:r>
        <w:t xml:space="preserve"> </w:t>
      </w:r>
      <w:r>
        <w:t xml:space="preserve">(p = 0,008), porque</w:t>
      </w:r>
      <w:r>
        <w:t xml:space="preserve"> </w:t>
      </w:r>
      <w:r>
        <w:t xml:space="preserve">Tyszler e Schram (2015)</w:t>
      </w:r>
      <w:r>
        <w:t xml:space="preserve"> </w:t>
      </w:r>
      <w:r>
        <w:t xml:space="preserve">sai pelo ano da coleta. Sem</w:t>
      </w:r>
      <w:r>
        <w:t xml:space="preserve"> </w:t>
      </w:r>
      <w:r>
        <w:t xml:space="preserve">Araujo e Gatto (2021b)</w:t>
      </w:r>
      <w:r>
        <w:t xml:space="preserve">, a célula não randomizada de apoio ficou com 2 de 3. Com os efeitos fora da contagem, os randomizados de apoio ficaram com 10 de 11 (</w:t>
      </w:r>
      <w:r>
        <w:t xml:space="preserve">Gandhi e Ong (2019)</w:t>
      </w:r>
      <w:r>
        <w:t xml:space="preserve"> </w:t>
      </w:r>
      <w:r>
        <w:t xml:space="preserve">contra; p = 0,012). Os não randomizados de apoio ficaram com 3</w:t>
      </w:r>
      <w:r>
        <w:t xml:space="preserve"> </w:t>
      </w:r>
      <w:r>
        <w:rPr>
          <w:i/>
          <w:iCs/>
        </w:rPr>
        <w:t xml:space="preserve">bandwagon</w:t>
      </w:r>
      <w:r>
        <w:t xml:space="preserve">, 2</w:t>
      </w:r>
      <w:r>
        <w:t xml:space="preserve"> </w:t>
      </w:r>
      <w:r>
        <w:rPr>
          <w:i/>
          <w:iCs/>
        </w:rPr>
        <w:t xml:space="preserve">underdog</w:t>
      </w:r>
      <w:r>
        <w:t xml:space="preserve"> </w:t>
      </w:r>
      <w:r>
        <w:t xml:space="preserve">e 1 nulo, e a mobilização não randomizada, com 4 a 4 e 1 misto. Na mobilização randomizada, a contagem passou a 2 contra 3, com 1 nulo.</w:t>
      </w:r>
    </w:p>
    <w:bookmarkEnd w:id="59"/>
    <w:bookmarkStart w:id="61" w:name="brasil-e-américa-latina"/>
    <w:p>
      <w:pPr>
        <w:pStyle w:val="Heading2"/>
      </w:pPr>
      <w:r>
        <w:t xml:space="preserve">Brasil e América Latina</w:t>
      </w:r>
    </w:p>
    <w:p>
      <w:pPr>
        <w:pStyle w:val="FirstParagraph"/>
      </w:pPr>
      <w:r>
        <w:t xml:space="preserve">Três estudos têm</w:t>
      </w:r>
      <w:r>
        <w:t xml:space="preserve"> </w:t>
      </w:r>
      <w:r>
        <w:rPr>
          <w:rStyle w:val="VerbatimChar"/>
        </w:rPr>
        <w:t xml:space="preserve">regiao</w:t>
      </w:r>
      <w:r>
        <w:t xml:space="preserve"> </w:t>
      </w:r>
      <w:r>
        <w:t xml:space="preserve">igual a Brasil ou América Latina no</w:t>
      </w:r>
      <w:r>
        <w:t xml:space="preserve"> </w:t>
      </w:r>
      <w:r>
        <w:rPr>
          <w:i/>
          <w:iCs/>
        </w:rPr>
        <w:t xml:space="preserve">master</w:t>
      </w:r>
      <w:r>
        <w:t xml:space="preserve"> </w:t>
      </w:r>
      <w:r>
        <w:t xml:space="preserve">de extração, e nenhum deles estima o efeito de pesquisa eleitoral publicada no Brasil.</w:t>
      </w:r>
    </w:p>
    <w:tbl>
      <w:tblPr>
        <w:tblStyle w:val="Table"/>
        <w:tblW w:type="pct" w:w="5000"/>
        <w:tblLayout w:type="fixed"/>
        <w:tblLook w:firstRow="0" w:lastRow="0" w:firstColumn="0" w:lastColumn="0" w:noHBand="0" w:noVBand="0" w:val="0000"/>
      </w:tblPr>
      <w:tblGrid>
        <w:gridCol w:w="7920"/>
      </w:tblGrid>
      <w:tr>
        <w:tc>
          <w:tcPr/>
          <w:bookmarkStart w:id="60" w:name="tbl-regional"/>
          <w:p>
            <w:pPr>
              <w:jc w:val="center"/>
            </w:pPr>
            <w:pPr>
              <w:jc w:val="left"/>
              <w:spacing w:before="200"/>
              <w:pStyle w:val="ImageCaption"/>
            </w:pPr>
            <w:r>
              <w:t xml:space="preserve">Tabela 12: Estudos com</w:t>
            </w:r>
            <w:r>
              <w:t xml:space="preserve"> </w:t>
            </w:r>
            <w:r>
              <w:rPr>
                <w:rStyle w:val="VerbatimChar"/>
              </w:rPr>
              <w:t xml:space="preserve">regiao</w:t>
            </w:r>
            <w:r>
              <w:t xml:space="preserve"> </w:t>
            </w:r>
            <w:r>
              <w:t xml:space="preserve">igual a Brasil ou América Latina no</w:t>
            </w:r>
            <w:r>
              <w:t xml:space="preserve"> </w:t>
            </w:r>
            <w:r>
              <w:rPr>
                <w:i/>
                <w:iCs/>
              </w:rPr>
              <w:t xml:space="preserve">master</w:t>
            </w:r>
            <w:r>
              <w:t xml:space="preserve"> </w:t>
            </w:r>
            <w:r>
              <w:t xml:space="preserve">de extração.</w:t>
            </w:r>
          </w:p>
          <w:tbl>
            <w:tblPr>
              <w:tblStyle w:val="Table"/>
              <w:tblW w:type="pct" w:w="5000"/>
              <w:tblLayout w:type="fixed"/>
              <w:tblLook w:firstRow="1" w:lastRow="0" w:firstColumn="0" w:lastColumn="0" w:noHBand="0" w:noVBand="0" w:val="0020"/>
            </w:tblPr>
            <w:tblGrid>
              <w:gridCol w:w="1029"/>
              <w:gridCol w:w="1584"/>
              <w:gridCol w:w="1108"/>
              <w:gridCol w:w="1821"/>
              <w:gridCol w:w="2376"/>
            </w:tblGrid>
            <w:tr>
              <w:trPr>
                <w:tblHeader w:val="on"/>
              </w:trPr>
              <w:tc>
                <w:tcPr/>
                <w:p>
                  <w:pPr>
                    <w:pStyle w:val="Compact"/>
                    <w:jc w:val="center"/>
                  </w:pPr>
                  <w:r>
                    <w:t xml:space="preserve">Estudo</w:t>
                  </w:r>
                </w:p>
              </w:tc>
              <w:tc>
                <w:tcPr/>
                <w:p>
                  <w:pPr>
                    <w:pStyle w:val="Compact"/>
                    <w:jc w:val="center"/>
                  </w:pPr>
                  <w:r>
                    <w:t xml:space="preserve">País e eleição</w:t>
                  </w:r>
                </w:p>
              </w:tc>
              <w:tc>
                <w:tcPr/>
                <w:p>
                  <w:pPr>
                    <w:pStyle w:val="Compact"/>
                    <w:jc w:val="center"/>
                  </w:pPr>
                  <w:r>
                    <w:t xml:space="preserve">Exposição</w:t>
                  </w:r>
                </w:p>
              </w:tc>
              <w:tc>
                <w:tcPr/>
                <w:p>
                  <w:pPr>
                    <w:pStyle w:val="Compact"/>
                    <w:jc w:val="center"/>
                  </w:pPr>
                  <w:r>
                    <w:t xml:space="preserve">Efeito principal, g (EP)</w:t>
                  </w:r>
                </w:p>
              </w:tc>
              <w:tc>
                <w:tcPr/>
                <w:p>
                  <w:pPr>
                    <w:pStyle w:val="Compact"/>
                    <w:jc w:val="center"/>
                  </w:pPr>
                  <w:r>
                    <w:t xml:space="preserve">Risco de viés; certeza da célula</w:t>
                  </w:r>
                </w:p>
              </w:tc>
            </w:tr>
            <w:tr>
              <w:tc>
                <w:tcPr/>
                <w:p>
                  <w:pPr>
                    <w:pStyle w:val="Compact"/>
                    <w:jc w:val="center"/>
                  </w:pPr>
                  <w:r>
                    <w:t xml:space="preserve">Araujo e Gatto (2021b)</w:t>
                  </w:r>
                </w:p>
              </w:tc>
              <w:tc>
                <w:tcPr/>
                <w:p>
                  <w:pPr>
                    <w:pStyle w:val="Compact"/>
                    <w:jc w:val="center"/>
                  </w:pPr>
                  <w:r>
                    <w:t xml:space="preserve">Brasil; ano da eleição codificado: 2018</w:t>
                  </w:r>
                </w:p>
              </w:tc>
              <w:tc>
                <w:tcPr/>
                <w:p>
                  <w:pPr>
                    <w:pStyle w:val="Compact"/>
                    <w:jc w:val="center"/>
                  </w:pPr>
                  <w:r>
                    <w:t xml:space="preserve">apuração parcial oficial</w:t>
                  </w:r>
                </w:p>
              </w:tc>
              <w:tc>
                <w:tcPr/>
                <w:p>
                  <w:pPr>
                    <w:pStyle w:val="Compact"/>
                    <w:jc w:val="center"/>
                  </w:pPr>
                  <w:r>
                    <w:t xml:space="preserve">E01: 0,13 (0,003) (5,69 p.p.); E06: 0,26 (0,003) (11,76 p.p.)</w:t>
                  </w:r>
                </w:p>
              </w:tc>
              <w:tc>
                <w:tcPr/>
                <w:p>
                  <w:pPr>
                    <w:pStyle w:val="Compact"/>
                    <w:jc w:val="center"/>
                  </w:pPr>
                  <w:r>
                    <w:t xml:space="preserve">ROBINS-I: grave; certeza: muito baixa</w:t>
                  </w:r>
                </w:p>
              </w:tc>
            </w:tr>
            <w:tr>
              <w:tc>
                <w:tcPr/>
                <w:p>
                  <w:pPr>
                    <w:pStyle w:val="Compact"/>
                    <w:jc w:val="center"/>
                  </w:pPr>
                  <w:r>
                    <w:t xml:space="preserve">Cornejo (2023)</w:t>
                  </w:r>
                </w:p>
              </w:tc>
              <w:tc>
                <w:tcPr/>
                <w:p>
                  <w:pPr>
                    <w:pStyle w:val="Compact"/>
                    <w:jc w:val="center"/>
                  </w:pPr>
                  <w:r>
                    <w:t xml:space="preserve">México; ano da eleição codificado: 2015</w:t>
                  </w:r>
                </w:p>
              </w:tc>
              <w:tc>
                <w:tcPr/>
                <w:p>
                  <w:pPr>
                    <w:pStyle w:val="Compact"/>
                    <w:jc w:val="center"/>
                  </w:pPr>
                  <w:r>
                    <w:t xml:space="preserve">pesquisa pré-eleitoral</w:t>
                  </w:r>
                </w:p>
              </w:tc>
              <w:tc>
                <w:tcPr/>
                <w:p>
                  <w:pPr>
                    <w:pStyle w:val="Compact"/>
                    <w:jc w:val="center"/>
                  </w:pPr>
                  <w:r>
                    <w:t xml:space="preserve">E05: 0,19 (0,105)</w:t>
                  </w:r>
                </w:p>
              </w:tc>
              <w:tc>
                <w:tcPr/>
                <w:p>
                  <w:pPr>
                    <w:pStyle w:val="Compact"/>
                    <w:jc w:val="center"/>
                  </w:pPr>
                  <w:r>
                    <w:t xml:space="preserve">RoB 2: algumas preocupações; certeza: muito baixa</w:t>
                  </w:r>
                </w:p>
              </w:tc>
            </w:tr>
            <w:tr>
              <w:tc>
                <w:tcPr/>
                <w:p>
                  <w:pPr>
                    <w:pStyle w:val="Compact"/>
                    <w:jc w:val="center"/>
                  </w:pPr>
                  <w:r>
                    <w:t xml:space="preserve">Lago et al. (2015)</w:t>
                  </w:r>
                </w:p>
              </w:tc>
              <w:tc>
                <w:tcPr/>
                <w:p>
                  <w:pPr>
                    <w:pStyle w:val="Compact"/>
                    <w:jc w:val="center"/>
                  </w:pPr>
                  <w:r>
                    <w:t xml:space="preserve">46 países, entre eles o Brasil; ano da eleição codificado: 2013</w:t>
                  </w:r>
                </w:p>
              </w:tc>
              <w:tc>
                <w:tcPr/>
                <w:p>
                  <w:pPr>
                    <w:pStyle w:val="Compact"/>
                    <w:jc w:val="center"/>
                  </w:pPr>
                  <w:r>
                    <w:t xml:space="preserve">pesquisa pré-eleitoral</w:t>
                  </w:r>
                </w:p>
              </w:tc>
              <w:tc>
                <w:tcPr/>
                <w:p>
                  <w:pPr>
                    <w:pStyle w:val="Compact"/>
                    <w:jc w:val="center"/>
                  </w:pPr>
                  <w:r>
                    <w:t xml:space="preserve">E01: 0,03 (0,016)</w:t>
                  </w:r>
                </w:p>
              </w:tc>
              <w:tc>
                <w:tcPr/>
                <w:p>
                  <w:pPr>
                    <w:pStyle w:val="Compact"/>
                    <w:jc w:val="center"/>
                  </w:pPr>
                  <w:r>
                    <w:t xml:space="preserve">ROBINS-I: grave; certeza: sem certeza atribuída; fora da contagem principal: interação dias de proibição × ENEP (moderador contínuo não atribuído)</w:t>
                  </w:r>
                </w:p>
              </w:tc>
            </w:tr>
          </w:tbl>
          <w:bookmarkEnd w:id="60"/>
          <w:p/>
        </w:tc>
      </w:tr>
    </w:tbl>
    <w:p>
      <w:pPr>
        <w:pStyle w:val="Compact"/>
        <w:numPr>
          <w:ilvl w:val="0"/>
          <w:numId w:val="1008"/>
        </w:numPr>
      </w:pPr>
      <w:r>
        <w:rPr>
          <w:b/>
          <w:bCs/>
        </w:rPr>
        <w:t xml:space="preserve">Araujo e Gatto (2021b)</w:t>
      </w:r>
      <w:r>
        <w:rPr>
          <w:b/>
          <w:bCs/>
        </w:rPr>
        <w:t xml:space="preserve"> </w:t>
      </w:r>
      <w:r>
        <w:rPr>
          <w:b/>
          <w:bCs/>
        </w:rPr>
        <w:t xml:space="preserve">(Brasil, eleição presidencial de 2018, dois turnos).</w:t>
      </w:r>
      <w:r>
        <w:t xml:space="preserve"> </w:t>
      </w:r>
      <w:r>
        <w:t xml:space="preserve">Experimento natural com a votação agregada de todas as urnas do país (453.016 observações de urna na entrada da síntese; média de 323 eleitores registrados por urna, segundo a ficha). Falhas da identificação biométrica deixaram eleitores votando depois das 19:00, quando a apuração parcial oficial já era divulgada e mostrava Bolsonaro à frente; a comparação é com urnas que fecharam antes. As urnas expostas deram mais votos ao líder mostrado nos dois turnos (+5,69 e +11,76 p.p.), o que os autores interpretam como</w:t>
      </w:r>
      <w:r>
        <w:t xml:space="preserve"> </w:t>
      </w:r>
      <w:r>
        <w:rPr>
          <w:i/>
          <w:iCs/>
        </w:rPr>
        <w:t xml:space="preserve">bandwagon</w:t>
      </w:r>
      <w:r>
        <w:t xml:space="preserve"> </w:t>
      </w:r>
      <w:r>
        <w:t xml:space="preserve">por troca de voto, e não por desmobilização. É muito incerto se essa divulgação aumenta a votação do líder (certeza muito baixa).</w:t>
      </w:r>
    </w:p>
    <w:p>
      <w:pPr>
        <w:pStyle w:val="Compact"/>
        <w:numPr>
          <w:ilvl w:val="0"/>
          <w:numId w:val="1008"/>
        </w:numPr>
      </w:pPr>
      <w:r>
        <w:rPr>
          <w:b/>
          <w:bCs/>
        </w:rPr>
        <w:t xml:space="preserve">Cornejo (2023)</w:t>
      </w:r>
      <w:r>
        <w:rPr>
          <w:b/>
          <w:bCs/>
        </w:rPr>
        <w:t xml:space="preserve"> </w:t>
      </w:r>
      <w:r>
        <w:rPr>
          <w:b/>
          <w:bCs/>
        </w:rPr>
        <w:t xml:space="preserve">(México, eleições estaduais de 2015 em Michoacán e Nuevo León).</w:t>
      </w:r>
      <w:r>
        <w:t xml:space="preserve"> </w:t>
      </w:r>
      <w:r>
        <w:t xml:space="preserve">Experimento de survey com vinheta de pesquisa recém-divulgada, frente a nenhuma pesquisa, sobre o apoio ao candidato anti-PRI mais bem colocado. A direção foi de viabilidade (g = 0,19, EP 0,105), e é muito incerto se ver pesquisa que mostra um candidato de oposição como segundo colocado viável aumenta o apoio a ele (certeza muito baixa). É o único estudo latino-americano sobre pesquisa pré-eleitoral na análise principal.</w:t>
      </w:r>
    </w:p>
    <w:p>
      <w:pPr>
        <w:pStyle w:val="Compact"/>
        <w:numPr>
          <w:ilvl w:val="0"/>
          <w:numId w:val="1008"/>
        </w:numPr>
      </w:pPr>
      <w:r>
        <w:rPr>
          <w:b/>
          <w:bCs/>
        </w:rPr>
        <w:t xml:space="preserve">Lago et al. (2015)</w:t>
      </w:r>
      <w:r>
        <w:rPr>
          <w:b/>
          <w:bCs/>
        </w:rPr>
        <w:t xml:space="preserve"> </w:t>
      </w:r>
      <w:r>
        <w:rPr>
          <w:b/>
          <w:bCs/>
        </w:rPr>
        <w:t xml:space="preserve">(46 democracias, entre elas o Brasil e outros países latino-americanos, eleições de 2009 a 2013).</w:t>
      </w:r>
      <w:r>
        <w:t xml:space="preserve"> </w:t>
      </w:r>
      <w:r>
        <w:t xml:space="preserve">Corte transversal que relaciona os dias de proibição de divulgação de pesquisas aos votos desperdiçados em partidos sem representação. Os autores concluem que o embargo aumenta os votos desperdiçados quando há muitos partidos. O efeito principal extraído é a interação dos dias de proibição com o número efetivo de partidos, fora da contagem principal, e por isso não tem certeza atribuída.</w:t>
      </w:r>
    </w:p>
    <w:p>
      <w:pPr>
        <w:pStyle w:val="FirstParagraph"/>
      </w:pPr>
      <w:r>
        <w:t xml:space="preserve">O único estudo brasileiro</w:t>
      </w:r>
      <w:r>
        <w:t xml:space="preserve"> </w:t>
      </w:r>
      <w:r>
        <w:t xml:space="preserve">(Araujo e Gatto 2021b)</w:t>
      </w:r>
      <w:r>
        <w:t xml:space="preserve"> </w:t>
      </w:r>
      <w:r>
        <w:t xml:space="preserve">trata da divulgação oficial de apuração parcial enquanto a votação ainda ocorre, não de pesquisa eleitoral. Ele entrou pela Emenda 1, que ampliou o critério C2 depois da elegibilidade do segundo ciclo, e forma uma célula própria, não agregada com os estudos de pesquisa. Não há, portanto, estudo incluído que estime o efeito de pesquisas pré-eleitorais publicadas sobre o voto ou o comparecimento no Brasil, e não houve estimativa por subgrupo regional (menos de 3 estudos por nível).</w:t>
      </w:r>
    </w:p>
    <w:p>
      <w:pPr>
        <w:pStyle w:val="BodyText"/>
      </w:pPr>
      <w:r>
        <w:t xml:space="preserve">Fatores de transferibilidade previstos no protocolo, lidos contra a evidência:</w:t>
      </w:r>
    </w:p>
    <w:p>
      <w:pPr>
        <w:pStyle w:val="Compact"/>
        <w:numPr>
          <w:ilvl w:val="0"/>
          <w:numId w:val="1009"/>
        </w:numPr>
      </w:pPr>
      <w:r>
        <w:rPr>
          <w:b/>
          <w:bCs/>
        </w:rPr>
        <w:t xml:space="preserve">Voto obrigatório.</w:t>
      </w:r>
      <w:r>
        <w:t xml:space="preserve"> </w:t>
      </w:r>
      <w:r>
        <w:t xml:space="preserve">No Brasil, o voto obrigatório pode reduzir o canal da desmobilização. Nenhum dos estudos que mediram mobilização tem voto obrigatório codificado como sim na extração (a variável está como não ou não relatada), e</w:t>
      </w:r>
      <w:r>
        <w:t xml:space="preserve"> </w:t>
      </w:r>
      <w:r>
        <w:t xml:space="preserve">Araujo e Gatto (2021b)</w:t>
      </w:r>
      <w:r>
        <w:t xml:space="preserve">, em regime de voto obrigatório, não teve comparecimento como desfecho extraído. Os achados de mobilização não se transferem diretamente.</w:t>
      </w:r>
    </w:p>
    <w:p>
      <w:pPr>
        <w:pStyle w:val="Compact"/>
        <w:numPr>
          <w:ilvl w:val="0"/>
          <w:numId w:val="1009"/>
        </w:numPr>
      </w:pPr>
      <w:r>
        <w:rPr>
          <w:b/>
          <w:bCs/>
        </w:rPr>
        <w:t xml:space="preserve">Sistema de dois turnos.</w:t>
      </w:r>
      <w:r>
        <w:t xml:space="preserve"> </w:t>
      </w:r>
      <w:r>
        <w:t xml:space="preserve">Eleições executivas brasileiras têm dois turnos, o que muda o cálculo de viabilidade no primeiro turno.</w:t>
      </w:r>
      <w:r>
        <w:t xml:space="preserve"> </w:t>
      </w:r>
      <w:r>
        <w:t xml:space="preserve">Araujo e Gatto (2021b)</w:t>
      </w:r>
      <w:r>
        <w:t xml:space="preserve"> </w:t>
      </w:r>
      <w:r>
        <w:t xml:space="preserve">achou a mesma direção nos dois turnos; os experimentos de viabilidade vêm de sistemas de pluralidade (</w:t>
      </w:r>
      <w:r>
        <w:t xml:space="preserve">Cornejo (2023)</w:t>
      </w:r>
      <w:r>
        <w:t xml:space="preserve">,</w:t>
      </w:r>
      <w:r>
        <w:t xml:space="preserve"> </w:t>
      </w:r>
      <w:r>
        <w:t xml:space="preserve">Schlegel et al. (2023)</w:t>
      </w:r>
      <w:r>
        <w:t xml:space="preserve">) ou proporcionais (</w:t>
      </w:r>
      <w:r>
        <w:t xml:space="preserve">Fredén et al. (2024)</w:t>
      </w:r>
      <w:r>
        <w:t xml:space="preserve">).</w:t>
      </w:r>
    </w:p>
    <w:p>
      <w:pPr>
        <w:pStyle w:val="Compact"/>
        <w:numPr>
          <w:ilvl w:val="0"/>
          <w:numId w:val="1009"/>
        </w:numPr>
      </w:pPr>
      <w:r>
        <w:rPr>
          <w:b/>
          <w:bCs/>
        </w:rPr>
        <w:t xml:space="preserve">Regulação da divulgação de pesquisas.</w:t>
      </w:r>
      <w:r>
        <w:t xml:space="preserve"> </w:t>
      </w:r>
      <w:r>
        <w:t xml:space="preserve">A evidência sobre proibições vem da boca de urna na França e na Índia, com direções opostas no apoio ao líder, e de um corte transversal de países, fora da contagem principal; nenhum estudo avalia a regulação brasileira de divulgação de pesquisas.</w:t>
      </w:r>
    </w:p>
    <w:p>
      <w:pPr>
        <w:pStyle w:val="Compact"/>
        <w:numPr>
          <w:ilvl w:val="0"/>
          <w:numId w:val="1009"/>
        </w:numPr>
      </w:pPr>
      <w:r>
        <w:rPr>
          <w:b/>
          <w:bCs/>
        </w:rPr>
        <w:t xml:space="preserve">Confiança nas pesquisas.</w:t>
      </w:r>
      <w:r>
        <w:t xml:space="preserve"> </w:t>
      </w:r>
      <w:r>
        <w:t xml:space="preserve">A teoria da exposição do protocolo prevê efeito menor com baixa confiança nas pesquisas, mas esse moderador não foi sintetizado nesta versão, e não há estudo brasileiro que o examine.</w:t>
      </w:r>
    </w:p>
    <w:p>
      <w:pPr>
        <w:pStyle w:val="FirstParagraph"/>
      </w:pPr>
      <w:r>
        <w:t xml:space="preserve">Não é possível generalizar os achados dos experimentos, em sua maioria de laboratório e dos Estados Unidos e da Europa, ao eleitorado brasileiro.</w:t>
      </w:r>
    </w:p>
    <w:bookmarkEnd w:id="61"/>
    <w:bookmarkStart w:id="62" w:name="vieses-de-relato-21"/>
    <w:p>
      <w:pPr>
        <w:pStyle w:val="Heading2"/>
      </w:pPr>
      <w:r>
        <w:t xml:space="preserve">Vieses de relato (21)</w:t>
      </w:r>
    </w:p>
    <w:p>
      <w:pPr>
        <w:pStyle w:val="FirstParagraph"/>
      </w:pPr>
      <w:r>
        <w:t xml:space="preserve">Nenhuma célula teve 10 ou mais estudos, e não houve funil, teste de Egger, PET-PEESE nem modelo de seleção. No GRADE, o viés de publicação foi rebaixado em três corpos de experimentos de apoio ao líder: pesquisa × sem pesquisa, pesquisa × mesmo candidato atrás e o agrupamento amplo randomizado. Neles, todos os estudos são positivos, a maioria pequenos experimentos, sem nenhum nulo, com busca limitada a OpenAlex, BDTD e bola de neve e triagem dos registros sem resumo refeita só por IA. Nas duas células do protocolo, esse rebaixamento ficou no piso da escala; no agrupamento amplo, foi ele que levou a certeza de baixa a muito baixa (P036). Nas demais células, o viés de publicação não foi rebaixado, ou porque a célula tem resultado nulo ou contrário, ou porque um estudo só não permite julgá-lo, mas a suspeita fica em aberto pela limitação de fontes. Não houve avaliação ROB-ME separada.</w:t>
      </w:r>
    </w:p>
    <w:bookmarkEnd w:id="62"/>
    <w:bookmarkStart w:id="64" w:name="certeza-da-evidência-22"/>
    <w:p>
      <w:pPr>
        <w:pStyle w:val="Heading2"/>
      </w:pPr>
      <w:r>
        <w:t xml:space="preserve">Certeza da evidência (22)</w:t>
      </w:r>
    </w:p>
    <w:p>
      <w:pPr>
        <w:pStyle w:val="FirstParagraph"/>
      </w:pPr>
      <w:r>
        <w:t xml:space="preserve">Das 18 células do protocolo, 15 ficaram com certeza muito baixa, 2 com baixa (</w:t>
      </w:r>
      <w:r>
        <w:t xml:space="preserve">Westwood et al. (2020)</w:t>
      </w:r>
      <w:r>
        <w:t xml:space="preserve">;</w:t>
      </w:r>
      <w:r>
        <w:t xml:space="preserve"> </w:t>
      </w:r>
      <w:r>
        <w:t xml:space="preserve">Stolwijk e Schuck (2019)</w:t>
      </w:r>
      <w:r>
        <w:t xml:space="preserve"> </w:t>
      </w:r>
      <w:r>
        <w:t xml:space="preserve">e</w:t>
      </w:r>
      <w:r>
        <w:t xml:space="preserve"> </w:t>
      </w:r>
      <w:r>
        <w:t xml:space="preserve">Brugarolas e Miller (2021)</w:t>
      </w:r>
      <w:r>
        <w:t xml:space="preserve">) e 1 com moderada (</w:t>
      </w:r>
      <w:r>
        <w:t xml:space="preserve">Gerber et al. (2020)</w:t>
      </w:r>
      <w:r>
        <w:t xml:space="preserve">, efeito nulo dentro de ±δ). As 7 linhas do agrupamento amplo ficaram com certeza muito baixa. O rascunho deixou explícitas decisões para o revisor humano (</w:t>
      </w:r>
      <w:r>
        <w:rPr>
          <w:rStyle w:val="VerbatimChar"/>
        </w:rPr>
        <w:t xml:space="preserve">08-revisao-humana/P036_grade/LEIA.md</w:t>
      </w:r>
      <w:r>
        <w:t xml:space="preserve">). A primeira é não ter rebaixado 4 corpos cuja única preocupação de risco de viés é o domínio de relato seletivo do RoB 2 (</w:t>
      </w:r>
      <w:r>
        <w:t xml:space="preserve">Westwood et al. (2020)</w:t>
      </w:r>
      <w:r>
        <w:t xml:space="preserve">,</w:t>
      </w:r>
      <w:r>
        <w:t xml:space="preserve"> </w:t>
      </w:r>
      <w:r>
        <w:t xml:space="preserve">Meer et al. (2015)</w:t>
      </w:r>
      <w:r>
        <w:t xml:space="preserve">,</w:t>
      </w:r>
      <w:r>
        <w:t xml:space="preserve"> </w:t>
      </w:r>
      <w:r>
        <w:t xml:space="preserve">Boukouras et al. (2020)</w:t>
      </w:r>
      <w:r>
        <w:t xml:space="preserve"> </w:t>
      </w:r>
      <w:r>
        <w:t xml:space="preserve">e</w:t>
      </w:r>
      <w:r>
        <w:t xml:space="preserve"> </w:t>
      </w:r>
      <w:r>
        <w:t xml:space="preserve">Gerber et al. (2020)</w:t>
      </w:r>
      <w:r>
        <w:t xml:space="preserve">). A segunda é o rebaixamento de 1 nível, e não 2, por risco de viés na célula de</w:t>
      </w:r>
      <w:r>
        <w:t xml:space="preserve"> </w:t>
      </w:r>
      <w:r>
        <w:t xml:space="preserve">Stolwijk e Schuck (2019)</w:t>
      </w:r>
      <w:r>
        <w:t xml:space="preserve"> </w:t>
      </w:r>
      <w:r>
        <w:t xml:space="preserve">e</w:t>
      </w:r>
      <w:r>
        <w:t xml:space="preserve"> </w:t>
      </w:r>
      <w:r>
        <w:t xml:space="preserve">Brugarolas e Miller (2021)</w:t>
      </w:r>
      <w:r>
        <w:t xml:space="preserve">. A terceira é o rebaixamento por viés de publicação no agrupamento amplo.</w:t>
      </w:r>
    </w:p>
    <w:tbl>
      <w:tblPr>
        <w:tblStyle w:val="Table"/>
        <w:tblW w:type="pct" w:w="5000"/>
        <w:tblLayout w:type="fixed"/>
        <w:tblLook w:firstRow="0" w:lastRow="0" w:firstColumn="0" w:lastColumn="0" w:noHBand="0" w:noVBand="0" w:val="0000"/>
      </w:tblPr>
      <w:tblGrid>
        <w:gridCol w:w="7920"/>
      </w:tblGrid>
      <w:tr>
        <w:tc>
          <w:tcPr/>
          <w:bookmarkStart w:id="63" w:name="tbl-sof"/>
          <w:p>
            <w:pPr>
              <w:jc w:val="center"/>
            </w:pPr>
            <w:pPr>
              <w:jc w:val="left"/>
              <w:spacing w:before="200"/>
              <w:pStyle w:val="ImageCaption"/>
            </w:pPr>
            <w:r>
              <w:t xml:space="preserve">Tabela 13: Resumo dos achados (GRADE, rascunho de IA não validado;</w:t>
            </w:r>
            <w:r>
              <w:t xml:space="preserve"> </w:t>
            </w:r>
            <w:r>
              <w:rPr>
                <w:rStyle w:val="VerbatimChar"/>
              </w:rPr>
              <w:t xml:space="preserve">06-analise/certeza.csv</w:t>
            </w:r>
            <w:r>
              <w:t xml:space="preserve"> </w:t>
            </w:r>
            <w:r>
              <w:t xml:space="preserve">e</w:t>
            </w:r>
            <w:r>
              <w:t xml:space="preserve"> </w:t>
            </w:r>
            <w:r>
              <w:rPr>
                <w:rStyle w:val="VerbatimChar"/>
              </w:rPr>
              <w:t xml:space="preserve">06-analise/certeza_agrupamento_amplo.csv</w:t>
            </w:r>
            <w:r>
              <w:t xml:space="preserve">). n do efeito principal na unidade própria de cada estudo (</w:t>
            </w:r>
            <w:r>
              <w:rPr>
                <w:rStyle w:val="VerbatimChar"/>
              </w:rPr>
              <w:t xml:space="preserve">06-analise/swim_principal/tabelas/swim_direcao.csv</w:t>
            </w:r>
            <w:r>
              <w:t xml:space="preserve">); no agrupamento amplo, os n são os mesmos das células do protocolo. Com SWiM, a certeza qualifica a direção, não a magnitude.</w:t>
            </w:r>
          </w:p>
          <w:tbl>
            <w:tblPr>
              <w:tblStyle w:val="Table"/>
              <w:tblW w:type="pct" w:w="5000"/>
              <w:tblLayout w:type="fixed"/>
              <w:tblLook w:firstRow="1" w:lastRow="0" w:firstColumn="0" w:lastColumn="0" w:noHBand="0" w:noVBand="0" w:val="0020"/>
            </w:tblPr>
            <w:tblGrid>
              <w:gridCol w:w="1900"/>
              <w:gridCol w:w="2059"/>
              <w:gridCol w:w="1584"/>
              <w:gridCol w:w="633"/>
              <w:gridCol w:w="1742"/>
            </w:tblGrid>
            <w:tr>
              <w:trPr>
                <w:tblHeader w:val="on"/>
              </w:trPr>
              <w:tc>
                <w:tcPr/>
                <w:p>
                  <w:pPr>
                    <w:pStyle w:val="Compact"/>
                    <w:jc w:val="center"/>
                  </w:pPr>
                  <w:r>
                    <w:t xml:space="preserve">Célula (exposição; desfecho; comparador; classe)</w:t>
                  </w:r>
                </w:p>
              </w:tc>
              <w:tc>
                <w:tcPr/>
                <w:p>
                  <w:pPr>
                    <w:pStyle w:val="Compact"/>
                    <w:jc w:val="center"/>
                  </w:pPr>
                  <w:r>
                    <w:t xml:space="preserve">Estudos (n de cada estudo, unidade própria)</w:t>
                  </w:r>
                </w:p>
              </w:tc>
              <w:tc>
                <w:tcPr/>
                <w:p>
                  <w:pPr>
                    <w:pStyle w:val="Compact"/>
                    <w:jc w:val="center"/>
                  </w:pPr>
                  <w:r>
                    <w:t xml:space="preserve">Direção (proporção; IC 95%)</w:t>
                  </w:r>
                </w:p>
              </w:tc>
              <w:tc>
                <w:tcPr/>
                <w:p>
                  <w:pPr>
                    <w:pStyle w:val="Compact"/>
                    <w:jc w:val="center"/>
                  </w:pPr>
                  <w:r>
                    <w:t xml:space="preserve">Certeza</w:t>
                  </w:r>
                </w:p>
              </w:tc>
              <w:tc>
                <w:tcPr/>
                <w:p>
                  <w:pPr>
                    <w:pStyle w:val="Compact"/>
                    <w:jc w:val="center"/>
                  </w:pPr>
                  <w:r>
                    <w:t xml:space="preserve">Rebaixamentos (ponto de partida)</w:t>
                  </w:r>
                </w:p>
              </w:tc>
            </w:tr>
            <w:tr>
              <w:tc>
                <w:tcPr/>
                <w:p>
                  <w:pPr>
                    <w:pStyle w:val="Compact"/>
                    <w:jc w:val="center"/>
                  </w:pPr>
                  <w:r>
                    <w:t xml:space="preserve">pesquisa pré-eleitoral; apoio (principal); mesmo candidato atrás; randomizado</w:t>
                  </w:r>
                </w:p>
              </w:tc>
              <w:tc>
                <w:tcPr/>
                <w:p>
                  <w:pPr>
                    <w:pStyle w:val="Compact"/>
                    <w:jc w:val="center"/>
                  </w:pPr>
                  <w:r>
                    <w:t xml:space="preserve">Tal et al. (2015)</w:t>
                  </w:r>
                  <w:r>
                    <w:t xml:space="preserve"> </w:t>
                  </w:r>
                  <w:r>
                    <w:t xml:space="preserve">(NR);</w:t>
                  </w:r>
                  <w:r>
                    <w:t xml:space="preserve"> </w:t>
                  </w:r>
                  <w:r>
                    <w:t xml:space="preserve">Lammers et al. (2022)</w:t>
                  </w:r>
                  <w:r>
                    <w:t xml:space="preserve"> </w:t>
                  </w:r>
                  <w:r>
                    <w:t xml:space="preserve">(100);</w:t>
                  </w:r>
                  <w:r>
                    <w:t xml:space="preserve"> </w:t>
                  </w:r>
                  <w:r>
                    <w:t xml:space="preserve">Fichnová e Wojciechowski (2015)</w:t>
                  </w:r>
                  <w:r>
                    <w:t xml:space="preserve"> </w:t>
                  </w:r>
                  <w:r>
                    <w:t xml:space="preserve">(24);</w:t>
                  </w:r>
                  <w:r>
                    <w:t xml:space="preserve"> </w:t>
                  </w:r>
                  <w:r>
                    <w:t xml:space="preserve">Witsman (2016)</w:t>
                  </w:r>
                  <w:r>
                    <w:t xml:space="preserve"> </w:t>
                  </w:r>
                  <w:r>
                    <w:t xml:space="preserve">(142)</w:t>
                  </w:r>
                </w:p>
              </w:tc>
              <w:tc>
                <w:tcPr/>
                <w:p>
                  <w:pPr>
                    <w:pStyle w:val="Compact"/>
                    <w:jc w:val="center"/>
                  </w:pPr>
                  <w:r>
                    <w:t xml:space="preserve">4</w:t>
                  </w:r>
                  <w:r>
                    <w:t xml:space="preserve"> </w:t>
                  </w:r>
                  <w:r>
                    <w:rPr>
                      <w:i/>
                      <w:iCs/>
                    </w:rPr>
                    <w:t xml:space="preserve">bandwagon</w:t>
                  </w:r>
                  <w:r>
                    <w:t xml:space="preserve">; 0</w:t>
                  </w:r>
                  <w:r>
                    <w:t xml:space="preserve"> </w:t>
                  </w:r>
                  <w:r>
                    <w:rPr>
                      <w:i/>
                      <w:iCs/>
                    </w:rPr>
                    <w:t xml:space="preserve">underdog</w:t>
                  </w:r>
                  <w:r>
                    <w:t xml:space="preserve"> </w:t>
                  </w:r>
                  <w:r>
                    <w:t xml:space="preserve">(1,00; 0,40 a 1,00)</w:t>
                  </w:r>
                </w:p>
              </w:tc>
              <w:tc>
                <w:tcPr/>
                <w:p>
                  <w:pPr>
                    <w:pStyle w:val="Compact"/>
                    <w:jc w:val="center"/>
                  </w:pPr>
                  <w:r>
                    <w:t xml:space="preserve">muito baixa</w:t>
                  </w:r>
                </w:p>
              </w:tc>
              <w:tc>
                <w:tcPr/>
                <w:p>
                  <w:pPr>
                    <w:pStyle w:val="Compact"/>
                    <w:jc w:val="center"/>
                  </w:pPr>
                  <w:r>
                    <w:t xml:space="preserve">risco de viés −2; indireção −1; imprecisão −1; viés de publicação −1 (partida alta)</w:t>
                  </w:r>
                </w:p>
              </w:tc>
            </w:tr>
            <w:tr>
              <w:tc>
                <w:tcPr/>
                <w:p>
                  <w:pPr>
                    <w:pStyle w:val="Compact"/>
                    <w:jc w:val="center"/>
                  </w:pPr>
                  <w:r>
                    <w:t xml:space="preserve">pesquisa pré-eleitoral; apoio (principal); outro resultado; não randomizado</w:t>
                  </w:r>
                </w:p>
              </w:tc>
              <w:tc>
                <w:tcPr/>
                <w:p>
                  <w:pPr>
                    <w:pStyle w:val="Compact"/>
                    <w:jc w:val="center"/>
                  </w:pPr>
                  <w:r>
                    <w:t xml:space="preserve">Feltovich e Giovannoni (2022)</w:t>
                  </w:r>
                  <w:r>
                    <w:t xml:space="preserve"> </w:t>
                  </w:r>
                  <w:r>
                    <w:t xml:space="preserve">(NR)</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r>
                    <w:t xml:space="preserve"> </w:t>
                  </w:r>
                  <w:r>
                    <w:t xml:space="preserve">(1,00; 0,03 a 1,00)</w:t>
                  </w:r>
                </w:p>
              </w:tc>
              <w:tc>
                <w:tcPr/>
                <w:p>
                  <w:pPr>
                    <w:pStyle w:val="Compact"/>
                    <w:jc w:val="center"/>
                  </w:pPr>
                  <w:r>
                    <w:t xml:space="preserve">muito baixa</w:t>
                  </w:r>
                </w:p>
              </w:tc>
              <w:tc>
                <w:tcPr/>
                <w:p>
                  <w:pPr>
                    <w:pStyle w:val="Compact"/>
                    <w:jc w:val="center"/>
                  </w:pPr>
                  <w:r>
                    <w:t xml:space="preserve">risco de viés −2; indireção −1; imprecisão −1 (partida alta)</w:t>
                  </w:r>
                </w:p>
              </w:tc>
            </w:tr>
            <w:tr>
              <w:tc>
                <w:tcPr/>
                <w:p>
                  <w:pPr>
                    <w:pStyle w:val="Compact"/>
                    <w:jc w:val="center"/>
                  </w:pPr>
                  <w:r>
                    <w:t xml:space="preserve">pesquisa pré-eleitoral; apoio (principal); outro resultado; randomizado</w:t>
                  </w:r>
                </w:p>
              </w:tc>
              <w:tc>
                <w:tcPr/>
                <w:p>
                  <w:pPr>
                    <w:pStyle w:val="Compact"/>
                    <w:jc w:val="center"/>
                  </w:pPr>
                  <w:r>
                    <w:t xml:space="preserve">Boukouras et al. (2020)</w:t>
                  </w:r>
                  <w:r>
                    <w:t xml:space="preserve"> </w:t>
                  </w:r>
                  <w:r>
                    <w:t xml:space="preserve">(135)</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r>
                    <w:t xml:space="preserve"> </w:t>
                  </w:r>
                  <w:r>
                    <w:t xml:space="preserve">(1,00; 0,03 a 1,00)</w:t>
                  </w:r>
                </w:p>
              </w:tc>
              <w:tc>
                <w:tcPr/>
                <w:p>
                  <w:pPr>
                    <w:pStyle w:val="Compact"/>
                    <w:jc w:val="center"/>
                  </w:pPr>
                  <w:r>
                    <w:t xml:space="preserve">muito baixa</w:t>
                  </w:r>
                </w:p>
              </w:tc>
              <w:tc>
                <w:tcPr/>
                <w:p>
                  <w:pPr>
                    <w:pStyle w:val="Compact"/>
                    <w:jc w:val="center"/>
                  </w:pPr>
                  <w:r>
                    <w:t xml:space="preserve">indireção −1; imprecisão −2 (partida alta)</w:t>
                  </w:r>
                </w:p>
              </w:tc>
            </w:tr>
            <w:tr>
              <w:tc>
                <w:tcPr/>
                <w:p>
                  <w:pPr>
                    <w:pStyle w:val="Compact"/>
                    <w:jc w:val="center"/>
                  </w:pPr>
                  <w:r>
                    <w:t xml:space="preserve">pesquisa pré-eleitoral; apoio (principal); sem pesquisa; randomizado</w:t>
                  </w:r>
                </w:p>
              </w:tc>
              <w:tc>
                <w:tcPr/>
                <w:p>
                  <w:pPr>
                    <w:pStyle w:val="Compact"/>
                    <w:jc w:val="center"/>
                  </w:pPr>
                  <w:r>
                    <w:t xml:space="preserve">Agranov et al. (2017)</w:t>
                  </w:r>
                  <w:r>
                    <w:t xml:space="preserve"> </w:t>
                  </w:r>
                  <w:r>
                    <w:t xml:space="preserve">(300);</w:t>
                  </w:r>
                  <w:r>
                    <w:t xml:space="preserve"> </w:t>
                  </w:r>
                  <w:r>
                    <w:t xml:space="preserve">Farjam (2020)</w:t>
                  </w:r>
                  <w:r>
                    <w:t xml:space="preserve"> </w:t>
                  </w:r>
                  <w:r>
                    <w:t xml:space="preserve">(1.113);</w:t>
                  </w:r>
                  <w:r>
                    <w:t xml:space="preserve"> </w:t>
                  </w:r>
                  <w:r>
                    <w:t xml:space="preserve">Timotei (2013)</w:t>
                  </w:r>
                  <w:r>
                    <w:t xml:space="preserve"> </w:t>
                  </w:r>
                  <w:r>
                    <w:t xml:space="preserve">(80);</w:t>
                  </w:r>
                  <w:r>
                    <w:t xml:space="preserve"> </w:t>
                  </w:r>
                  <w:r>
                    <w:t xml:space="preserve">Tyszler e Schram (2015)</w:t>
                  </w:r>
                  <w:r>
                    <w:t xml:space="preserve"> </w:t>
                  </w:r>
                  <w:r>
                    <w:t xml:space="preserve">(12)</w:t>
                  </w:r>
                </w:p>
              </w:tc>
              <w:tc>
                <w:tcPr/>
                <w:p>
                  <w:pPr>
                    <w:pStyle w:val="Compact"/>
                    <w:jc w:val="center"/>
                  </w:pPr>
                  <w:r>
                    <w:t xml:space="preserve">4</w:t>
                  </w:r>
                  <w:r>
                    <w:t xml:space="preserve"> </w:t>
                  </w:r>
                  <w:r>
                    <w:rPr>
                      <w:i/>
                      <w:iCs/>
                    </w:rPr>
                    <w:t xml:space="preserve">bandwagon</w:t>
                  </w:r>
                  <w:r>
                    <w:t xml:space="preserve">; 0</w:t>
                  </w:r>
                  <w:r>
                    <w:t xml:space="preserve"> </w:t>
                  </w:r>
                  <w:r>
                    <w:rPr>
                      <w:i/>
                      <w:iCs/>
                    </w:rPr>
                    <w:t xml:space="preserve">underdog</w:t>
                  </w:r>
                  <w:r>
                    <w:t xml:space="preserve"> </w:t>
                  </w:r>
                  <w:r>
                    <w:t xml:space="preserve">(1,00; 0,40 a 1,00)</w:t>
                  </w:r>
                </w:p>
              </w:tc>
              <w:tc>
                <w:tcPr/>
                <w:p>
                  <w:pPr>
                    <w:pStyle w:val="Compact"/>
                    <w:jc w:val="center"/>
                  </w:pPr>
                  <w:r>
                    <w:t xml:space="preserve">muito baixa</w:t>
                  </w:r>
                </w:p>
              </w:tc>
              <w:tc>
                <w:tcPr/>
                <w:p>
                  <w:pPr>
                    <w:pStyle w:val="Compact"/>
                    <w:jc w:val="center"/>
                  </w:pPr>
                  <w:r>
                    <w:t xml:space="preserve">risco de viés −1; indireção −1; imprecisão −1; viés de publicação −1 (partida alta)</w:t>
                  </w:r>
                </w:p>
              </w:tc>
            </w:tr>
            <w:tr>
              <w:tc>
                <w:tcPr/>
                <w:p>
                  <w:pPr>
                    <w:pStyle w:val="Compact"/>
                    <w:jc w:val="center"/>
                  </w:pPr>
                  <w:r>
                    <w:t xml:space="preserve">pesquisa pré-eleitoral; apoio (viabilidade); outro resultado; randomizado</w:t>
                  </w:r>
                </w:p>
              </w:tc>
              <w:tc>
                <w:tcPr/>
                <w:p>
                  <w:pPr>
                    <w:pStyle w:val="Compact"/>
                    <w:jc w:val="center"/>
                  </w:pPr>
                  <w:r>
                    <w:t xml:space="preserve">Schlegel et al. (2023)</w:t>
                  </w:r>
                  <w:r>
                    <w:t xml:space="preserve"> </w:t>
                  </w:r>
                  <w:r>
                    <w:t xml:space="preserve">(NR);</w:t>
                  </w:r>
                  <w:r>
                    <w:t xml:space="preserve"> </w:t>
                  </w:r>
                  <w:r>
                    <w:t xml:space="preserve">Fredén et al. (2024)</w:t>
                  </w:r>
                  <w:r>
                    <w:t xml:space="preserve"> </w:t>
                  </w:r>
                  <w:r>
                    <w:t xml:space="preserve">(744)</w:t>
                  </w:r>
                </w:p>
              </w:tc>
              <w:tc>
                <w:tcPr/>
                <w:p>
                  <w:pPr>
                    <w:pStyle w:val="Compact"/>
                    <w:jc w:val="center"/>
                  </w:pPr>
                  <w:r>
                    <w:t xml:space="preserve">1 viabilidade; 0 contra; 1 misto (1,00; 0,03 a 1,00)</w:t>
                  </w:r>
                </w:p>
              </w:tc>
              <w:tc>
                <w:tcPr/>
                <w:p>
                  <w:pPr>
                    <w:pStyle w:val="Compact"/>
                    <w:jc w:val="center"/>
                  </w:pPr>
                  <w:r>
                    <w:t xml:space="preserve">muito baixa</w:t>
                  </w:r>
                </w:p>
              </w:tc>
              <w:tc>
                <w:tcPr/>
                <w:p>
                  <w:pPr>
                    <w:pStyle w:val="Compact"/>
                    <w:jc w:val="center"/>
                  </w:pPr>
                  <w:r>
                    <w:t xml:space="preserve">risco de viés −1; inconsistência −1; indireção −1; imprecisão −1 (partida alta)</w:t>
                  </w:r>
                </w:p>
              </w:tc>
            </w:tr>
            <w:tr>
              <w:tc>
                <w:tcPr/>
                <w:p>
                  <w:pPr>
                    <w:pStyle w:val="Compact"/>
                    <w:jc w:val="center"/>
                  </w:pPr>
                  <w:r>
                    <w:t xml:space="preserve">pesquisa pré-eleitoral; apoio (viabilidade); sem pesquisa; randomizado</w:t>
                  </w:r>
                </w:p>
              </w:tc>
              <w:tc>
                <w:tcPr/>
                <w:p>
                  <w:pPr>
                    <w:pStyle w:val="Compact"/>
                    <w:jc w:val="center"/>
                  </w:pPr>
                  <w:r>
                    <w:t xml:space="preserve">Cornejo (2023)</w:t>
                  </w:r>
                  <w:r>
                    <w:t xml:space="preserve"> </w:t>
                  </w:r>
                  <w:r>
                    <w:t xml:space="preserve">(545)</w:t>
                  </w:r>
                </w:p>
              </w:tc>
              <w:tc>
                <w:tcPr/>
                <w:p>
                  <w:pPr>
                    <w:pStyle w:val="Compact"/>
                    <w:jc w:val="center"/>
                  </w:pPr>
                  <w:r>
                    <w:t xml:space="preserve">1 viabilidade; 0 contra (1,00; 0,03 a 1,00)</w:t>
                  </w:r>
                </w:p>
              </w:tc>
              <w:tc>
                <w:tcPr/>
                <w:p>
                  <w:pPr>
                    <w:pStyle w:val="Compact"/>
                    <w:jc w:val="center"/>
                  </w:pPr>
                  <w:r>
                    <w:t xml:space="preserve">muito baixa</w:t>
                  </w:r>
                </w:p>
              </w:tc>
              <w:tc>
                <w:tcPr/>
                <w:p>
                  <w:pPr>
                    <w:pStyle w:val="Compact"/>
                    <w:jc w:val="center"/>
                  </w:pPr>
                  <w:r>
                    <w:t xml:space="preserve">risco de viés −1; imprecisão −2 (partida alta)</w:t>
                  </w:r>
                </w:p>
              </w:tc>
            </w:tr>
            <w:tr>
              <w:tc>
                <w:tcPr/>
                <w:p>
                  <w:pPr>
                    <w:pStyle w:val="Compact"/>
                    <w:jc w:val="center"/>
                  </w:pPr>
                  <w:r>
                    <w:t xml:space="preserve">pesquisa pré-eleitoral; apoio (</w:t>
                  </w:r>
                  <w:r>
                    <w:rPr>
                      <w:i/>
                      <w:iCs/>
                    </w:rPr>
                    <w:t xml:space="preserve">momentum</w:t>
                  </w:r>
                  <w:r>
                    <w:t xml:space="preserve">); outro; randomizado</w:t>
                  </w:r>
                </w:p>
              </w:tc>
              <w:tc>
                <w:tcPr/>
                <w:p>
                  <w:pPr>
                    <w:pStyle w:val="Compact"/>
                    <w:jc w:val="center"/>
                  </w:pPr>
                  <w:r>
                    <w:t xml:space="preserve">Meer et al. (2015)</w:t>
                  </w:r>
                  <w:r>
                    <w:t xml:space="preserve"> </w:t>
                  </w:r>
                  <w:r>
                    <w:t xml:space="preserve">(10.643)</w:t>
                  </w:r>
                </w:p>
              </w:tc>
              <w:tc>
                <w:tcPr/>
                <w:p>
                  <w:pPr>
                    <w:pStyle w:val="Compact"/>
                    <w:jc w:val="center"/>
                  </w:pPr>
                  <w:r>
                    <w:t xml:space="preserve">1 a favor; 0 contra (1,00; 0,03 a 1,00)</w:t>
                  </w:r>
                </w:p>
              </w:tc>
              <w:tc>
                <w:tcPr/>
                <w:p>
                  <w:pPr>
                    <w:pStyle w:val="Compact"/>
                    <w:jc w:val="center"/>
                  </w:pPr>
                  <w:r>
                    <w:t xml:space="preserve">muito baixa</w:t>
                  </w:r>
                </w:p>
              </w:tc>
              <w:tc>
                <w:tcPr/>
                <w:p>
                  <w:pPr>
                    <w:pStyle w:val="Compact"/>
                    <w:jc w:val="center"/>
                  </w:pPr>
                  <w:r>
                    <w:t xml:space="preserve">indireção −1; imprecisão −2 (partida alta)</w:t>
                  </w:r>
                </w:p>
              </w:tc>
            </w:tr>
            <w:tr>
              <w:tc>
                <w:tcPr/>
                <w:p>
                  <w:pPr>
                    <w:pStyle w:val="Compact"/>
                    <w:jc w:val="center"/>
                  </w:pPr>
                  <w:r>
                    <w:t xml:space="preserve">pesquisa pré-eleitoral; apoio (</w:t>
                  </w:r>
                  <w:r>
                    <w:rPr>
                      <w:i/>
                      <w:iCs/>
                    </w:rPr>
                    <w:t xml:space="preserve">momentum</w:t>
                  </w:r>
                  <w:r>
                    <w:t xml:space="preserve">); outro resultado; não randomizado</w:t>
                  </w:r>
                </w:p>
              </w:tc>
              <w:tc>
                <w:tcPr/>
                <w:p>
                  <w:pPr>
                    <w:pStyle w:val="Compact"/>
                    <w:jc w:val="center"/>
                  </w:pPr>
                  <w:r>
                    <w:t xml:space="preserve">Stolwijk et al. (2016)</w:t>
                  </w:r>
                  <w:r>
                    <w:t xml:space="preserve"> </w:t>
                  </w:r>
                  <w:r>
                    <w:t xml:space="preserve">(6.384)</w:t>
                  </w:r>
                </w:p>
              </w:tc>
              <w:tc>
                <w:tcPr/>
                <w:p>
                  <w:pPr>
                    <w:pStyle w:val="Compact"/>
                    <w:jc w:val="center"/>
                  </w:pPr>
                  <w:r>
                    <w:t xml:space="preserve">1 a favor; 0 contra (1,00; 0,03 a 1,00)</w:t>
                  </w:r>
                </w:p>
              </w:tc>
              <w:tc>
                <w:tcPr/>
                <w:p>
                  <w:pPr>
                    <w:pStyle w:val="Compact"/>
                    <w:jc w:val="center"/>
                  </w:pPr>
                  <w:r>
                    <w:t xml:space="preserve">muito baixa</w:t>
                  </w:r>
                </w:p>
              </w:tc>
              <w:tc>
                <w:tcPr/>
                <w:p>
                  <w:pPr>
                    <w:pStyle w:val="Compact"/>
                    <w:jc w:val="center"/>
                  </w:pPr>
                  <w:r>
                    <w:t xml:space="preserve">risco de viés −2; indireção −1; imprecisão −1 (partida alta)</w:t>
                  </w:r>
                </w:p>
              </w:tc>
            </w:tr>
            <w:tr>
              <w:tc>
                <w:tcPr/>
                <w:p>
                  <w:pPr>
                    <w:pStyle w:val="Compact"/>
                    <w:jc w:val="center"/>
                  </w:pPr>
                  <w:r>
                    <w:t xml:space="preserve">pesquisa pré-eleitoral; apoio (</w:t>
                  </w:r>
                  <w:r>
                    <w:rPr>
                      <w:i/>
                      <w:iCs/>
                    </w:rPr>
                    <w:t xml:space="preserve">momentum</w:t>
                  </w:r>
                  <w:r>
                    <w:t xml:space="preserve">); sem pesquisa; randomizado</w:t>
                  </w:r>
                </w:p>
              </w:tc>
              <w:tc>
                <w:tcPr/>
                <w:p>
                  <w:pPr>
                    <w:pStyle w:val="Compact"/>
                    <w:jc w:val="center"/>
                  </w:pPr>
                  <w:r>
                    <w:t xml:space="preserve">Dahlgaard et al. (2016)</w:t>
                  </w:r>
                  <w:r>
                    <w:t xml:space="preserve"> </w:t>
                  </w:r>
                  <w:r>
                    <w:t xml:space="preserve">(1.700)</w:t>
                  </w:r>
                </w:p>
              </w:tc>
              <w:tc>
                <w:tcPr/>
                <w:p>
                  <w:pPr>
                    <w:pStyle w:val="Compact"/>
                    <w:jc w:val="center"/>
                  </w:pPr>
                  <w:r>
                    <w:t xml:space="preserve">1 a favor; 0 contra (1,00; 0,03 a 1,00)</w:t>
                  </w:r>
                </w:p>
              </w:tc>
              <w:tc>
                <w:tcPr/>
                <w:p>
                  <w:pPr>
                    <w:pStyle w:val="Compact"/>
                    <w:jc w:val="center"/>
                  </w:pPr>
                  <w:r>
                    <w:t xml:space="preserve">muito baixa</w:t>
                  </w:r>
                </w:p>
              </w:tc>
              <w:tc>
                <w:tcPr/>
                <w:p>
                  <w:pPr>
                    <w:pStyle w:val="Compact"/>
                    <w:jc w:val="center"/>
                  </w:pPr>
                  <w:r>
                    <w:t xml:space="preserve">risco de viés −1; indireção −1; imprecisão −2 (partida alta)</w:t>
                  </w:r>
                </w:p>
              </w:tc>
            </w:tr>
            <w:tr>
              <w:tc>
                <w:tcPr/>
                <w:p>
                  <w:pPr>
                    <w:pStyle w:val="Compact"/>
                    <w:jc w:val="center"/>
                  </w:pPr>
                  <w:r>
                    <w:t xml:space="preserve">pesquisa pré-eleitoral; mobilização (mobilização); outro resultado; randomizado</w:t>
                  </w:r>
                </w:p>
              </w:tc>
              <w:tc>
                <w:tcPr/>
                <w:p>
                  <w:pPr>
                    <w:pStyle w:val="Compact"/>
                    <w:jc w:val="center"/>
                  </w:pPr>
                  <w:r>
                    <w:t xml:space="preserve">Gerber et al. (2020)</w:t>
                  </w:r>
                  <w:r>
                    <w:t xml:space="preserve"> </w:t>
                  </w:r>
                  <w:r>
                    <w:t xml:space="preserve">(126.126)</w:t>
                  </w:r>
                </w:p>
              </w:tc>
              <w:tc>
                <w:tcPr/>
                <w:p>
                  <w:pPr>
                    <w:pStyle w:val="Compact"/>
                    <w:jc w:val="center"/>
                  </w:pPr>
                  <w:r>
                    <w:t xml:space="preserve">0 mobilização; 0 desmobilização; 1 nulo</w:t>
                  </w:r>
                </w:p>
              </w:tc>
              <w:tc>
                <w:tcPr/>
                <w:p>
                  <w:pPr>
                    <w:pStyle w:val="Compact"/>
                    <w:jc w:val="center"/>
                  </w:pPr>
                  <w:r>
                    <w:t xml:space="preserve">moderada</w:t>
                  </w:r>
                </w:p>
              </w:tc>
              <w:tc>
                <w:tcPr/>
                <w:p>
                  <w:pPr>
                    <w:pStyle w:val="Compact"/>
                    <w:jc w:val="center"/>
                  </w:pPr>
                  <w:r>
                    <w:t xml:space="preserve">imprecisão −1 (partida alta)</w:t>
                  </w:r>
                </w:p>
              </w:tc>
            </w:tr>
            <w:tr>
              <w:tc>
                <w:tcPr/>
                <w:p>
                  <w:pPr>
                    <w:pStyle w:val="Compact"/>
                    <w:jc w:val="center"/>
                  </w:pPr>
                  <w:r>
                    <w:t xml:space="preserve">pesquisa pré-eleitoral; mobilização (mobilização); sem pesquisa; não randomizado</w:t>
                  </w:r>
                </w:p>
              </w:tc>
              <w:tc>
                <w:tcPr/>
                <w:p>
                  <w:pPr>
                    <w:pStyle w:val="Compact"/>
                    <w:jc w:val="center"/>
                  </w:pPr>
                  <w:r>
                    <w:t xml:space="preserve">Klor e Winter (2017)</w:t>
                  </w:r>
                  <w:r>
                    <w:t xml:space="preserve"> </w:t>
                  </w:r>
                  <w:r>
                    <w:t xml:space="preserve">(84)</w:t>
                  </w:r>
                </w:p>
              </w:tc>
              <w:tc>
                <w:tcPr/>
                <w:p>
                  <w:pPr>
                    <w:pStyle w:val="Compact"/>
                    <w:jc w:val="center"/>
                  </w:pPr>
                  <w:r>
                    <w:t xml:space="preserve">1 mobilização; 0 desmobilização (1,00; 0,03 a 1,00)</w:t>
                  </w:r>
                </w:p>
              </w:tc>
              <w:tc>
                <w:tcPr/>
                <w:p>
                  <w:pPr>
                    <w:pStyle w:val="Compact"/>
                    <w:jc w:val="center"/>
                  </w:pPr>
                  <w:r>
                    <w:t xml:space="preserve">muito baixa</w:t>
                  </w:r>
                </w:p>
              </w:tc>
              <w:tc>
                <w:tcPr/>
                <w:p>
                  <w:pPr>
                    <w:pStyle w:val="Compact"/>
                    <w:jc w:val="center"/>
                  </w:pPr>
                  <w:r>
                    <w:t xml:space="preserve">risco de viés −1; indireção −1; imprecisão −1 (partida alta)</w:t>
                  </w:r>
                </w:p>
              </w:tc>
            </w:tr>
            <w:tr>
              <w:tc>
                <w:tcPr/>
                <w:p>
                  <w:pPr>
                    <w:pStyle w:val="Compact"/>
                    <w:jc w:val="center"/>
                  </w:pPr>
                  <w:r>
                    <w:t xml:space="preserve">pesquisa pré-eleitoral; mobilização (mobilização); sem pesquisa; randomizado</w:t>
                  </w:r>
                </w:p>
              </w:tc>
              <w:tc>
                <w:tcPr/>
                <w:p>
                  <w:pPr>
                    <w:pStyle w:val="Compact"/>
                    <w:jc w:val="center"/>
                  </w:pPr>
                  <w:r>
                    <w:t xml:space="preserve">Agranov et al. (2017)</w:t>
                  </w:r>
                  <w:r>
                    <w:t xml:space="preserve"> </w:t>
                  </w:r>
                  <w:r>
                    <w:t xml:space="preserve">(135);</w:t>
                  </w:r>
                  <w:r>
                    <w:t xml:space="preserve"> </w:t>
                  </w:r>
                  <w:r>
                    <w:t xml:space="preserve">Großer e Schram (2010)</w:t>
                  </w:r>
                  <w:r>
                    <w:t xml:space="preserve"> </w:t>
                  </w:r>
                  <w:r>
                    <w:t xml:space="preserve">(12);</w:t>
                  </w:r>
                  <w:r>
                    <w:t xml:space="preserve"> </w:t>
                  </w:r>
                  <w:r>
                    <w:t xml:space="preserve">Erlich (2023)</w:t>
                  </w:r>
                  <w:r>
                    <w:t xml:space="preserve"> </w:t>
                  </w:r>
                  <w:r>
                    <w:t xml:space="preserve">(181)</w:t>
                  </w:r>
                </w:p>
              </w:tc>
              <w:tc>
                <w:tcPr/>
                <w:p>
                  <w:pPr>
                    <w:pStyle w:val="Compact"/>
                    <w:jc w:val="center"/>
                  </w:pPr>
                  <w:r>
                    <w:t xml:space="preserve">2 mobilização; 1 desmobilização (0,67; 0,09 a 0,99)</w:t>
                  </w:r>
                </w:p>
              </w:tc>
              <w:tc>
                <w:tcPr/>
                <w:p>
                  <w:pPr>
                    <w:pStyle w:val="Compact"/>
                    <w:jc w:val="center"/>
                  </w:pPr>
                  <w:r>
                    <w:t xml:space="preserve">muito baixa</w:t>
                  </w:r>
                </w:p>
              </w:tc>
              <w:tc>
                <w:tcPr/>
                <w:p>
                  <w:pPr>
                    <w:pStyle w:val="Compact"/>
                    <w:jc w:val="center"/>
                  </w:pPr>
                  <w:r>
                    <w:t xml:space="preserve">risco de viés −1; inconsistência −1; indireção −1; imprecisão −1 (partida alta)</w:t>
                  </w:r>
                </w:p>
              </w:tc>
            </w:tr>
            <w:tr>
              <w:tc>
                <w:tcPr/>
                <w:p>
                  <w:pPr>
                    <w:pStyle w:val="Compact"/>
                    <w:jc w:val="center"/>
                  </w:pPr>
                  <w:r>
                    <w:t xml:space="preserve">pesquisa pré-eleitoral; mobilização (mobilização); unidades não expostas; não randomizado</w:t>
                  </w:r>
                </w:p>
              </w:tc>
              <w:tc>
                <w:tcPr/>
                <w:p>
                  <w:pPr>
                    <w:pStyle w:val="Compact"/>
                    <w:jc w:val="center"/>
                  </w:pPr>
                  <w:r>
                    <w:t xml:space="preserve">Stolwijk e Schuck (2019)</w:t>
                  </w:r>
                  <w:r>
                    <w:t xml:space="preserve"> </w:t>
                  </w:r>
                  <w:r>
                    <w:t xml:space="preserve">(747);</w:t>
                  </w:r>
                  <w:r>
                    <w:t xml:space="preserve"> </w:t>
                  </w:r>
                  <w:r>
                    <w:t xml:space="preserve">Brugarolas e Miller (2021)</w:t>
                  </w:r>
                  <w:r>
                    <w:t xml:space="preserve"> </w:t>
                  </w:r>
                  <w:r>
                    <w:t xml:space="preserve">(NR)</w:t>
                  </w:r>
                </w:p>
              </w:tc>
              <w:tc>
                <w:tcPr/>
                <w:p>
                  <w:pPr>
                    <w:pStyle w:val="Compact"/>
                    <w:jc w:val="center"/>
                  </w:pPr>
                  <w:r>
                    <w:t xml:space="preserve">2 mobilização; 0 desmobilização (1,00; 0,16 a 1,00)</w:t>
                  </w:r>
                </w:p>
              </w:tc>
              <w:tc>
                <w:tcPr/>
                <w:p>
                  <w:pPr>
                    <w:pStyle w:val="Compact"/>
                    <w:jc w:val="center"/>
                  </w:pPr>
                  <w:r>
                    <w:t xml:space="preserve">baixa</w:t>
                  </w:r>
                </w:p>
              </w:tc>
              <w:tc>
                <w:tcPr/>
                <w:p>
                  <w:pPr>
                    <w:pStyle w:val="Compact"/>
                    <w:jc w:val="center"/>
                  </w:pPr>
                  <w:r>
                    <w:t xml:space="preserve">risco de viés −1; imprecisão −1 (partida alta)</w:t>
                  </w:r>
                </w:p>
              </w:tc>
            </w:tr>
            <w:tr>
              <w:tc>
                <w:tcPr/>
                <w:p>
                  <w:pPr>
                    <w:pStyle w:val="Compact"/>
                    <w:jc w:val="center"/>
                  </w:pPr>
                  <w:r>
                    <w:t xml:space="preserve">agregador ou projeção; mobilização (mobilização); outro resultado; randomizado</w:t>
                  </w:r>
                </w:p>
              </w:tc>
              <w:tc>
                <w:tcPr/>
                <w:p>
                  <w:pPr>
                    <w:pStyle w:val="Compact"/>
                    <w:jc w:val="center"/>
                  </w:pPr>
                  <w:r>
                    <w:t xml:space="preserve">Westwood et al. (2020)</w:t>
                  </w:r>
                  <w:r>
                    <w:t xml:space="preserve"> </w:t>
                  </w:r>
                  <w:r>
                    <w:t xml:space="preserve">(5.845)</w:t>
                  </w:r>
                </w:p>
              </w:tc>
              <w:tc>
                <w:tcPr/>
                <w:p>
                  <w:pPr>
                    <w:pStyle w:val="Compact"/>
                    <w:jc w:val="center"/>
                  </w:pPr>
                  <w:r>
                    <w:t xml:space="preserve">0 mobilização; 1 desmobilização (0,00; 0,00 a 0,97)</w:t>
                  </w:r>
                </w:p>
              </w:tc>
              <w:tc>
                <w:tcPr/>
                <w:p>
                  <w:pPr>
                    <w:pStyle w:val="Compact"/>
                    <w:jc w:val="center"/>
                  </w:pPr>
                  <w:r>
                    <w:t xml:space="preserve">baixa</w:t>
                  </w:r>
                </w:p>
              </w:tc>
              <w:tc>
                <w:tcPr/>
                <w:p>
                  <w:pPr>
                    <w:pStyle w:val="Compact"/>
                    <w:jc w:val="center"/>
                  </w:pPr>
                  <w:r>
                    <w:t xml:space="preserve">indireção −1; imprecisão −1 (partida alta)</w:t>
                  </w:r>
                </w:p>
              </w:tc>
            </w:tr>
            <w:tr>
              <w:tc>
                <w:tcPr/>
                <w:p>
                  <w:pPr>
                    <w:pStyle w:val="Compact"/>
                    <w:jc w:val="center"/>
                  </w:pPr>
                  <w:r>
                    <w:t xml:space="preserve">boca de urna; apoio (principal); antes e depois da proibição; não randomizado</w:t>
                  </w:r>
                </w:p>
              </w:tc>
              <w:tc>
                <w:tcPr/>
                <w:p>
                  <w:pPr>
                    <w:pStyle w:val="Compact"/>
                    <w:jc w:val="center"/>
                  </w:pPr>
                  <w:r>
                    <w:t xml:space="preserve">Morton et al. (2015)</w:t>
                  </w:r>
                  <w:r>
                    <w:t xml:space="preserve"> </w:t>
                  </w:r>
                  <w:r>
                    <w:t xml:space="preserve">(60);</w:t>
                  </w:r>
                  <w:r>
                    <w:t xml:space="preserve"> </w:t>
                  </w:r>
                  <w:r>
                    <w:t xml:space="preserve">Chatterjee e Kamal (2019)</w:t>
                  </w:r>
                  <w:r>
                    <w:t xml:space="preserve"> </w:t>
                  </w:r>
                  <w:r>
                    <w:t xml:space="preserve">(1.737)</w:t>
                  </w:r>
                </w:p>
              </w:tc>
              <w:tc>
                <w:tcPr/>
                <w:p>
                  <w:pPr>
                    <w:pStyle w:val="Compact"/>
                    <w:jc w:val="center"/>
                  </w:pPr>
                  <w:r>
                    <w:t xml:space="preserve">1</w:t>
                  </w:r>
                  <w:r>
                    <w:t xml:space="preserve"> </w:t>
                  </w:r>
                  <w:r>
                    <w:rPr>
                      <w:i/>
                      <w:iCs/>
                    </w:rPr>
                    <w:t xml:space="preserve">bandwagon</w:t>
                  </w:r>
                  <w:r>
                    <w:t xml:space="preserve">; 1</w:t>
                  </w:r>
                  <w:r>
                    <w:t xml:space="preserve"> </w:t>
                  </w:r>
                  <w:r>
                    <w:rPr>
                      <w:i/>
                      <w:iCs/>
                    </w:rPr>
                    <w:t xml:space="preserve">underdog</w:t>
                  </w:r>
                  <w:r>
                    <w:t xml:space="preserve"> </w:t>
                  </w:r>
                  <w:r>
                    <w:t xml:space="preserve">(0,50; 0,01 a 0,99)</w:t>
                  </w:r>
                </w:p>
              </w:tc>
              <w:tc>
                <w:tcPr/>
                <w:p>
                  <w:pPr>
                    <w:pStyle w:val="Compact"/>
                    <w:jc w:val="center"/>
                  </w:pPr>
                  <w:r>
                    <w:t xml:space="preserve">muito baixa</w:t>
                  </w:r>
                </w:p>
              </w:tc>
              <w:tc>
                <w:tcPr/>
                <w:p>
                  <w:pPr>
                    <w:pStyle w:val="Compact"/>
                    <w:jc w:val="center"/>
                  </w:pPr>
                  <w:r>
                    <w:t xml:space="preserve">risco de viés −1; inconsistência −1; indireção −1; imprecisão −1 (partida baixa)</w:t>
                  </w:r>
                </w:p>
              </w:tc>
            </w:tr>
            <w:tr>
              <w:tc>
                <w:tcPr/>
                <w:p>
                  <w:pPr>
                    <w:pStyle w:val="Compact"/>
                    <w:jc w:val="center"/>
                  </w:pPr>
                  <w:r>
                    <w:t xml:space="preserve">boca de urna; mobilização (mobilização); antes e depois da proibição; não randomizado</w:t>
                  </w:r>
                </w:p>
              </w:tc>
              <w:tc>
                <w:tcPr/>
                <w:p>
                  <w:pPr>
                    <w:pStyle w:val="Compact"/>
                    <w:jc w:val="center"/>
                  </w:pPr>
                  <w:r>
                    <w:t xml:space="preserve">Morton et al. (2015)</w:t>
                  </w:r>
                  <w:r>
                    <w:t xml:space="preserve"> </w:t>
                  </w:r>
                  <w:r>
                    <w:t xml:space="preserve">(1.260);</w:t>
                  </w:r>
                  <w:r>
                    <w:t xml:space="preserve"> </w:t>
                  </w:r>
                  <w:r>
                    <w:t xml:space="preserve">Chatterjee e Kamal (2019)</w:t>
                  </w:r>
                  <w:r>
                    <w:t xml:space="preserve"> </w:t>
                  </w:r>
                  <w:r>
                    <w:t xml:space="preserve">(1.737)</w:t>
                  </w:r>
                </w:p>
              </w:tc>
              <w:tc>
                <w:tcPr/>
                <w:p>
                  <w:pPr>
                    <w:pStyle w:val="Compact"/>
                    <w:jc w:val="center"/>
                  </w:pPr>
                  <w:r>
                    <w:t xml:space="preserve">0 mobilização; 1 desmobilização; 1 misto (0,00; 0,00 a 0,97)</w:t>
                  </w:r>
                </w:p>
              </w:tc>
              <w:tc>
                <w:tcPr/>
                <w:p>
                  <w:pPr>
                    <w:pStyle w:val="Compact"/>
                    <w:jc w:val="center"/>
                  </w:pPr>
                  <w:r>
                    <w:t xml:space="preserve">muito baixa</w:t>
                  </w:r>
                </w:p>
              </w:tc>
              <w:tc>
                <w:tcPr/>
                <w:p>
                  <w:pPr>
                    <w:pStyle w:val="Compact"/>
                    <w:jc w:val="center"/>
                  </w:pPr>
                  <w:r>
                    <w:t xml:space="preserve">risco de viés −1; inconsistência −1; indireção −1; imprecisão −1 (partida baixa)</w:t>
                  </w:r>
                </w:p>
              </w:tc>
            </w:tr>
            <w:tr>
              <w:tc>
                <w:tcPr/>
                <w:p>
                  <w:pPr>
                    <w:pStyle w:val="Compact"/>
                    <w:jc w:val="center"/>
                  </w:pPr>
                  <w:r>
                    <w:t xml:space="preserve">boca de urna; mobilização (mobilização); outro resultado; não randomizado</w:t>
                  </w:r>
                </w:p>
              </w:tc>
              <w:tc>
                <w:tcPr/>
                <w:p>
                  <w:pPr>
                    <w:pStyle w:val="Compact"/>
                    <w:jc w:val="center"/>
                  </w:pPr>
                  <w:r>
                    <w:t xml:space="preserve">Grillo e Raiber (2024)</w:t>
                  </w:r>
                  <w:r>
                    <w:t xml:space="preserve"> </w:t>
                  </w:r>
                  <w:r>
                    <w:t xml:space="preserve">(576)</w:t>
                  </w:r>
                </w:p>
              </w:tc>
              <w:tc>
                <w:tcPr/>
                <w:p>
                  <w:pPr>
                    <w:pStyle w:val="Compact"/>
                    <w:jc w:val="center"/>
                  </w:pPr>
                  <w:r>
                    <w:t xml:space="preserve">0 mobilização; 1 desmobilização (0,00; 0,00 a 0,97)</w:t>
                  </w:r>
                </w:p>
              </w:tc>
              <w:tc>
                <w:tcPr/>
                <w:p>
                  <w:pPr>
                    <w:pStyle w:val="Compact"/>
                    <w:jc w:val="center"/>
                  </w:pPr>
                  <w:r>
                    <w:t xml:space="preserve">muito baixa</w:t>
                  </w:r>
                </w:p>
              </w:tc>
              <w:tc>
                <w:tcPr/>
                <w:p>
                  <w:pPr>
                    <w:pStyle w:val="Compact"/>
                    <w:jc w:val="center"/>
                  </w:pPr>
                  <w:r>
                    <w:t xml:space="preserve">risco de viés −1; indireção −1; imprecisão −2 (partida baixa)</w:t>
                  </w:r>
                </w:p>
              </w:tc>
            </w:tr>
            <w:tr>
              <w:tc>
                <w:tcPr/>
                <w:p>
                  <w:pPr>
                    <w:pStyle w:val="Compact"/>
                    <w:jc w:val="center"/>
                  </w:pPr>
                  <w:r>
                    <w:t xml:space="preserve">outro; apoio (principal); unidades não expostas; não randomizado</w:t>
                  </w:r>
                </w:p>
              </w:tc>
              <w:tc>
                <w:tcPr/>
                <w:p>
                  <w:pPr>
                    <w:pStyle w:val="Compact"/>
                    <w:jc w:val="center"/>
                  </w:pPr>
                  <w:r>
                    <w:t xml:space="preserve">Araujo e Gatto (2021b)</w:t>
                  </w:r>
                  <w:r>
                    <w:t xml:space="preserve"> </w:t>
                  </w:r>
                  <w:r>
                    <w:t xml:space="preserve">(453.016)</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r>
                    <w:t xml:space="preserve"> </w:t>
                  </w:r>
                  <w:r>
                    <w:t xml:space="preserve">(1,00; 0,03 a 1,00)</w:t>
                  </w:r>
                </w:p>
              </w:tc>
              <w:tc>
                <w:tcPr/>
                <w:p>
                  <w:pPr>
                    <w:pStyle w:val="Compact"/>
                    <w:jc w:val="center"/>
                  </w:pPr>
                  <w:r>
                    <w:t xml:space="preserve">muito baixa</w:t>
                  </w:r>
                </w:p>
              </w:tc>
              <w:tc>
                <w:tcPr/>
                <w:p>
                  <w:pPr>
                    <w:pStyle w:val="Compact"/>
                    <w:jc w:val="center"/>
                  </w:pPr>
                  <w:r>
                    <w:t xml:space="preserve">risco de viés −2; indireção −1; imprecisão −1 (partida alta)</w:t>
                  </w:r>
                </w:p>
              </w:tc>
            </w:tr>
            <w:tr>
              <w:tc>
                <w:tcPr/>
                <w:p>
                  <w:pPr>
                    <w:pStyle w:val="Compact"/>
                    <w:jc w:val="center"/>
                  </w:pPr>
                  <w:r>
                    <w:t xml:space="preserve">agrupamento amplo,</w:t>
                  </w:r>
                  <w:r>
                    <w:t xml:space="preserve"> </w:t>
                  </w:r>
                  <w:r>
                    <w:rPr>
                      <w:i/>
                      <w:iCs/>
                    </w:rPr>
                    <w:t xml:space="preserve">post hoc</w:t>
                  </w:r>
                  <w:r>
                    <w:t xml:space="preserve">; apoio (principal); vários; não randomizado</w:t>
                  </w:r>
                </w:p>
              </w:tc>
              <w:tc>
                <w:tcPr/>
                <w:p>
                  <w:pPr>
                    <w:pStyle w:val="Compact"/>
                    <w:jc w:val="center"/>
                  </w:pPr>
                  <w:r>
                    <w:t xml:space="preserve">Morton et al. (2015)</w:t>
                  </w:r>
                  <w:r>
                    <w:t xml:space="preserve">;</w:t>
                  </w:r>
                  <w:r>
                    <w:t xml:space="preserve"> </w:t>
                  </w:r>
                  <w:r>
                    <w:t xml:space="preserve">Araujo e Gatto (2021b)</w:t>
                  </w:r>
                  <w:r>
                    <w:t xml:space="preserve">;</w:t>
                  </w:r>
                  <w:r>
                    <w:t xml:space="preserve"> </w:t>
                  </w:r>
                  <w:r>
                    <w:t xml:space="preserve">Feltovich e Giovannoni (2022)</w:t>
                  </w:r>
                  <w:r>
                    <w:t xml:space="preserve">;</w:t>
                  </w:r>
                  <w:r>
                    <w:t xml:space="preserve"> </w:t>
                  </w:r>
                  <w:r>
                    <w:t xml:space="preserve">Chatterjee e Kamal (2019)</w:t>
                  </w:r>
                </w:p>
              </w:tc>
              <w:tc>
                <w:tcPr/>
                <w:p>
                  <w:pPr>
                    <w:pStyle w:val="Compact"/>
                    <w:jc w:val="center"/>
                  </w:pPr>
                  <w:r>
                    <w:t xml:space="preserve">3</w:t>
                  </w:r>
                  <w:r>
                    <w:t xml:space="preserve"> </w:t>
                  </w:r>
                  <w:r>
                    <w:rPr>
                      <w:i/>
                      <w:iCs/>
                    </w:rPr>
                    <w:t xml:space="preserve">bandwagon</w:t>
                  </w:r>
                  <w:r>
                    <w:t xml:space="preserve">; 1</w:t>
                  </w:r>
                  <w:r>
                    <w:t xml:space="preserve"> </w:t>
                  </w:r>
                  <w:r>
                    <w:rPr>
                      <w:i/>
                      <w:iCs/>
                    </w:rPr>
                    <w:t xml:space="preserve">underdog</w:t>
                  </w:r>
                  <w:r>
                    <w:t xml:space="preserve"> </w:t>
                  </w:r>
                  <w:r>
                    <w:t xml:space="preserve">(0,75; 0,19 a 0,99)</w:t>
                  </w:r>
                </w:p>
              </w:tc>
              <w:tc>
                <w:tcPr/>
                <w:p>
                  <w:pPr>
                    <w:pStyle w:val="Compact"/>
                    <w:jc w:val="center"/>
                  </w:pPr>
                  <w:r>
                    <w:t xml:space="preserve">muito baixa</w:t>
                  </w:r>
                </w:p>
              </w:tc>
              <w:tc>
                <w:tcPr/>
                <w:p>
                  <w:pPr>
                    <w:pStyle w:val="Compact"/>
                    <w:jc w:val="center"/>
                  </w:pPr>
                  <w:r>
                    <w:t xml:space="preserve">risco de viés −1; inconsistência −1; indireção −1; imprecisão −1 (partida baixa)</w:t>
                  </w:r>
                </w:p>
              </w:tc>
            </w:tr>
            <w:tr>
              <w:tc>
                <w:tcPr/>
                <w:p>
                  <w:pPr>
                    <w:pStyle w:val="Compact"/>
                    <w:jc w:val="center"/>
                  </w:pPr>
                  <w:r>
                    <w:t xml:space="preserve">agrupamento amplo,</w:t>
                  </w:r>
                  <w:r>
                    <w:t xml:space="preserve"> </w:t>
                  </w:r>
                  <w:r>
                    <w:rPr>
                      <w:i/>
                      <w:iCs/>
                    </w:rPr>
                    <w:t xml:space="preserve">post hoc</w:t>
                  </w:r>
                  <w:r>
                    <w:t xml:space="preserve">; apoio (principal); vários; 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r>
                    <w:t xml:space="preserve">;</w:t>
                  </w:r>
                  <w:r>
                    <w:t xml:space="preserve"> </w:t>
                  </w:r>
                  <w:r>
                    <w:t xml:space="preserve">Tyszler e Schram (2015)</w:t>
                  </w:r>
                </w:p>
              </w:tc>
              <w:tc>
                <w:tcPr/>
                <w:p>
                  <w:pPr>
                    <w:pStyle w:val="Compact"/>
                    <w:jc w:val="center"/>
                  </w:pPr>
                  <w:r>
                    <w:t xml:space="preserve">9</w:t>
                  </w:r>
                  <w:r>
                    <w:t xml:space="preserve"> </w:t>
                  </w:r>
                  <w:r>
                    <w:rPr>
                      <w:i/>
                      <w:iCs/>
                    </w:rPr>
                    <w:t xml:space="preserve">bandwagon</w:t>
                  </w:r>
                  <w:r>
                    <w:t xml:space="preserve">; 0</w:t>
                  </w:r>
                  <w:r>
                    <w:t xml:space="preserve"> </w:t>
                  </w:r>
                  <w:r>
                    <w:rPr>
                      <w:i/>
                      <w:iCs/>
                    </w:rPr>
                    <w:t xml:space="preserve">underdog</w:t>
                  </w:r>
                  <w:r>
                    <w:t xml:space="preserve"> </w:t>
                  </w:r>
                  <w:r>
                    <w:t xml:space="preserve">(1,00; 0,66 a 1,00)</w:t>
                  </w:r>
                </w:p>
              </w:tc>
              <w:tc>
                <w:tcPr/>
                <w:p>
                  <w:pPr>
                    <w:pStyle w:val="Compact"/>
                    <w:jc w:val="center"/>
                  </w:pPr>
                  <w:r>
                    <w:t xml:space="preserve">muito baixa</w:t>
                  </w:r>
                </w:p>
              </w:tc>
              <w:tc>
                <w:tcPr/>
                <w:p>
                  <w:pPr>
                    <w:pStyle w:val="Compact"/>
                    <w:jc w:val="center"/>
                  </w:pPr>
                  <w:r>
                    <w:t xml:space="preserve">risco de viés −1; indireção −1; viés de publicação −1 (partida alta)</w:t>
                  </w:r>
                </w:p>
              </w:tc>
            </w:tr>
            <w:tr>
              <w:tc>
                <w:tcPr/>
                <w:p>
                  <w:pPr>
                    <w:pStyle w:val="Compact"/>
                    <w:jc w:val="center"/>
                  </w:pPr>
                  <w:r>
                    <w:t xml:space="preserve">agrupamento amplo,</w:t>
                  </w:r>
                  <w:r>
                    <w:t xml:space="preserve"> </w:t>
                  </w:r>
                  <w:r>
                    <w:rPr>
                      <w:i/>
                      <w:iCs/>
                    </w:rPr>
                    <w:t xml:space="preserve">post hoc</w:t>
                  </w:r>
                  <w:r>
                    <w:t xml:space="preserve">; apoio (viabilidade); vários; 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 (1,00; 0,16 a 1,00)</w:t>
                  </w:r>
                </w:p>
              </w:tc>
              <w:tc>
                <w:tcPr/>
                <w:p>
                  <w:pPr>
                    <w:pStyle w:val="Compact"/>
                    <w:jc w:val="center"/>
                  </w:pPr>
                  <w:r>
                    <w:t xml:space="preserve">muito baixa</w:t>
                  </w:r>
                </w:p>
              </w:tc>
              <w:tc>
                <w:tcPr/>
                <w:p>
                  <w:pPr>
                    <w:pStyle w:val="Compact"/>
                    <w:jc w:val="center"/>
                  </w:pPr>
                  <w:r>
                    <w:t xml:space="preserve">risco de viés −1; inconsistência −1; indireção −1; imprecisão −1 (partida alta)</w:t>
                  </w:r>
                </w:p>
              </w:tc>
            </w:tr>
            <w:tr>
              <w:tc>
                <w:tcPr/>
                <w:p>
                  <w:pPr>
                    <w:pStyle w:val="Compact"/>
                    <w:jc w:val="center"/>
                  </w:pPr>
                  <w:r>
                    <w:t xml:space="preserve">agrupamento amplo,</w:t>
                  </w:r>
                  <w:r>
                    <w:t xml:space="preserve"> </w:t>
                  </w:r>
                  <w:r>
                    <w:rPr>
                      <w:i/>
                      <w:iCs/>
                    </w:rPr>
                    <w:t xml:space="preserve">post hoc</w:t>
                  </w:r>
                  <w:r>
                    <w:t xml:space="preserve">; apoio (</w:t>
                  </w:r>
                  <w:r>
                    <w:rPr>
                      <w:i/>
                      <w:iCs/>
                    </w:rPr>
                    <w:t xml:space="preserve">momentum</w:t>
                  </w:r>
                  <w:r>
                    <w:t xml:space="preserve">); vários; não randomizado</w:t>
                  </w:r>
                </w:p>
              </w:tc>
              <w:tc>
                <w:tcPr/>
                <w:p>
                  <w:pPr>
                    <w:pStyle w:val="Compact"/>
                    <w:jc w:val="center"/>
                  </w:pPr>
                  <w:r>
                    <w:t xml:space="preserve">Stolwijk et al. (2016)</w:t>
                  </w:r>
                </w:p>
              </w:tc>
              <w:tc>
                <w:tcPr/>
                <w:p>
                  <w:pPr>
                    <w:pStyle w:val="Compact"/>
                    <w:jc w:val="center"/>
                  </w:pPr>
                  <w:r>
                    <w:t xml:space="preserve">1 a favor; 0 contra (1,00; 0,03 a 1,00)</w:t>
                  </w:r>
                </w:p>
              </w:tc>
              <w:tc>
                <w:tcPr/>
                <w:p>
                  <w:pPr>
                    <w:pStyle w:val="Compact"/>
                    <w:jc w:val="center"/>
                  </w:pPr>
                  <w:r>
                    <w:t xml:space="preserve">muito baixa</w:t>
                  </w:r>
                </w:p>
              </w:tc>
              <w:tc>
                <w:tcPr/>
                <w:p>
                  <w:pPr>
                    <w:pStyle w:val="Compact"/>
                    <w:jc w:val="center"/>
                  </w:pPr>
                  <w:r>
                    <w:t xml:space="preserve">risco de viés −2; indireção −1; imprecisão −1 (partida alta)</w:t>
                  </w:r>
                </w:p>
              </w:tc>
            </w:tr>
            <w:tr>
              <w:tc>
                <w:tcPr/>
                <w:p>
                  <w:pPr>
                    <w:pStyle w:val="Compact"/>
                    <w:jc w:val="center"/>
                  </w:pPr>
                  <w:r>
                    <w:t xml:space="preserve">agrupamento amplo,</w:t>
                  </w:r>
                  <w:r>
                    <w:t xml:space="preserve"> </w:t>
                  </w:r>
                  <w:r>
                    <w:rPr>
                      <w:i/>
                      <w:iCs/>
                    </w:rPr>
                    <w:t xml:space="preserve">post hoc</w:t>
                  </w:r>
                  <w:r>
                    <w:t xml:space="preserve">; apoio (</w:t>
                  </w:r>
                  <w:r>
                    <w:rPr>
                      <w:i/>
                      <w:iCs/>
                    </w:rPr>
                    <w:t xml:space="preserve">momentum</w:t>
                  </w:r>
                  <w:r>
                    <w:t xml:space="preserve">); vários; 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 (1,00; 0,16 a 1,00)</w:t>
                  </w:r>
                </w:p>
              </w:tc>
              <w:tc>
                <w:tcPr/>
                <w:p>
                  <w:pPr>
                    <w:pStyle w:val="Compact"/>
                    <w:jc w:val="center"/>
                  </w:pPr>
                  <w:r>
                    <w:t xml:space="preserve">muito baixa</w:t>
                  </w:r>
                </w:p>
              </w:tc>
              <w:tc>
                <w:tcPr/>
                <w:p>
                  <w:pPr>
                    <w:pStyle w:val="Compact"/>
                    <w:jc w:val="center"/>
                  </w:pPr>
                  <w:r>
                    <w:t xml:space="preserve">risco de viés −1; indireção −1; imprecisão −1 (partida alta)</w:t>
                  </w:r>
                </w:p>
              </w:tc>
            </w:tr>
            <w:tr>
              <w:tc>
                <w:tcPr/>
                <w:p>
                  <w:pPr>
                    <w:pStyle w:val="Compact"/>
                    <w:jc w:val="center"/>
                  </w:pPr>
                  <w:r>
                    <w:t xml:space="preserve">agrupamento amplo,</w:t>
                  </w:r>
                  <w:r>
                    <w:t xml:space="preserve"> </w:t>
                  </w:r>
                  <w:r>
                    <w:rPr>
                      <w:i/>
                      <w:iCs/>
                    </w:rPr>
                    <w:t xml:space="preserve">post hoc</w:t>
                  </w:r>
                  <w:r>
                    <w:t xml:space="preserve">; mobilização (mobilização); vários; não randomizado</w:t>
                  </w:r>
                </w:p>
              </w:tc>
              <w:tc>
                <w:tcPr/>
                <w:p>
                  <w:pPr>
                    <w:pStyle w:val="Compact"/>
                    <w:jc w:val="center"/>
                  </w:pPr>
                  <w:r>
                    <w:t xml:space="preserve">Klor e Winter (2017)</w:t>
                  </w:r>
                  <w:r>
                    <w:t xml:space="preserve">;</w:t>
                  </w:r>
                  <w:r>
                    <w:t xml:space="preserve"> </w:t>
                  </w: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Grillo e Raiber (2024)</w:t>
                  </w:r>
                  <w:r>
                    <w:t xml:space="preserve">;</w:t>
                  </w:r>
                  <w:r>
                    <w:t xml:space="preserve"> </w:t>
                  </w:r>
                  <w:r>
                    <w:t xml:space="preserve">Chatterjee e Kamal (2019)</w:t>
                  </w:r>
                </w:p>
              </w:tc>
              <w:tc>
                <w:tcPr/>
                <w:p>
                  <w:pPr>
                    <w:pStyle w:val="Compact"/>
                    <w:jc w:val="center"/>
                  </w:pPr>
                  <w:r>
                    <w:t xml:space="preserve">3 mobilização; 2 desmobilização; 1 misto (0,60; 0,15 a 0,95)</w:t>
                  </w:r>
                </w:p>
              </w:tc>
              <w:tc>
                <w:tcPr/>
                <w:p>
                  <w:pPr>
                    <w:pStyle w:val="Compact"/>
                    <w:jc w:val="center"/>
                  </w:pPr>
                  <w:r>
                    <w:t xml:space="preserve">muito baixa</w:t>
                  </w:r>
                </w:p>
              </w:tc>
              <w:tc>
                <w:tcPr/>
                <w:p>
                  <w:pPr>
                    <w:pStyle w:val="Compact"/>
                    <w:jc w:val="center"/>
                  </w:pPr>
                  <w:r>
                    <w:t xml:space="preserve">risco de viés −1; inconsistência −1; indireção −1; imprecisão −1 (partida baixa)</w:t>
                  </w:r>
                </w:p>
              </w:tc>
            </w:tr>
            <w:tr>
              <w:tc>
                <w:tcPr/>
                <w:p>
                  <w:pPr>
                    <w:pStyle w:val="Compact"/>
                    <w:jc w:val="center"/>
                  </w:pPr>
                  <w:r>
                    <w:t xml:space="preserve">agrupamento amplo,</w:t>
                  </w:r>
                  <w:r>
                    <w:t xml:space="preserve"> </w:t>
                  </w:r>
                  <w:r>
                    <w:rPr>
                      <w:i/>
                      <w:iCs/>
                    </w:rPr>
                    <w:t xml:space="preserve">post hoc</w:t>
                  </w:r>
                  <w:r>
                    <w:t xml:space="preserve">; mobilização (mobilização); vários; 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2 desmobilização; 1 nulo (0,50; 0,07 a 0,93)</w:t>
                  </w:r>
                </w:p>
              </w:tc>
              <w:tc>
                <w:tcPr/>
                <w:p>
                  <w:pPr>
                    <w:pStyle w:val="Compact"/>
                    <w:jc w:val="center"/>
                  </w:pPr>
                  <w:r>
                    <w:t xml:space="preserve">muito baixa</w:t>
                  </w:r>
                </w:p>
              </w:tc>
              <w:tc>
                <w:tcPr/>
                <w:p>
                  <w:pPr>
                    <w:pStyle w:val="Compact"/>
                    <w:jc w:val="center"/>
                  </w:pPr>
                  <w:r>
                    <w:t xml:space="preserve">risco de viés −1; inconsistência −1; indireção −1; imprecisão −1 (partida alta)</w:t>
                  </w:r>
                </w:p>
              </w:tc>
            </w:tr>
          </w:tbl>
          <w:bookmarkEnd w:id="63"/>
          <w:p/>
        </w:tc>
      </w:tr>
    </w:tbl>
    <w:bookmarkEnd w:id="64"/>
    <w:bookmarkEnd w:id="65"/>
    <w:bookmarkStart w:id="70" w:name="discussão"/>
    <w:p>
      <w:pPr>
        <w:pStyle w:val="Heading1"/>
      </w:pPr>
      <w:r>
        <w:t xml:space="preserve">Discussão</w:t>
      </w:r>
    </w:p>
    <w:bookmarkStart w:id="66" w:name="interpretação-23a"/>
    <w:p>
      <w:pPr>
        <w:pStyle w:val="Heading2"/>
      </w:pPr>
      <w:r>
        <w:t xml:space="preserve">Interpretação (23a)</w:t>
      </w:r>
    </w:p>
    <w:p>
      <w:pPr>
        <w:pStyle w:val="FirstParagraph"/>
      </w:pPr>
      <w:r>
        <w:t xml:space="preserve">A evidência publicada desde 2010 que esta revisão reuniu não permite estimar a magnitude do efeito da exposição a pesquisas sobre o voto. A síntese principal é só por direção, e as duas meta-análises exploratórias, com três estudos cada e comparabilidade limitada, têm estimativa positiva (g = 0,48 e 0,62), IC que cruza zero e inferência robusta não confiável. Nas células do protocolo, a direção dominante nos experimentos é</w:t>
      </w:r>
      <w:r>
        <w:t xml:space="preserve"> </w:t>
      </w:r>
      <w:r>
        <w:rPr>
          <w:i/>
          <w:iCs/>
        </w:rPr>
        <w:t xml:space="preserve">bandwagon</w:t>
      </w:r>
      <w:r>
        <w:t xml:space="preserve">: as duas células mais povoadas têm 4 de 4 experimentos nessa direção. Cada célula, porém, tem de 1 a 4 estudos, e a certeza sobre a direção é muito baixa em todas as células de apoio ao líder. No agrupamento amplo, feito depois de ver os dados, a regularidade da direção (9 de 9 experimentos) se mantém nas sensibilidades (8 de 8 sem dados anteriores a 2010; 10 de 11 com os efeitos fora da contagem). Ela repousa quase só em laboratório e vinheta hipotética, e sua certeza, também muito baixa no rascunho, depende da decisão humana sobre o viés de publicação.</w:t>
      </w:r>
    </w:p>
    <w:p>
      <w:pPr>
        <w:pStyle w:val="BodyText"/>
      </w:pPr>
      <w:r>
        <w:t xml:space="preserve">No comparecimento, o quadro é misto. Estudos não randomizados de pesquisas em eleições reais apontam para mobilização (certeza baixa). O maior experimento de campo indica que pesquisas apertadas, frente a folgadas, provavelmente não mudam o comparecimento além de 2 pontos percentuais (certeza moderada). Um jogo online com projeções aponta para desmobilização (certeza baixa), e a boca de urna também (certeza muito baixa). Essa diferença entre formatos foi notada depois de ver os dados e não foi testada.</w:t>
      </w:r>
    </w:p>
    <w:p>
      <w:pPr>
        <w:pStyle w:val="BodyText"/>
      </w:pPr>
      <w:r>
        <w:t xml:space="preserve">Frente às sínteses anteriores, a comparação é limitada.</w:t>
      </w:r>
      <w:r>
        <w:t xml:space="preserve"> </w:t>
      </w:r>
      <w:r>
        <w:t xml:space="preserve">Hardmeier (2008)</w:t>
      </w:r>
      <w:r>
        <w:t xml:space="preserve"> </w:t>
      </w:r>
      <w:r>
        <w:t xml:space="preserve">fez uma meta-análise cujos números e período não foram verificados nesta revisão (capítulo sem texto aberto);</w:t>
      </w:r>
      <w:r>
        <w:t xml:space="preserve"> </w:t>
      </w:r>
      <w:r>
        <w:t xml:space="preserve">Moy e Rinke (2012)</w:t>
      </w:r>
      <w:r>
        <w:t xml:space="preserve"> </w:t>
      </w:r>
      <w:r>
        <w:t xml:space="preserve">e</w:t>
      </w:r>
      <w:r>
        <w:t xml:space="preserve"> </w:t>
      </w:r>
      <w:r>
        <w:t xml:space="preserve">Barnfield (2019)</w:t>
      </w:r>
      <w:r>
        <w:t xml:space="preserve"> </w:t>
      </w:r>
      <w:r>
        <w:t xml:space="preserve">não sintetizaram efeitos com protocolo. Esta revisão não confirma nem refuta uma estimativa agregada anterior: acrescenta um inventário da evidência causal desde 2010, com risco de viés e certeza por célula, e mostra que ela é dispersa entre formatos, comparadores e desenhos.</w:t>
      </w:r>
    </w:p>
    <w:bookmarkEnd w:id="66"/>
    <w:bookmarkStart w:id="67" w:name="limitações-da-evidência-23b"/>
    <w:p>
      <w:pPr>
        <w:pStyle w:val="Heading2"/>
      </w:pPr>
      <w:r>
        <w:t xml:space="preserve">Limitações da evidência (23b)</w:t>
      </w:r>
    </w:p>
    <w:p>
      <w:pPr>
        <w:pStyle w:val="Compact"/>
        <w:numPr>
          <w:ilvl w:val="0"/>
          <w:numId w:val="1010"/>
        </w:numPr>
      </w:pPr>
      <w:r>
        <w:rPr>
          <w:b/>
          <w:bCs/>
        </w:rPr>
        <w:t xml:space="preserve">Dependência de laboratório e de vinheta hipotética.</w:t>
      </w:r>
      <w:r>
        <w:t xml:space="preserve"> </w:t>
      </w:r>
      <w:r>
        <w:t xml:space="preserve">Dos 9 experimentos de apoio ao líder do agrupamento amplo, 8 usaram laboratório com preferências induzidas ou vinheta hipotética. Na sensibilidade só com contexto real, a célula ampla de randomizados fica com 1 estudo (</w:t>
      </w:r>
      <w:r>
        <w:t xml:space="preserve">Farjam (2020)</w:t>
      </w:r>
      <w:r>
        <w:t xml:space="preserve">), e a mobilização randomizada fica com 1 estudo em desmobilização e 1 nulo.</w:t>
      </w:r>
    </w:p>
    <w:p>
      <w:pPr>
        <w:pStyle w:val="Compact"/>
        <w:numPr>
          <w:ilvl w:val="0"/>
          <w:numId w:val="1010"/>
        </w:numPr>
      </w:pPr>
      <w:r>
        <w:rPr>
          <w:b/>
          <w:bCs/>
        </w:rPr>
        <w:t xml:space="preserve">Poucos estudos por célula.</w:t>
      </w:r>
      <w:r>
        <w:t xml:space="preserve"> </w:t>
      </w:r>
      <w:r>
        <w:t xml:space="preserve">Cada célula do protocolo tem de 1 a 4 estudos, abaixo do necessário para teste de sinal com poder, para análise de moderadores e para avaliar viés de publicação.</w:t>
      </w:r>
    </w:p>
    <w:p>
      <w:pPr>
        <w:pStyle w:val="Compact"/>
        <w:numPr>
          <w:ilvl w:val="0"/>
          <w:numId w:val="1010"/>
        </w:numPr>
      </w:pPr>
      <w:r>
        <w:rPr>
          <w:b/>
          <w:bCs/>
        </w:rPr>
        <w:t xml:space="preserve">Imprecisão.</w:t>
      </w:r>
      <w:r>
        <w:t xml:space="preserve"> </w:t>
      </w:r>
      <w:r>
        <w:t xml:space="preserve">Os IC 95% das proporções de direção são largos em todas as células; nas células de 1 estudo, vão de 0,03 a 1,00 ou de 0,00 a 0,97.</w:t>
      </w:r>
    </w:p>
    <w:p>
      <w:pPr>
        <w:pStyle w:val="Compact"/>
        <w:numPr>
          <w:ilvl w:val="0"/>
          <w:numId w:val="1010"/>
        </w:numPr>
      </w:pPr>
      <w:r>
        <w:rPr>
          <w:b/>
          <w:bCs/>
        </w:rPr>
        <w:t xml:space="preserve">Dados lidos de figura e medidas indiretas.</w:t>
      </w:r>
      <w:r>
        <w:t xml:space="preserve"> </w:t>
      </w:r>
      <w:r>
        <w:t xml:space="preserve">Tyszler e Schram (2015)</w:t>
      </w:r>
      <w:r>
        <w:t xml:space="preserve"> </w:t>
      </w:r>
      <w:r>
        <w:t xml:space="preserve">tem os dois efeitos principais lidos de figura (a E02 pelas coordenadas vetoriais da figura);</w:t>
      </w:r>
      <w:r>
        <w:t xml:space="preserve"> </w:t>
      </w:r>
      <w:r>
        <w:t xml:space="preserve">Brugarolas e Miller (2021)</w:t>
      </w:r>
      <w:r>
        <w:t xml:space="preserve"> </w:t>
      </w:r>
      <w:r>
        <w:t xml:space="preserve">tem a proporção de referência lida de figura;</w:t>
      </w:r>
      <w:r>
        <w:t xml:space="preserve"> </w:t>
      </w:r>
      <w:r>
        <w:t xml:space="preserve">Agranov et al. (2017)</w:t>
      </w:r>
      <w:r>
        <w:t xml:space="preserve"> </w:t>
      </w:r>
      <w:r>
        <w:t xml:space="preserve">e</w:t>
      </w:r>
      <w:r>
        <w:t xml:space="preserve"> </w:t>
      </w:r>
      <w:r>
        <w:t xml:space="preserve">Tyszler e Schram (2015)</w:t>
      </w:r>
      <w:r>
        <w:t xml:space="preserve"> </w:t>
      </w:r>
      <w:r>
        <w:t xml:space="preserve">medem quem vence a eleição do grupo, não o apoio individual; vários estudos só têm direção (sinal tirado de pontos percentuais, p1 − p0 ou ln(OR)). Em</w:t>
      </w:r>
      <w:r>
        <w:t xml:space="preserve"> </w:t>
      </w:r>
      <w:r>
        <w:t xml:space="preserve">Kaplan (2019)</w:t>
      </w:r>
      <w:r>
        <w:t xml:space="preserve">, o efeito é um valor derivado; em</w:t>
      </w:r>
      <w:r>
        <w:t xml:space="preserve"> </w:t>
      </w:r>
      <w:r>
        <w:t xml:space="preserve">Lammers et al. (2022)</w:t>
      </w:r>
      <w:r>
        <w:t xml:space="preserve"> </w:t>
      </w:r>
      <w:r>
        <w:t xml:space="preserve">e</w:t>
      </w:r>
      <w:r>
        <w:t xml:space="preserve"> </w:t>
      </w:r>
      <w:r>
        <w:t xml:space="preserve">Meffert e Gschwend (2011)</w:t>
      </w:r>
      <w:r>
        <w:t xml:space="preserve">, o n por célula foi derivado.</w:t>
      </w:r>
    </w:p>
    <w:p>
      <w:pPr>
        <w:pStyle w:val="Compact"/>
        <w:numPr>
          <w:ilvl w:val="0"/>
          <w:numId w:val="1010"/>
        </w:numPr>
      </w:pPr>
      <w:r>
        <w:rPr>
          <w:b/>
          <w:bCs/>
        </w:rPr>
        <w:t xml:space="preserve">Ausência de meta-análise principal.</w:t>
      </w:r>
      <w:r>
        <w:t xml:space="preserve"> </w:t>
      </w:r>
      <w:r>
        <w:t xml:space="preserve">Sem estimativa agregada principal, a revisão não diz o tamanho do efeito, e a certeza qualifica só a direção. As duas metas exploratórias misturam medidas de desfecho diferentes, têm menos de 4 graus de liberdade e dependem de um estudo cada no</w:t>
      </w:r>
      <w:r>
        <w:t xml:space="preserve"> </w:t>
      </w:r>
      <w:r>
        <w:rPr>
          <w:i/>
          <w:iCs/>
        </w:rPr>
        <w:t xml:space="preserve">leave-one-out</w:t>
      </w:r>
      <w:r>
        <w:t xml:space="preserve"> </w:t>
      </w:r>
      <w:r>
        <w:t xml:space="preserve">(</w:t>
      </w:r>
      <w:r>
        <w:t xml:space="preserve">Timotei (2013)</w:t>
      </w:r>
      <w:r>
        <w:t xml:space="preserve"> </w:t>
      </w:r>
      <w:r>
        <w:t xml:space="preserve">e</w:t>
      </w:r>
      <w:r>
        <w:t xml:space="preserve"> </w:t>
      </w:r>
      <w:r>
        <w:t xml:space="preserve">Lammers et al. (2022)</w:t>
      </w:r>
      <w:r>
        <w:t xml:space="preserve">).</w:t>
      </w:r>
    </w:p>
    <w:p>
      <w:pPr>
        <w:pStyle w:val="Compact"/>
        <w:numPr>
          <w:ilvl w:val="0"/>
          <w:numId w:val="1010"/>
        </w:numPr>
      </w:pPr>
      <w:r>
        <w:rPr>
          <w:b/>
          <w:bCs/>
        </w:rPr>
        <w:t xml:space="preserve">Risco de viés.</w:t>
      </w:r>
      <w:r>
        <w:t xml:space="preserve"> </w:t>
      </w:r>
      <w:r>
        <w:t xml:space="preserve">Nenhum resultado randomizado ficou em risco baixo; os 4 experimentos da célula mesmo candidato atrás estão em risco alto; nos não randomizados, o confundimento foi grave ou crítico na maioria, e três estudos ficaram fora por risco crítico.</w:t>
      </w:r>
    </w:p>
    <w:p>
      <w:pPr>
        <w:pStyle w:val="Compact"/>
        <w:numPr>
          <w:ilvl w:val="0"/>
          <w:numId w:val="1010"/>
        </w:numPr>
      </w:pPr>
      <w:r>
        <w:rPr>
          <w:b/>
          <w:bCs/>
        </w:rPr>
        <w:t xml:space="preserve">Estimandos e contrastes heterogêneos.</w:t>
      </w:r>
      <w:r>
        <w:t xml:space="preserve"> </w:t>
      </w:r>
      <w:r>
        <w:t xml:space="preserve">Os estudos comparam exposição com não exposição, resultados diferentes, o mesmo candidato em outra posição, antes e depois de proibições e unidades expostas e não expostas, com estimandos ATE, ITT, LATE, ATT e de associação; e 7 estudos só têm efeitos fora da contagem.</w:t>
      </w:r>
    </w:p>
    <w:p>
      <w:pPr>
        <w:pStyle w:val="Compact"/>
        <w:numPr>
          <w:ilvl w:val="0"/>
          <w:numId w:val="1010"/>
        </w:numPr>
      </w:pPr>
      <w:r>
        <w:rPr>
          <w:b/>
          <w:bCs/>
        </w:rPr>
        <w:t xml:space="preserve">Dados anteriores a 2010.</w:t>
      </w:r>
      <w:r>
        <w:t xml:space="preserve"> </w:t>
      </w:r>
      <w:r>
        <w:t xml:space="preserve">Alguns estudos publicados depois de 2010 usam eleições ou coletas anteriores (</w:t>
      </w:r>
      <w:r>
        <w:t xml:space="preserve">Morton et al. (2015)</w:t>
      </w:r>
      <w:r>
        <w:t xml:space="preserve">,</w:t>
      </w:r>
      <w:r>
        <w:t xml:space="preserve"> </w:t>
      </w:r>
      <w:r>
        <w:t xml:space="preserve">Chatterjee e Kamal (2019)</w:t>
      </w:r>
      <w:r>
        <w:t xml:space="preserve">,</w:t>
      </w:r>
      <w:r>
        <w:t xml:space="preserve"> </w:t>
      </w:r>
      <w:r>
        <w:t xml:space="preserve">Tyszler e Schram (2015)</w:t>
      </w:r>
      <w:r>
        <w:t xml:space="preserve">,</w:t>
      </w:r>
      <w:r>
        <w:t xml:space="preserve"> </w:t>
      </w:r>
      <w:r>
        <w:t xml:space="preserve">Klor e Winter (2017)</w:t>
      </w:r>
      <w:r>
        <w:t xml:space="preserve">); a sensibilidade sem eles não muda a direção dominante nos experimentos, mas a regra de ano em experimentos de laboratório está inconsistente.</w:t>
      </w:r>
    </w:p>
    <w:bookmarkEnd w:id="67"/>
    <w:bookmarkStart w:id="68" w:name="limitações-do-processo-da-revisão-23c"/>
    <w:p>
      <w:pPr>
        <w:pStyle w:val="Heading2"/>
      </w:pPr>
      <w:r>
        <w:t xml:space="preserve">Limitações do processo da revisão (23c)</w:t>
      </w:r>
    </w:p>
    <w:p>
      <w:pPr>
        <w:pStyle w:val="Compact"/>
        <w:numPr>
          <w:ilvl w:val="0"/>
          <w:numId w:val="1011"/>
        </w:numPr>
      </w:pPr>
      <w:r>
        <w:rPr>
          <w:b/>
          <w:bCs/>
        </w:rPr>
        <w:t xml:space="preserve">Fontes restritas (atalho A1).</w:t>
      </w:r>
      <w:r>
        <w:t xml:space="preserve"> </w:t>
      </w:r>
      <w:r>
        <w:t xml:space="preserve">Só OpenAlex, BDTD e bola de neve pelo OpenAlex, sem WoS, Scopus, SciELO nem literatura cinzenta por sites. As estratégias em português e espanhol e a BDTD ficaram sem validação de recall.</w:t>
      </w:r>
    </w:p>
    <w:p>
      <w:pPr>
        <w:pStyle w:val="Compact"/>
        <w:numPr>
          <w:ilvl w:val="0"/>
          <w:numId w:val="1011"/>
        </w:numPr>
      </w:pPr>
      <w:r>
        <w:rPr>
          <w:b/>
          <w:bCs/>
        </w:rPr>
        <w:t xml:space="preserve">IA sem validação humana (atalho A2).</w:t>
      </w:r>
      <w:r>
        <w:t xml:space="preserve"> </w:t>
      </w:r>
      <w:r>
        <w:t xml:space="preserve">Triagem, elegibilidade, extração, risco de viés e certeza foram feitas por subagentes de IA, sem validação humana. O recall da triagem não foi calculado (amostras de validação e de elusão não codificadas), as 81 divergências da triagem não foram resolvidas, as 165 decisões de elegibilidade propostas não foram conferidas por humano, os 560 efeitos não foram verificados na página do PDF, nenhum julgamento de risco de viés foi validado e o GRADE é rascunho. A concordância entre agentes mede consistência, não acurácia. A lista completa das 18 pendências abertas está no apêndice.</w:t>
      </w:r>
    </w:p>
    <w:p>
      <w:pPr>
        <w:pStyle w:val="Compact"/>
        <w:numPr>
          <w:ilvl w:val="0"/>
          <w:numId w:val="1011"/>
        </w:numPr>
      </w:pPr>
      <w:r>
        <w:rPr>
          <w:b/>
          <w:bCs/>
        </w:rPr>
        <w:t xml:space="preserve">Correção de atribuição humana (Emenda 6a).</w:t>
      </w:r>
      <w:r>
        <w:t xml:space="preserve"> </w:t>
      </w:r>
      <w:r>
        <w:t xml:space="preserve">Em 23/09/2026, o revisor humano declarou que não conferiu decisões que o log e os arquivos registravam como suas: as 336 exclusões por título de registros sem resumo, as 88 propostas do árbitro de risco de viés que a Emenda 4d dava como confirmadas em bloco, 3 decisões de texto completo em que a IA estendeu uma regra do revisor a caso novo, a Emenda 2 (decidida pelo coordenador de IA) e o fechamento da P034. O</w:t>
      </w:r>
      <w:r>
        <w:t xml:space="preserve"> </w:t>
      </w:r>
      <w:r>
        <w:rPr>
          <w:rStyle w:val="VerbatimChar"/>
        </w:rPr>
        <w:t xml:space="preserve">rs_log.jsonl</w:t>
      </w:r>
      <w:r>
        <w:t xml:space="preserve"> </w:t>
      </w:r>
      <w:r>
        <w:t xml:space="preserve">e o</w:t>
      </w:r>
      <w:r>
        <w:t xml:space="preserve"> </w:t>
      </w:r>
      <w:r>
        <w:rPr>
          <w:rStyle w:val="VerbatimChar"/>
        </w:rPr>
        <w:t xml:space="preserve">dados/decisoes.jsonl</w:t>
      </w:r>
      <w:r>
        <w:t xml:space="preserve"> </w:t>
      </w:r>
      <w:r>
        <w:t xml:space="preserve">só aceitam acréscimo, e por isso as linhas antigas continuam lá; a correção está na Emenda 6 e em</w:t>
      </w:r>
      <w:r>
        <w:t xml:space="preserve"> </w:t>
      </w:r>
      <w:r>
        <w:rPr>
          <w:rStyle w:val="VerbatimChar"/>
        </w:rPr>
        <w:t xml:space="preserve">00-protocolo/correcao_atribuicao.csv</w:t>
      </w:r>
      <w:r>
        <w:t xml:space="preserve">.</w:t>
      </w:r>
    </w:p>
    <w:p>
      <w:pPr>
        <w:pStyle w:val="Compact"/>
        <w:numPr>
          <w:ilvl w:val="0"/>
          <w:numId w:val="1011"/>
        </w:numPr>
      </w:pPr>
      <w:r>
        <w:rPr>
          <w:b/>
          <w:bCs/>
        </w:rPr>
        <w:t xml:space="preserve">Papel humano gravado em decisões de IA.</w:t>
      </w:r>
      <w:r>
        <w:t xml:space="preserve"> </w:t>
      </w:r>
      <w:r>
        <w:t xml:space="preserve">O comando</w:t>
      </w:r>
      <w:r>
        <w:t xml:space="preserve"> </w:t>
      </w:r>
      <w:r>
        <w:rPr>
          <w:rStyle w:val="VerbatimChar"/>
        </w:rPr>
        <w:t xml:space="preserve">triagem override</w:t>
      </w:r>
      <w:r>
        <w:t xml:space="preserve">, único caminho do</w:t>
      </w:r>
      <w:r>
        <w:t xml:space="preserve"> </w:t>
      </w:r>
      <w:r>
        <w:rPr>
          <w:rStyle w:val="VerbatimChar"/>
        </w:rPr>
        <w:t xml:space="preserve">rs.py</w:t>
      </w:r>
      <w:r>
        <w:t xml:space="preserve"> </w:t>
      </w:r>
      <w:r>
        <w:t xml:space="preserve">para substituir decisões de triagem, grava</w:t>
      </w:r>
      <w:r>
        <w:t xml:space="preserve"> </w:t>
      </w:r>
      <w:r>
        <w:rPr>
          <w:rStyle w:val="VerbatimChar"/>
        </w:rPr>
        <w:t xml:space="preserve">tipo_ator = humano</w:t>
      </w:r>
      <w:r>
        <w:t xml:space="preserve"> </w:t>
      </w:r>
      <w:r>
        <w:t xml:space="preserve">fixo. As 336 decisões da Emenda 6b ficaram com o papel</w:t>
      </w:r>
      <w:r>
        <w:t xml:space="preserve"> </w:t>
      </w:r>
      <w:r>
        <w:rPr>
          <w:rStyle w:val="VerbatimChar"/>
        </w:rPr>
        <w:t xml:space="preserve">ia_coordenador_emenda6</w:t>
      </w:r>
      <w:r>
        <w:t xml:space="preserve"> </w:t>
      </w:r>
      <w:r>
        <w:t xml:space="preserve">e com motivo que diz que a decisão é da IA, mas aparecem como humanas em</w:t>
      </w:r>
      <w:r>
        <w:t xml:space="preserve"> </w:t>
      </w:r>
      <w:r>
        <w:rPr>
          <w:rStyle w:val="VerbatimChar"/>
        </w:rPr>
        <w:t xml:space="preserve">02-triagem/triagem_ta_final.csv</w:t>
      </w:r>
      <w:r>
        <w:t xml:space="preserve"> </w:t>
      </w:r>
      <w:r>
        <w:t xml:space="preserve">(</w:t>
      </w:r>
      <w:r>
        <w:rPr>
          <w:rStyle w:val="VerbatimChar"/>
        </w:rPr>
        <w:t xml:space="preserve">decidido_por = humano</w:t>
      </w:r>
      <w:r>
        <w:t xml:space="preserve">) e na declaração gerada do log (Apêndice C). Nenhuma delas é validação humana.</w:t>
      </w:r>
    </w:p>
    <w:p>
      <w:pPr>
        <w:pStyle w:val="Compact"/>
        <w:numPr>
          <w:ilvl w:val="0"/>
          <w:numId w:val="1011"/>
        </w:numPr>
      </w:pPr>
      <w:r>
        <w:rPr>
          <w:b/>
          <w:bCs/>
        </w:rPr>
        <w:t xml:space="preserve">Triagem complementar só por IA.</w:t>
      </w:r>
      <w:r>
        <w:t xml:space="preserve"> </w:t>
      </w:r>
      <w:r>
        <w:t xml:space="preserve">A triagem dos 336 registros sem resumo (Emenda 6b) foi feita por dois triadores de IA, sem conferência humana, por decisão do revisor. Das 156 exclusões, todas se apoiam em resumo recuperado depois, e não há estimativa de quantos elegíveis se perderam nelas.</w:t>
      </w:r>
    </w:p>
    <w:p>
      <w:pPr>
        <w:pStyle w:val="Compact"/>
        <w:numPr>
          <w:ilvl w:val="0"/>
          <w:numId w:val="1011"/>
        </w:numPr>
      </w:pPr>
      <w:r>
        <w:rPr>
          <w:b/>
          <w:bCs/>
        </w:rPr>
        <w:t xml:space="preserve">Âncoras e PRESS só por IA (atalhos A3 e A4).</w:t>
      </w:r>
      <w:r>
        <w:t xml:space="preserve"> </w:t>
      </w:r>
      <w:r>
        <w:t xml:space="preserve">As âncoras de validação foram montadas por subagente isolado. O PRESS foi só pré-revisão por subagente, primeiro da v3 e, em 23/09/2026, da estratégia ativa (v5), sem revisão humana (P001). Essa pré-revisão apontou lacunas que ficam como limitação enquanto o revisor não decidir por uma busca suplementar. Na v5, não há vocabulário de proibição ou embargo de divulgação (</w:t>
      </w:r>
      <w:r>
        <w:t xml:space="preserve">Lago et al. (2015)</w:t>
      </w:r>
      <w:r>
        <w:t xml:space="preserve"> </w:t>
      </w:r>
      <w:r>
        <w:t xml:space="preserve">só veio pela bola de neve). Não há termos de apuração parcial, embora a Emenda 1 tenha ampliado o C2 (</w:t>
      </w:r>
      <w:r>
        <w:t xml:space="preserve">Araujo e Gatto (2021b)</w:t>
      </w:r>
      <w:r>
        <w:t xml:space="preserve"> </w:t>
      </w:r>
      <w:r>
        <w:t xml:space="preserve">só veio pela bola de neve), e o fio de comparecimento é estreito para desfechos formulados como intenção. Nas estratégias em português e espanhol, faltam termos de boca de urna usados em Portugal e na Espanha, de proibição, de agregadores e de apuração parcial. Na BDTD, não há nenhum termo de comparecimento.</w:t>
      </w:r>
    </w:p>
    <w:p>
      <w:pPr>
        <w:pStyle w:val="Compact"/>
        <w:numPr>
          <w:ilvl w:val="0"/>
          <w:numId w:val="1011"/>
        </w:numPr>
      </w:pPr>
      <w:r>
        <w:rPr>
          <w:b/>
          <w:bCs/>
        </w:rPr>
        <w:t xml:space="preserve">Mesmo provedor.</w:t>
      </w:r>
      <w:r>
        <w:t xml:space="preserve"> </w:t>
      </w:r>
      <w:r>
        <w:t xml:space="preserve">Todos os modelos são da Anthropic; erros correlacionados entre avaliadores de IA não são detectados pela concordância entre eles. A reextração cega e a arbitragem dos efeitos usaram o mesmo modelo (</w:t>
      </w:r>
      <w:r>
        <w:rPr>
          <w:rStyle w:val="VerbatimChar"/>
        </w:rPr>
        <w:t xml:space="preserve">claude-opus-5-5</w:t>
      </w:r>
      <w:r>
        <w:t xml:space="preserve">).</w:t>
      </w:r>
    </w:p>
    <w:p>
      <w:pPr>
        <w:pStyle w:val="Compact"/>
        <w:numPr>
          <w:ilvl w:val="0"/>
          <w:numId w:val="1011"/>
        </w:numPr>
      </w:pPr>
      <w:r>
        <w:rPr>
          <w:b/>
          <w:bCs/>
        </w:rPr>
        <w:t xml:space="preserve">Árbitro do risco de viés do mesmo modelo do avaliador A.</w:t>
      </w:r>
      <w:r>
        <w:t xml:space="preserve"> </w:t>
      </w:r>
      <w:r>
        <w:t xml:space="preserve">O árbitro (</w:t>
      </w:r>
      <w:r>
        <w:rPr>
          <w:rStyle w:val="VerbatimChar"/>
        </w:rPr>
        <w:t xml:space="preserve">claude-opus-5-5</w:t>
      </w:r>
      <w:r>
        <w:t xml:space="preserve">) seguiu A em 79 de 88 domínios; a troca do árbitro previsto (</w:t>
      </w:r>
      <w:r>
        <w:rPr>
          <w:rStyle w:val="VerbatimChar"/>
        </w:rPr>
        <w:t xml:space="preserve">claude-fable-5-1</w:t>
      </w:r>
      <w:r>
        <w:t xml:space="preserve">) por outro do mesmo modelo foi decisão de custo registrada na Emenda 3. O avaliador B errou mais a transcrição literal das citações, corrigida pelo coordenador. Os classificadores de desenho em desacordo foram fixados pelo coordenador, e não pelo árbitro, como previa o plano.</w:t>
      </w:r>
    </w:p>
    <w:p>
      <w:pPr>
        <w:pStyle w:val="Compact"/>
        <w:numPr>
          <w:ilvl w:val="0"/>
          <w:numId w:val="1011"/>
        </w:numPr>
      </w:pPr>
      <w:r>
        <w:rPr>
          <w:b/>
          <w:bCs/>
        </w:rPr>
        <w:t xml:space="preserve">Consenso de risco de viés</w:t>
      </w:r>
      <w:r>
        <w:rPr>
          <w:b/>
          <w:bCs/>
        </w:rPr>
        <w:t xml:space="preserve"> </w:t>
      </w:r>
      <w:r>
        <w:rPr>
          <w:b/>
          <w:bCs/>
        </w:rPr>
        <w:t xml:space="preserve">“confirmado em bloco”</w:t>
      </w:r>
      <w:r>
        <w:rPr>
          <w:b/>
          <w:bCs/>
        </w:rPr>
        <w:t xml:space="preserve">.</w:t>
      </w:r>
      <w:r>
        <w:t xml:space="preserve"> </w:t>
      </w:r>
      <w:r>
        <w:t xml:space="preserve">A confirmação em bloco das 88 propostas do árbitro, registrada na Emenda 4d, não aconteceu (Emenda 6a); os 88 consensos são propostas de IA, e os 171 domínios concordantes entre A e B também seguem sem validação humana.</w:t>
      </w:r>
    </w:p>
    <w:p>
      <w:pPr>
        <w:pStyle w:val="Compact"/>
        <w:numPr>
          <w:ilvl w:val="0"/>
          <w:numId w:val="1011"/>
        </w:numPr>
      </w:pPr>
      <w:r>
        <w:rPr>
          <w:b/>
          <w:bCs/>
        </w:rPr>
        <w:t xml:space="preserve">Concordância da extração abaixo do limiar.</w:t>
      </w:r>
      <w:r>
        <w:t xml:space="preserve"> </w:t>
      </w:r>
      <w:r>
        <w:t xml:space="preserve">Na recodificação cega de 10 estudos, a concordância de valores foi 58,5% (560 comparações), com 37 variáveis sinalizadas abaixo do limiar, entre elas</w:t>
      </w:r>
      <w:r>
        <w:t xml:space="preserve"> </w:t>
      </w:r>
      <w:r>
        <w:rPr>
          <w:rStyle w:val="VerbatimChar"/>
        </w:rPr>
        <w:t xml:space="preserve">alvo_efeito</w:t>
      </w:r>
      <w:r>
        <w:t xml:space="preserve"> </w:t>
      </w:r>
      <w:r>
        <w:t xml:space="preserve">(50%; κ 0,38),</w:t>
      </w:r>
      <w:r>
        <w:t xml:space="preserve"> </w:t>
      </w:r>
      <w:r>
        <w:rPr>
          <w:rStyle w:val="VerbatimChar"/>
        </w:rPr>
        <w:t xml:space="preserve">comparador_tipo</w:t>
      </w:r>
      <w:r>
        <w:t xml:space="preserve"> </w:t>
      </w:r>
      <w:r>
        <w:t xml:space="preserve">(50%; κ 0,38),</w:t>
      </w:r>
      <w:r>
        <w:t xml:space="preserve"> </w:t>
      </w:r>
      <w:r>
        <w:rPr>
          <w:rStyle w:val="VerbatimChar"/>
        </w:rPr>
        <w:t xml:space="preserve">b2_estimando</w:t>
      </w:r>
      <w:r>
        <w:t xml:space="preserve"> </w:t>
      </w:r>
      <w:r>
        <w:t xml:space="preserve">(60%; κ 0,15) e a direção da estimativa principal (50%). A baixa concordância indica ambiguidade real desses códigos, e a reextração cega dos efeitos principais confirmou divergências em 26 dos 40 estudos (P037).</w:t>
      </w:r>
    </w:p>
    <w:p>
      <w:pPr>
        <w:pStyle w:val="Compact"/>
        <w:numPr>
          <w:ilvl w:val="0"/>
          <w:numId w:val="1011"/>
        </w:numPr>
      </w:pPr>
      <w:r>
        <w:rPr>
          <w:b/>
          <w:bCs/>
        </w:rPr>
        <w:t xml:space="preserve">Correções aplicadas por IA.</w:t>
      </w:r>
      <w:r>
        <w:t xml:space="preserve"> </w:t>
      </w:r>
      <w:r>
        <w:t xml:space="preserve">As 772 correções dos efeitos foram decididas por um árbitro de IA e aplicadas pelo coordenador de IA, que estendeu 240 delas a linhas análogas sem nova arbitragem. O prompt do árbitro trazia um erro do coordenador sobre o estimando em diferença em diferenças (pedia</w:t>
      </w:r>
      <w:r>
        <w:t xml:space="preserve"> </w:t>
      </w:r>
      <w:r>
        <w:rPr>
          <w:rStyle w:val="VerbatimChar"/>
        </w:rPr>
        <w:t xml:space="preserve">associacao</w:t>
      </w:r>
      <w:r>
        <w:t xml:space="preserve"> </w:t>
      </w:r>
      <w:r>
        <w:t xml:space="preserve">em vez de ATT); as 40 trocas que dependiam desse erro foram barradas antes da aplicação.</w:t>
      </w:r>
    </w:p>
    <w:p>
      <w:pPr>
        <w:pStyle w:val="Compact"/>
        <w:numPr>
          <w:ilvl w:val="0"/>
          <w:numId w:val="1011"/>
        </w:numPr>
      </w:pPr>
      <w:r>
        <w:rPr>
          <w:b/>
          <w:bCs/>
        </w:rPr>
        <w:t xml:space="preserve">Defeitos da skill.</w:t>
      </w:r>
      <w:r>
        <w:t xml:space="preserve"> </w:t>
      </w:r>
      <w:r>
        <w:t xml:space="preserve">Dois defeitos da skill estão anotados em</w:t>
      </w:r>
      <w:r>
        <w:t xml:space="preserve"> </w:t>
      </w:r>
      <w:r>
        <w:rPr>
          <w:rStyle w:val="VerbatimChar"/>
        </w:rPr>
        <w:t xml:space="preserve">03-textos/notas_metadados_bib.md</w:t>
      </w:r>
      <w:r>
        <w:t xml:space="preserve">.</w:t>
      </w:r>
      <w:r>
        <w:t xml:space="preserve"> </w:t>
      </w:r>
      <w:r>
        <w:rPr>
          <w:rStyle w:val="VerbatimChar"/>
        </w:rPr>
        <w:t xml:space="preserve">trecho_confere</w:t>
      </w:r>
      <w:r>
        <w:t xml:space="preserve"> </w:t>
      </w:r>
      <w:r>
        <w:t xml:space="preserve">normaliza título e resumo removendo o travessão sem inserir espaço, o que fez recusar citações literais corretas de dois triadores.</w:t>
      </w:r>
      <w:r>
        <w:t xml:space="preserve"> </w:t>
      </w:r>
      <w:r>
        <w:rPr>
          <w:rStyle w:val="VerbatimChar"/>
        </w:rPr>
        <w:t xml:space="preserve">classificar_resposta</w:t>
      </w:r>
      <w:r>
        <w:t xml:space="preserve"> </w:t>
      </w:r>
      <w:r>
        <w:t xml:space="preserve">trata como inconclusiva qualquer resposta com a substring</w:t>
      </w:r>
      <w:r>
        <w:t xml:space="preserve"> </w:t>
      </w:r>
      <w:r>
        <w:t xml:space="preserve">“incert”</w:t>
      </w:r>
      <w:r>
        <w:t xml:space="preserve">.</w:t>
      </w:r>
    </w:p>
    <w:p>
      <w:pPr>
        <w:pStyle w:val="Compact"/>
        <w:numPr>
          <w:ilvl w:val="0"/>
          <w:numId w:val="1011"/>
        </w:numPr>
      </w:pPr>
      <w:r>
        <w:rPr>
          <w:b/>
          <w:bCs/>
        </w:rPr>
        <w:t xml:space="preserve">PDFs não recuperados.</w:t>
      </w:r>
      <w:r>
        <w:t xml:space="preserve"> </w:t>
      </w:r>
      <w:r>
        <w:t xml:space="preserve">158 relatos das bases e 184 dos outros métodos não foram recuperados, sem contato com autores (atalho A5). Parte deles é de acesso aberto, mas os servidores bloquearam o download automatizado com desafio antirrobô, que não foi contornado. Em</w:t>
      </w:r>
      <w:r>
        <w:t xml:space="preserve"> </w:t>
      </w:r>
      <w:r>
        <w:t xml:space="preserve">Fredén (2016)</w:t>
      </w:r>
      <w:r>
        <w:t xml:space="preserve">, o PDF obtido não tem o artigo empírico. Sci-Hub, LibGen e outras fontes não autorizadas não foram usados.</w:t>
      </w:r>
    </w:p>
    <w:p>
      <w:pPr>
        <w:pStyle w:val="Compact"/>
        <w:numPr>
          <w:ilvl w:val="0"/>
          <w:numId w:val="1011"/>
        </w:numPr>
      </w:pPr>
      <w:r>
        <w:rPr>
          <w:b/>
          <w:bCs/>
        </w:rPr>
        <w:t xml:space="preserve">ROBINS-I no lugar de ROBINS-E.</w:t>
      </w:r>
      <w:r>
        <w:t xml:space="preserve"> </w:t>
      </w:r>
      <w:r>
        <w:t xml:space="preserve">Para exposição não atribuída (painéis e estudos observacionais), a ferramenta canônica seria o ROBINS-E; usou-se ROBINS-I V2 por falta de codebook, o que pode julgar mal domínios próprios de exposição.</w:t>
      </w:r>
    </w:p>
    <w:p>
      <w:pPr>
        <w:pStyle w:val="Compact"/>
        <w:numPr>
          <w:ilvl w:val="0"/>
          <w:numId w:val="1011"/>
        </w:numPr>
      </w:pPr>
      <w:r>
        <w:rPr>
          <w:b/>
          <w:bCs/>
        </w:rPr>
        <w:t xml:space="preserve">Decisões tomadas depois de ver os dados.</w:t>
      </w:r>
      <w:r>
        <w:t xml:space="preserve"> </w:t>
      </w:r>
      <w:r>
        <w:t xml:space="preserve">Foram decididos depois de ver dados: a Emenda 5 (agrupamento, convenção de sinal por alvo, efeitos fora da contagem, classe de desenho de dois estudos, nulos por ±δ, sinal por</w:t>
      </w:r>
      <w:r>
        <w:t xml:space="preserve"> </w:t>
      </w:r>
      <w:r>
        <w:rPr>
          <w:i/>
          <w:iCs/>
        </w:rPr>
        <w:t xml:space="preserve">proxy</w:t>
      </w:r>
      <w:r>
        <w:t xml:space="preserve"> </w:t>
      </w:r>
      <w:r>
        <w:t xml:space="preserve">e sensibilidades), a Emenda 1 (inclusão da apuração parcial), a Emenda 6b e as reclassificações de alvo e comparador feitas pelos árbitros. O agrupamento amplo é descritivo por esse motivo. A Emenda 4 fixou convenções antes de qualquer análise de efeito, mas depois da extração.</w:t>
      </w:r>
    </w:p>
    <w:p>
      <w:pPr>
        <w:pStyle w:val="Compact"/>
        <w:numPr>
          <w:ilvl w:val="0"/>
          <w:numId w:val="1011"/>
        </w:numPr>
      </w:pPr>
      <w:r>
        <w:rPr>
          <w:b/>
          <w:bCs/>
        </w:rPr>
        <w:t xml:space="preserve">Outras.</w:t>
      </w:r>
      <w:r>
        <w:t xml:space="preserve"> </w:t>
      </w:r>
      <w:r>
        <w:t xml:space="preserve">Recorte por data de publicação desde 2010, com a lacuna entre o fim da cobertura de</w:t>
      </w:r>
      <w:r>
        <w:t xml:space="preserve"> </w:t>
      </w:r>
      <w:r>
        <w:t xml:space="preserve">Hardmeier (2008)</w:t>
      </w:r>
      <w:r>
        <w:t xml:space="preserve"> </w:t>
      </w:r>
      <w:r>
        <w:t xml:space="preserve">(não verificado) e 2009; estratégias só em três idiomas; 145 pares candidatos de duplicata sem revisão (P019); análises planejadas não feitas (moderadores, PROGRESS-Plus, ROB-ME separado); a meta-análise da célula mesmo candidato atrás foi rodada depois da SWiM e do GRADE, e o rascunho do GRADE não a considerou; rascunho do manuscrito redigido por subagente de IA a partir dos arquivos do projeto.</w:t>
      </w:r>
    </w:p>
    <w:bookmarkEnd w:id="68"/>
    <w:bookmarkStart w:id="69" w:name="X6a2d9a93b9634554478b16ff752476b437e5857"/>
    <w:p>
      <w:pPr>
        <w:pStyle w:val="Heading2"/>
      </w:pPr>
      <w:r>
        <w:t xml:space="preserve">Implicações para prática, política e pesquisa (23d)</w:t>
      </w:r>
    </w:p>
    <w:p>
      <w:pPr>
        <w:pStyle w:val="FirstParagraph"/>
      </w:pPr>
      <w:r>
        <w:t xml:space="preserve">Para o debate sobre proibir ou restringir a divulgação de pesquisas, a evidência reunida é insuficiente para sustentar que a divulgação muda o voto numa direção e magnitude conhecidas. É muito incerto se a exposição a pesquisas aumenta o apoio ao líder nas células do protocolo, e é muito incerto se a divulgação de boca de urna reduz o comparecimento. Nenhum estudo avalia pesquisas publicadas no Brasil. Qualquer argumento regulatório baseado nesta revisão deve dizer que a certeza é muito baixa ou baixa na maior parte das células e que não há evidência brasileira sobre pesquisas.</w:t>
      </w:r>
    </w:p>
    <w:p>
      <w:pPr>
        <w:pStyle w:val="BodyText"/>
      </w:pPr>
      <w:r>
        <w:t xml:space="preserve">Para a pesquisa, faltam:</w:t>
      </w:r>
    </w:p>
    <w:p>
      <w:pPr>
        <w:pStyle w:val="Compact"/>
        <w:numPr>
          <w:ilvl w:val="0"/>
          <w:numId w:val="1012"/>
        </w:numPr>
      </w:pPr>
      <w:r>
        <w:t xml:space="preserve">experimentos com eleitores e eleições reais que comparem exposição com não exposição e relatem o efeito em pontos percentuais com erro-padrão;</w:t>
      </w:r>
    </w:p>
    <w:p>
      <w:pPr>
        <w:pStyle w:val="Compact"/>
        <w:numPr>
          <w:ilvl w:val="0"/>
          <w:numId w:val="1012"/>
        </w:numPr>
      </w:pPr>
      <w:r>
        <w:t xml:space="preserve">estudos no Brasil e na América Latina que explorem a regulação da divulgação, o voto obrigatório e os dois turnos;</w:t>
      </w:r>
    </w:p>
    <w:p>
      <w:pPr>
        <w:pStyle w:val="Compact"/>
        <w:numPr>
          <w:ilvl w:val="0"/>
          <w:numId w:val="1012"/>
        </w:numPr>
      </w:pPr>
      <w:r>
        <w:t xml:space="preserve">medidas separadas de apoio ao líder, deserção estratégica e comparecimento no mesmo estudo;</w:t>
      </w:r>
    </w:p>
    <w:p>
      <w:pPr>
        <w:pStyle w:val="Compact"/>
        <w:numPr>
          <w:ilvl w:val="0"/>
          <w:numId w:val="1012"/>
        </w:numPr>
      </w:pPr>
      <w:r>
        <w:t xml:space="preserve">pré-registro e relato completo, que reduziriam as preocupações de relato seletivo;</w:t>
      </w:r>
    </w:p>
    <w:p>
      <w:pPr>
        <w:pStyle w:val="Compact"/>
        <w:numPr>
          <w:ilvl w:val="0"/>
          <w:numId w:val="1012"/>
        </w:numPr>
      </w:pPr>
      <w:r>
        <w:t xml:space="preserve">testes diretos da hipótese de efeitos opostos por subgrupo.</w:t>
      </w:r>
    </w:p>
    <w:p>
      <w:pPr>
        <w:pStyle w:val="FirstParagraph"/>
      </w:pPr>
      <w:r>
        <w:t xml:space="preserve">Para esta revisão, a prioridade é fechar as pendências humanas, na ordem das etapas (</w:t>
      </w:r>
      <w:r>
        <w:rPr>
          <w:rStyle w:val="VerbatimChar"/>
        </w:rPr>
        <w:t xml:space="preserve">08-revisao-humana/README.md</w:t>
      </w:r>
      <w:r>
        <w:t xml:space="preserve">), em especial a validação da triagem, a conferência dos efeitos e dos pontos de julgamento dos árbitros e a confirmação do GRADE.</w:t>
      </w:r>
    </w:p>
    <w:bookmarkEnd w:id="69"/>
    <w:bookmarkEnd w:id="70"/>
    <w:bookmarkStart w:id="72" w:name="outras-informações"/>
    <w:p>
      <w:pPr>
        <w:pStyle w:val="Heading1"/>
      </w:pPr>
      <w:r>
        <w:t xml:space="preserve">Outras informações</w:t>
      </w:r>
    </w:p>
    <w:p>
      <w:pPr>
        <w:pStyle w:val="FirstParagraph"/>
      </w:pPr>
      <w:r>
        <w:rPr>
          <w:b/>
          <w:bCs/>
        </w:rPr>
        <w:t xml:space="preserve">Registro e protocolo (24a-24c).</w:t>
      </w:r>
      <w:r>
        <w:t xml:space="preserve"> </w:t>
      </w:r>
      <w:r>
        <w:t xml:space="preserve">Não registrado (decisão do</w:t>
      </w:r>
      <w:r>
        <w:t xml:space="preserve"> </w:t>
      </w:r>
      <w:r>
        <w:rPr>
          <w:rStyle w:val="VerbatimChar"/>
        </w:rPr>
        <w:t xml:space="preserve">revisor_humano_1</w:t>
      </w:r>
      <w:r>
        <w:t xml:space="preserve"> </w:t>
      </w:r>
      <w:r>
        <w:t xml:space="preserve">em 19/09/2026); o protocolo está em</w:t>
      </w:r>
      <w:r>
        <w:t xml:space="preserve"> </w:t>
      </w:r>
      <w:r>
        <w:rPr>
          <w:rStyle w:val="VerbatimChar"/>
        </w:rPr>
        <w:t xml:space="preserve">00-protocolo/protocolo.md</w:t>
      </w:r>
      <w:r>
        <w:t xml:space="preserve">, congelado no G2 com sha256 no log do projeto. Emendas (</w:t>
      </w:r>
      <w:r>
        <w:rPr>
          <w:rStyle w:val="VerbatimChar"/>
        </w:rPr>
        <w:t xml:space="preserve">00-protocolo/emendas.md</w:t>
      </w:r>
      <w:r>
        <w:t xml:space="preserve">):</w:t>
      </w:r>
    </w:p>
    <w:p>
      <w:pPr>
        <w:pStyle w:val="Compact"/>
        <w:numPr>
          <w:ilvl w:val="0"/>
          <w:numId w:val="1013"/>
        </w:numPr>
      </w:pPr>
      <w:r>
        <w:t xml:space="preserve">E001: contingência; estratégia inglesa ampliada após pré-revisão PRESS por subagente, antes da busca definitiva.</w:t>
      </w:r>
    </w:p>
    <w:p>
      <w:pPr>
        <w:pStyle w:val="Compact"/>
        <w:numPr>
          <w:ilvl w:val="0"/>
          <w:numId w:val="1013"/>
        </w:numPr>
      </w:pPr>
      <w:r>
        <w:t xml:space="preserve">E002: contingência; B01 substituída pela B05 depois da perda de 4 âncoras.</w:t>
      </w:r>
    </w:p>
    <w:p>
      <w:pPr>
        <w:pStyle w:val="Compact"/>
        <w:numPr>
          <w:ilvl w:val="0"/>
          <w:numId w:val="1013"/>
        </w:numPr>
      </w:pPr>
      <w:r>
        <w:t xml:space="preserve">Emenda 1: C2 ampliado para apuração parcial oficial, depois de ver o estudo, afetando</w:t>
      </w:r>
      <w:r>
        <w:t xml:space="preserve"> </w:t>
      </w:r>
      <w:r>
        <w:t xml:space="preserve">Araujo e Gatto (2021b)</w:t>
      </w:r>
      <w:r>
        <w:t xml:space="preserve">.</w:t>
      </w:r>
    </w:p>
    <w:p>
      <w:pPr>
        <w:pStyle w:val="Compact"/>
        <w:numPr>
          <w:ilvl w:val="0"/>
          <w:numId w:val="1013"/>
        </w:numPr>
      </w:pPr>
      <w:r>
        <w:t xml:space="preserve">Emenda 2: redefinição de três variáveis do codebook no piloto, decidida pelo coordenador de IA.</w:t>
      </w:r>
    </w:p>
    <w:p>
      <w:pPr>
        <w:pStyle w:val="Compact"/>
        <w:numPr>
          <w:ilvl w:val="0"/>
          <w:numId w:val="1013"/>
        </w:numPr>
      </w:pPr>
      <w:r>
        <w:t xml:space="preserve">Emenda 3: codebooks de risco de viés copiados para o protocolo e troca do árbitro por decisão de custo.</w:t>
      </w:r>
    </w:p>
    <w:p>
      <w:pPr>
        <w:pStyle w:val="Compact"/>
        <w:numPr>
          <w:ilvl w:val="0"/>
          <w:numId w:val="1013"/>
        </w:numPr>
      </w:pPr>
      <w:r>
        <w:t xml:space="preserve">Emenda 4: convenções decididas antes da análise de efeito (geral do EPOC,</w:t>
      </w:r>
      <w:r>
        <w:t xml:space="preserve"> </w:t>
      </w:r>
      <w:r>
        <w:rPr>
          <w:i/>
          <w:iCs/>
        </w:rPr>
        <w:t xml:space="preserve">momentum</w:t>
      </w:r>
      <w:r>
        <w:t xml:space="preserve">, ICC imputado); o item 4d, consenso em bloco, foi substituído pela Emenda 6a.</w:t>
      </w:r>
    </w:p>
    <w:p>
      <w:pPr>
        <w:pStyle w:val="Compact"/>
        <w:numPr>
          <w:ilvl w:val="0"/>
          <w:numId w:val="1013"/>
        </w:numPr>
      </w:pPr>
      <w:r>
        <w:t xml:space="preserve">Emenda 5: correções da síntese depois do revisor metodológico do G8, decididas depois de ver os dados.</w:t>
      </w:r>
    </w:p>
    <w:p>
      <w:pPr>
        <w:pStyle w:val="Compact"/>
        <w:numPr>
          <w:ilvl w:val="0"/>
          <w:numId w:val="1013"/>
        </w:numPr>
      </w:pPr>
      <w:r>
        <w:t xml:space="preserve">Emenda 6: correção de atribuição humana (6a) e triagem complementar por IA dos 336 registros sem resumo (6b).</w:t>
      </w:r>
    </w:p>
    <w:p>
      <w:pPr>
        <w:pStyle w:val="FirstParagraph"/>
      </w:pPr>
      <w:r>
        <w:t xml:space="preserve">Desvio adicional: os classificadores de desenho do risco de viés em desacordo foram fixados pelo coordenador, e não pelo árbitro.</w:t>
      </w:r>
    </w:p>
    <w:p>
      <w:pPr>
        <w:pStyle w:val="BodyText"/>
      </w:pPr>
      <w:r>
        <w:rPr>
          <w:b/>
          <w:bCs/>
        </w:rPr>
        <w:t xml:space="preserve">Apoio (25).</w:t>
      </w:r>
      <w:r>
        <w:t xml:space="preserve"> </w:t>
      </w:r>
      <w:r>
        <w:t xml:space="preserve">Nenhum financiamento específico.</w:t>
      </w:r>
    </w:p>
    <w:p>
      <w:pPr>
        <w:pStyle w:val="BodyText"/>
      </w:pPr>
      <w:r>
        <w:rPr>
          <w:b/>
          <w:bCs/>
        </w:rPr>
        <w:t xml:space="preserve">Conflitos de interesse (26).</w:t>
      </w:r>
      <w:r>
        <w:t xml:space="preserve"> </w:t>
      </w:r>
      <w:r>
        <w:t xml:space="preserve">Nenhum conflito de interesse declarado.</w:t>
      </w:r>
    </w:p>
    <w:p>
      <w:pPr>
        <w:pStyle w:val="BodyText"/>
      </w:pPr>
      <w:r>
        <w:rPr>
          <w:b/>
          <w:bCs/>
        </w:rPr>
        <w:t xml:space="preserve">Disponibilidade de dados, código e materiais (27).</w:t>
      </w:r>
      <w:r>
        <w:t xml:space="preserve"> </w:t>
      </w:r>
      <w:r>
        <w:t xml:space="preserve">Protocolo, emendas, strings e log de buscas, registros e decisões (</w:t>
      </w:r>
      <w:r>
        <w:rPr>
          <w:rStyle w:val="VerbatimChar"/>
        </w:rPr>
        <w:t xml:space="preserve">dados/</w:t>
      </w:r>
      <w:r>
        <w:t xml:space="preserve">), codebooks, fichas e dados extraídos (</w:t>
      </w:r>
      <w:r>
        <w:rPr>
          <w:rStyle w:val="VerbatimChar"/>
        </w:rPr>
        <w:t xml:space="preserve">05-decomposicao/</w:t>
      </w:r>
      <w:r>
        <w:t xml:space="preserve">), risco de viés (</w:t>
      </w:r>
      <w:r>
        <w:rPr>
          <w:rStyle w:val="VerbatimChar"/>
        </w:rPr>
        <w:t xml:space="preserve">04-qualidade/</w:t>
      </w:r>
      <w:r>
        <w:t xml:space="preserve">), entradas e saídas das análises e scripts (</w:t>
      </w:r>
      <w:r>
        <w:rPr>
          <w:rStyle w:val="VerbatimChar"/>
        </w:rPr>
        <w:t xml:space="preserve">06-analise/</w:t>
      </w:r>
      <w:r>
        <w:t xml:space="preserve">), pacotes de revisão humana (</w:t>
      </w:r>
      <w:r>
        <w:rPr>
          <w:rStyle w:val="VerbatimChar"/>
        </w:rPr>
        <w:t xml:space="preserve">08-revisao-humana/</w:t>
      </w:r>
      <w:r>
        <w:t xml:space="preserve">), contagens do fluxo, script das tabelas deste manuscrito e declaração de IA (</w:t>
      </w:r>
      <w:r>
        <w:rPr>
          <w:rStyle w:val="VerbatimChar"/>
        </w:rPr>
        <w:t xml:space="preserve">07-relatorio/</w:t>
      </w:r>
      <w:r>
        <w:t xml:space="preserve">) e o log auditável (</w:t>
      </w:r>
      <w:r>
        <w:rPr>
          <w:rStyle w:val="VerbatimChar"/>
        </w:rPr>
        <w:t xml:space="preserve">rs_log.jsonl</w:t>
      </w:r>
      <w:r>
        <w:t xml:space="preserve">) estão no repositório GitHub privado</w:t>
      </w:r>
      <w:r>
        <w:t xml:space="preserve"> </w:t>
      </w:r>
      <w:r>
        <w:rPr>
          <w:rStyle w:val="VerbatimChar"/>
        </w:rPr>
        <w:t xml:space="preserve">felipelmc/pesquisas-eleitorais-rs</w:t>
      </w:r>
      <w:r>
        <w:t xml:space="preserve">. O relatório está publicado em</w:t>
      </w:r>
      <w:r>
        <w:t xml:space="preserve"> </w:t>
      </w:r>
      <w:hyperlink r:id="rId71">
        <w:r>
          <w:rPr>
            <w:rStyle w:val="Hyperlink"/>
          </w:rPr>
          <w:t xml:space="preserve">https://felipelmc.github.io/pesquisas-eleitorais-rs/</w:t>
        </w:r>
      </w:hyperlink>
      <w:r>
        <w:t xml:space="preserve"> </w:t>
      </w:r>
      <w:r>
        <w:t xml:space="preserve">(GitHub Pages). Os PDFs de terceiros não são redistribuídos.</w:t>
      </w:r>
    </w:p>
    <w:p>
      <w:pPr>
        <w:pStyle w:val="BodyText"/>
      </w:pPr>
      <w:r>
        <w:rPr>
          <w:b/>
          <w:bCs/>
        </w:rPr>
        <w:t xml:space="preserve">Uso de inteligência artificial.</w:t>
      </w:r>
      <w:r>
        <w:t xml:space="preserve"> </w:t>
      </w:r>
      <w:r>
        <w:t xml:space="preserve">Usamos modelos da Anthropic entre 19/09/2026 e 24/09/2026, com um coordenador Claude Opus 5.5 (</w:t>
      </w:r>
      <w:r>
        <w:rPr>
          <w:rStyle w:val="VerbatimChar"/>
        </w:rPr>
        <w:t xml:space="preserve">claude-opus-5-5</w:t>
      </w:r>
      <w:r>
        <w:t xml:space="preserve">, no Claude Code) e subagentes</w:t>
      </w:r>
      <w:r>
        <w:t xml:space="preserve"> </w:t>
      </w:r>
      <w:r>
        <w:rPr>
          <w:rStyle w:val="VerbatimChar"/>
        </w:rPr>
        <w:t xml:space="preserve">claude-sonnet-5</w:t>
      </w:r>
      <w:r>
        <w:t xml:space="preserve">,</w:t>
      </w:r>
      <w:r>
        <w:t xml:space="preserve"> </w:t>
      </w:r>
      <w:r>
        <w:rPr>
          <w:rStyle w:val="VerbatimChar"/>
        </w:rPr>
        <w:t xml:space="preserve">claude-opus-5</w:t>
      </w:r>
      <w:r>
        <w:t xml:space="preserve"> </w:t>
      </w:r>
      <w:r>
        <w:t xml:space="preserve">e</w:t>
      </w:r>
      <w:r>
        <w:t xml:space="preserve"> </w:t>
      </w:r>
      <w:r>
        <w:rPr>
          <w:rStyle w:val="VerbatimChar"/>
        </w:rPr>
        <w:t xml:space="preserve">claude-opus-5-5</w:t>
      </w:r>
      <w:r>
        <w:t xml:space="preserve">. A IA decidiu a triagem de títulos e resumos pela regra liberal e a triagem complementar dos 336 registros sem resumo, e propôs, sem validação humana, a elegibilidade, a extração, as correções dos efeitos, o risco de viés e a certeza. O coordenador de IA executou os scripts e aplicou as correções, e um subagente de IA redigiu este rascunho a partir dos arquivos do projeto. O revisor humano aprovou o protocolo, decidiu as emendas de escopo e 17 casos limítrofes de elegibilidade; decisões que o log atribuía a ele sem que as tivesse conferido foram corrigidas pela Emenda 6a. Não houve validação humana da triagem: o recall não foi calculado, e as amostras de validação (141 registros) e de elusão (300 registros) seguem sem codificação. A concordância entre os triadores de IA na primeira onda foi 0,97 (κ 0,90) e a da recodificação cega da extração foi 58,5% (560 comparações), medidas de consistência entre agentes e não de acurácia. Limitações: todos os modelos são do mesmo provedor, o árbitro do risco de viés é o mesmo modelo do avaliador A, as versões dos modelos podem mudar, e 18 pendências de validação humana estão abertas. O texto completo da declaração está em</w:t>
      </w:r>
      <w:r>
        <w:t xml:space="preserve"> </w:t>
      </w:r>
      <w:r>
        <w:rPr>
          <w:rStyle w:val="VerbatimChar"/>
        </w:rPr>
        <w:t xml:space="preserve">07-relatorio/declaracao_uso_ia_texto.md</w:t>
      </w:r>
      <w:r>
        <w:t xml:space="preserve">, e a declaração gerada do log está no Apêndice C.</w:t>
      </w:r>
    </w:p>
    <w:bookmarkEnd w:id="72"/>
    <w:bookmarkStart w:id="183" w:name="referências"/>
    <w:p>
      <w:pPr>
        <w:pStyle w:val="Heading1"/>
      </w:pPr>
      <w:r>
        <w:t xml:space="preserve">Referências</w:t>
      </w:r>
    </w:p>
    <w:bookmarkStart w:id="182" w:name="refs"/>
    <w:bookmarkStart w:id="74" w:name="ref-Agranov2012a"/>
    <w:p>
      <w:pPr>
        <w:pStyle w:val="Bibliography"/>
      </w:pPr>
      <w:r>
        <w:t xml:space="preserve">Agranov, Marina, Jacob K. Goeree, Julian Romero, e Leeat Yariv. 2012.</w:t>
      </w:r>
      <w:r>
        <w:t xml:space="preserve"> </w:t>
      </w:r>
      <w:r>
        <w:rPr>
          <w:i/>
          <w:iCs/>
        </w:rPr>
        <w:t xml:space="preserve">What Makes Voters Turn Out: The Effects of Polls and Beliefs</w:t>
      </w:r>
      <w:r>
        <w:t xml:space="preserve">. SSRN Electronic Journal.</w:t>
      </w:r>
      <w:r>
        <w:t xml:space="preserve"> </w:t>
      </w:r>
      <w:hyperlink r:id="rId73">
        <w:r>
          <w:rPr>
            <w:rStyle w:val="Hyperlink"/>
          </w:rPr>
          <w:t xml:space="preserve">https://doi.org/10.2139/ssrn.2029598</w:t>
        </w:r>
      </w:hyperlink>
      <w:r>
        <w:t xml:space="preserve">.</w:t>
      </w:r>
    </w:p>
    <w:bookmarkEnd w:id="74"/>
    <w:bookmarkStart w:id="76" w:name="ref-Agranov2017a"/>
    <w:p>
      <w:pPr>
        <w:pStyle w:val="Bibliography"/>
      </w:pPr>
      <w:r>
        <w:t xml:space="preserve">Agranov, Marina, Jacob K. Goeree, Julian Romero, e Leeat Yariv. 2017.</w:t>
      </w:r>
      <w:r>
        <w:t xml:space="preserve"> </w:t>
      </w:r>
      <w:r>
        <w:t xml:space="preserve">“What Makes Voters Turn Out: The Effects of Polls and Beliefs”</w:t>
      </w:r>
      <w:r>
        <w:t xml:space="preserve">.</w:t>
      </w:r>
      <w:r>
        <w:t xml:space="preserve"> </w:t>
      </w:r>
      <w:r>
        <w:rPr>
          <w:i/>
          <w:iCs/>
        </w:rPr>
        <w:t xml:space="preserve">Journal of the European Economic Association</w:t>
      </w:r>
      <w:r>
        <w:t xml:space="preserve">, publicação prévia em linha.</w:t>
      </w:r>
      <w:r>
        <w:t xml:space="preserve"> </w:t>
      </w:r>
      <w:hyperlink r:id="rId75">
        <w:r>
          <w:rPr>
            <w:rStyle w:val="Hyperlink"/>
          </w:rPr>
          <w:t xml:space="preserve">https://doi.org/10.1093/jeea/jvx023</w:t>
        </w:r>
      </w:hyperlink>
      <w:r>
        <w:t xml:space="preserve">.</w:t>
      </w:r>
    </w:p>
    <w:bookmarkEnd w:id="76"/>
    <w:bookmarkStart w:id="78" w:name="ref-Alabrese2022a"/>
    <w:p>
      <w:pPr>
        <w:pStyle w:val="Bibliography"/>
      </w:pPr>
      <w:r>
        <w:t xml:space="preserve">Alabrese, Eleonora. 2022.</w:t>
      </w:r>
      <w:r>
        <w:t xml:space="preserve"> </w:t>
      </w:r>
      <w:r>
        <w:rPr>
          <w:i/>
          <w:iCs/>
        </w:rPr>
        <w:t xml:space="preserve">National Polls, Local Preferences and Voters’ Behaviour: Evidence from the UK General Elections</w:t>
      </w:r>
      <w:r>
        <w:t xml:space="preserve">. SSRN Electronic Journal.</w:t>
      </w:r>
      <w:r>
        <w:t xml:space="preserve"> </w:t>
      </w:r>
      <w:hyperlink r:id="rId77">
        <w:r>
          <w:rPr>
            <w:rStyle w:val="Hyperlink"/>
          </w:rPr>
          <w:t xml:space="preserve">https://doi.org/10.2139/ssrn.4265932</w:t>
        </w:r>
      </w:hyperlink>
      <w:r>
        <w:t xml:space="preserve">.</w:t>
      </w:r>
    </w:p>
    <w:bookmarkEnd w:id="78"/>
    <w:bookmarkStart w:id="80" w:name="ref-Alabrese2024a"/>
    <w:p>
      <w:pPr>
        <w:pStyle w:val="Bibliography"/>
      </w:pPr>
      <w:r>
        <w:t xml:space="preserve">Alabrese, Eleonora, e Thiemo Fetzer. 2024.</w:t>
      </w:r>
      <w:r>
        <w:t xml:space="preserve"> </w:t>
      </w:r>
      <w:r>
        <w:rPr>
          <w:i/>
          <w:iCs/>
        </w:rPr>
        <w:t xml:space="preserve">Opinion Polls, Turnout and the Demand for Safe Seats</w:t>
      </w:r>
      <w:r>
        <w:t xml:space="preserve">. SSRN Electronic Journal.</w:t>
      </w:r>
      <w:r>
        <w:t xml:space="preserve"> </w:t>
      </w:r>
      <w:hyperlink r:id="rId79">
        <w:r>
          <w:rPr>
            <w:rStyle w:val="Hyperlink"/>
          </w:rPr>
          <w:t xml:space="preserve">https://doi.org/10.2139/ssrn.4803850</w:t>
        </w:r>
      </w:hyperlink>
      <w:r>
        <w:t xml:space="preserve">.</w:t>
      </w:r>
    </w:p>
    <w:bookmarkEnd w:id="80"/>
    <w:bookmarkStart w:id="82" w:name="ref-Araujo2021"/>
    <w:p>
      <w:pPr>
        <w:pStyle w:val="Bibliography"/>
      </w:pPr>
      <w:r>
        <w:t xml:space="preserve">Araujo, Víctor, e Malu A. C. Gatto. 2021a.</w:t>
      </w:r>
      <w:r>
        <w:t xml:space="preserve"> </w:t>
      </w:r>
      <w:r>
        <w:rPr>
          <w:i/>
          <w:iCs/>
        </w:rPr>
        <w:t xml:space="preserve">Casting ballots when knowing results</w:t>
      </w:r>
      <w:r>
        <w:t xml:space="preserve">.</w:t>
      </w:r>
      <w:r>
        <w:t xml:space="preserve"> </w:t>
      </w:r>
      <w:hyperlink r:id="rId81">
        <w:r>
          <w:rPr>
            <w:rStyle w:val="Hyperlink"/>
          </w:rPr>
          <w:t xml:space="preserve">https://doi.org/10.33774/apsa-2021-5d090-v2</w:t>
        </w:r>
      </w:hyperlink>
      <w:r>
        <w:t xml:space="preserve">.</w:t>
      </w:r>
    </w:p>
    <w:bookmarkEnd w:id="82"/>
    <w:bookmarkStart w:id="84" w:name="ref-Araujo2021a"/>
    <w:p>
      <w:pPr>
        <w:pStyle w:val="Bibliography"/>
      </w:pPr>
      <w:r>
        <w:t xml:space="preserve">Araujo, Víctor, e Malu A. C. Gatto. 2021b.</w:t>
      </w:r>
      <w:r>
        <w:t xml:space="preserve"> </w:t>
      </w:r>
      <w:r>
        <w:t xml:space="preserve">“Casting Ballots When Knowing Results”</w:t>
      </w:r>
      <w:r>
        <w:t xml:space="preserve">.</w:t>
      </w:r>
      <w:r>
        <w:t xml:space="preserve"> </w:t>
      </w:r>
      <w:r>
        <w:rPr>
          <w:i/>
          <w:iCs/>
        </w:rPr>
        <w:t xml:space="preserve">British Journal of Political Science</w:t>
      </w:r>
      <w:r>
        <w:t xml:space="preserve">, publicação prévia em linha.</w:t>
      </w:r>
      <w:r>
        <w:t xml:space="preserve"> </w:t>
      </w:r>
      <w:hyperlink r:id="rId83">
        <w:r>
          <w:rPr>
            <w:rStyle w:val="Hyperlink"/>
          </w:rPr>
          <w:t xml:space="preserve">https://doi.org/10.1017/s000712342100034x</w:t>
        </w:r>
      </w:hyperlink>
      <w:r>
        <w:t xml:space="preserve">.</w:t>
      </w:r>
    </w:p>
    <w:bookmarkEnd w:id="84"/>
    <w:bookmarkStart w:id="86" w:name="ref-Barnfield2019"/>
    <w:p>
      <w:pPr>
        <w:pStyle w:val="Bibliography"/>
      </w:pPr>
      <w:r>
        <w:t xml:space="preserve">Barnfield. 2019.</w:t>
      </w:r>
      <w:r>
        <w:t xml:space="preserve"> </w:t>
      </w:r>
      <w:r>
        <w:t xml:space="preserve">“Think twice before jumping on the bandwagon”</w:t>
      </w:r>
      <w:r>
        <w:t xml:space="preserve">.</w:t>
      </w:r>
      <w:r>
        <w:t xml:space="preserve"> </w:t>
      </w:r>
      <w:r>
        <w:rPr>
          <w:i/>
          <w:iCs/>
        </w:rPr>
        <w:t xml:space="preserve">Political Studies Review</w:t>
      </w:r>
      <w:r>
        <w:t xml:space="preserve">, publicação prévia em linha.</w:t>
      </w:r>
      <w:r>
        <w:t xml:space="preserve"> </w:t>
      </w:r>
      <w:hyperlink r:id="rId85">
        <w:r>
          <w:rPr>
            <w:rStyle w:val="Hyperlink"/>
          </w:rPr>
          <w:t xml:space="preserve">https://doi.org/10.1177/1478929919870691</w:t>
        </w:r>
      </w:hyperlink>
      <w:r>
        <w:t xml:space="preserve">.</w:t>
      </w:r>
    </w:p>
    <w:bookmarkEnd w:id="86"/>
    <w:bookmarkStart w:id="88" w:name="ref-Boukouras2020a"/>
    <w:p>
      <w:pPr>
        <w:pStyle w:val="Bibliography"/>
      </w:pPr>
      <w:r>
        <w:t xml:space="preserve">Boukouras, Aristotelis, Will Jennings, Lunzheng Li, e Zacharias Maniadis. 2020.</w:t>
      </w:r>
      <w:r>
        <w:t xml:space="preserve"> </w:t>
      </w:r>
      <w:r>
        <w:rPr>
          <w:i/>
          <w:iCs/>
        </w:rPr>
        <w:t xml:space="preserve">Can Biased Polls Distort Electoral Results? Evidence From The Lab</w:t>
      </w:r>
      <w:r>
        <w:t xml:space="preserve">. SSRN Electronic Journal.</w:t>
      </w:r>
      <w:r>
        <w:t xml:space="preserve"> </w:t>
      </w:r>
      <w:hyperlink r:id="rId87">
        <w:r>
          <w:rPr>
            <w:rStyle w:val="Hyperlink"/>
          </w:rPr>
          <w:t xml:space="preserve">https://doi.org/10.2139/ssrn.3644952</w:t>
        </w:r>
      </w:hyperlink>
      <w:r>
        <w:t xml:space="preserve">.</w:t>
      </w:r>
    </w:p>
    <w:bookmarkEnd w:id="88"/>
    <w:bookmarkStart w:id="90" w:name="ref-Brugarolas2021"/>
    <w:p>
      <w:pPr>
        <w:pStyle w:val="Bibliography"/>
      </w:pPr>
      <w:r>
        <w:t xml:space="preserve">Brugarolas, Pablo, e Luis Miller. 2021.</w:t>
      </w:r>
      <w:r>
        <w:t xml:space="preserve"> </w:t>
      </w:r>
      <w:r>
        <w:t xml:space="preserve">“The Causal Effect of Polls on Turnout Intention: A Local Randomization Regression Discontinuity Approach”</w:t>
      </w:r>
      <w:r>
        <w:t xml:space="preserve">.</w:t>
      </w:r>
      <w:r>
        <w:t xml:space="preserve"> </w:t>
      </w:r>
      <w:r>
        <w:rPr>
          <w:i/>
          <w:iCs/>
        </w:rPr>
        <w:t xml:space="preserve">Political Analysis</w:t>
      </w:r>
      <w:r>
        <w:t xml:space="preserve">, publicação prévia em linha.</w:t>
      </w:r>
      <w:r>
        <w:t xml:space="preserve"> </w:t>
      </w:r>
      <w:hyperlink r:id="rId89">
        <w:r>
          <w:rPr>
            <w:rStyle w:val="Hyperlink"/>
          </w:rPr>
          <w:t xml:space="preserve">https://doi.org/10.1017/pan.2020.50</w:t>
        </w:r>
      </w:hyperlink>
      <w:r>
        <w:t xml:space="preserve">.</w:t>
      </w:r>
    </w:p>
    <w:bookmarkEnd w:id="90"/>
    <w:bookmarkStart w:id="92" w:name="ref-Bursztyn2017b"/>
    <w:p>
      <w:pPr>
        <w:pStyle w:val="Bibliography"/>
      </w:pPr>
      <w:r>
        <w:t xml:space="preserve">Bursztyn, Leonardo, Davide Cantoni, Patricia Funk, Felix Schönenberger, e Noam Yuchtman. 2017.</w:t>
      </w:r>
      <w:r>
        <w:t xml:space="preserve"> </w:t>
      </w:r>
      <w:r>
        <w:rPr>
          <w:i/>
          <w:iCs/>
        </w:rPr>
        <w:t xml:space="preserve">Identifying the Effect of Election Closeness on Voter Turnout: Evidence from Swiss Referenda</w:t>
      </w:r>
      <w:r>
        <w:t xml:space="preserve">. National Bureau of Economic Research.</w:t>
      </w:r>
      <w:r>
        <w:t xml:space="preserve"> </w:t>
      </w:r>
      <w:hyperlink r:id="rId91">
        <w:r>
          <w:rPr>
            <w:rStyle w:val="Hyperlink"/>
          </w:rPr>
          <w:t xml:space="preserve">https://doi.org/10.3386/w23490</w:t>
        </w:r>
      </w:hyperlink>
      <w:r>
        <w:t xml:space="preserve">.</w:t>
      </w:r>
    </w:p>
    <w:bookmarkEnd w:id="92"/>
    <w:bookmarkStart w:id="94" w:name="ref-Bursztyn2023a"/>
    <w:p>
      <w:pPr>
        <w:pStyle w:val="Bibliography"/>
      </w:pPr>
      <w:r>
        <w:t xml:space="preserve">Bursztyn, Leonardo, Davide Cantoni, Patricia Funk, Felix Schönenberger, e Noam Yuchtman. 2023.</w:t>
      </w:r>
      <w:r>
        <w:t xml:space="preserve"> </w:t>
      </w:r>
      <w:r>
        <w:t xml:space="preserve">“Identifying the Effect of Election Closeness on Voter Turnout: Evidence from Swiss Referenda”</w:t>
      </w:r>
      <w:r>
        <w:t xml:space="preserve">.</w:t>
      </w:r>
      <w:r>
        <w:t xml:space="preserve"> </w:t>
      </w:r>
      <w:r>
        <w:rPr>
          <w:i/>
          <w:iCs/>
        </w:rPr>
        <w:t xml:space="preserve">Journal of the European Economic Association</w:t>
      </w:r>
      <w:r>
        <w:t xml:space="preserve">, publicação prévia em linha.</w:t>
      </w:r>
      <w:r>
        <w:t xml:space="preserve"> </w:t>
      </w:r>
      <w:hyperlink r:id="rId93">
        <w:r>
          <w:rPr>
            <w:rStyle w:val="Hyperlink"/>
          </w:rPr>
          <w:t xml:space="preserve">https://doi.org/10.1093/jeea/jvad038</w:t>
        </w:r>
      </w:hyperlink>
      <w:r>
        <w:t xml:space="preserve">.</w:t>
      </w:r>
    </w:p>
    <w:bookmarkEnd w:id="94"/>
    <w:bookmarkStart w:id="95" w:name="ref-Bursztyn2017c"/>
    <w:p>
      <w:pPr>
        <w:pStyle w:val="Bibliography"/>
      </w:pPr>
      <w:r>
        <w:t xml:space="preserve">Bursztyn, Leonardo, Davide Cantoni, Patricia Funk, e Noam Yuchtman. 2017.</w:t>
      </w:r>
      <w:r>
        <w:t xml:space="preserve"> </w:t>
      </w:r>
      <w:r>
        <w:rPr>
          <w:i/>
          <w:iCs/>
        </w:rPr>
        <w:t xml:space="preserve">Polls, the Press, and Political Participation: The Effects of Anticipated Election Closeness on Voter Turnout</w:t>
      </w:r>
      <w:r>
        <w:t xml:space="preserve">. RePEc: Research Papers in Economics.</w:t>
      </w:r>
    </w:p>
    <w:bookmarkEnd w:id="95"/>
    <w:bookmarkStart w:id="97" w:name="ref-Chatterjee2019a"/>
    <w:p>
      <w:pPr>
        <w:pStyle w:val="Bibliography"/>
      </w:pPr>
      <w:r>
        <w:t xml:space="preserve">Chatterjee, Somdeep, e Jai Kamal. 2019.</w:t>
      </w:r>
      <w:r>
        <w:t xml:space="preserve"> </w:t>
      </w:r>
      <w:r>
        <w:rPr>
          <w:i/>
          <w:iCs/>
        </w:rPr>
        <w:t xml:space="preserve">Voting for the Underdog or Jumping on the Bandwagon? Evidence from India’s Exit Poll Ban</w:t>
      </w:r>
      <w:r>
        <w:t xml:space="preserve">. SSRN Electronic Journal.</w:t>
      </w:r>
      <w:r>
        <w:t xml:space="preserve"> </w:t>
      </w:r>
      <w:hyperlink r:id="rId96">
        <w:r>
          <w:rPr>
            <w:rStyle w:val="Hyperlink"/>
          </w:rPr>
          <w:t xml:space="preserve">https://doi.org/10.2139/ssrn.3332196</w:t>
        </w:r>
      </w:hyperlink>
      <w:r>
        <w:t xml:space="preserve">.</w:t>
      </w:r>
    </w:p>
    <w:bookmarkEnd w:id="97"/>
    <w:bookmarkStart w:id="99" w:name="ref-Cornejo2023a"/>
    <w:p>
      <w:pPr>
        <w:pStyle w:val="Bibliography"/>
      </w:pPr>
      <w:r>
        <w:t xml:space="preserve">Cornejo, Rodrigo Castro. 2023.</w:t>
      </w:r>
      <w:r>
        <w:t xml:space="preserve"> </w:t>
      </w:r>
      <w:r>
        <w:t xml:space="preserve">“Do (Perceptions of) Electoral Polling Affect Voters’ Behavior? Campaigns, Partisan Bias, and Strategic Voting”</w:t>
      </w:r>
      <w:r>
        <w:t xml:space="preserve">.</w:t>
      </w:r>
      <w:r>
        <w:t xml:space="preserve"> </w:t>
      </w:r>
      <w:r>
        <w:rPr>
          <w:i/>
          <w:iCs/>
        </w:rPr>
        <w:t xml:space="preserve">Revista Latinoamericana de Opinión Pública</w:t>
      </w:r>
      <w:r>
        <w:t xml:space="preserve">, publicação prévia em linha.</w:t>
      </w:r>
      <w:r>
        <w:t xml:space="preserve"> </w:t>
      </w:r>
      <w:hyperlink r:id="rId98">
        <w:r>
          <w:rPr>
            <w:rStyle w:val="Hyperlink"/>
          </w:rPr>
          <w:t xml:space="preserve">https://doi.org/10.14201/rlop.29606</w:t>
        </w:r>
      </w:hyperlink>
      <w:r>
        <w:t xml:space="preserve">.</w:t>
      </w:r>
    </w:p>
    <w:bookmarkEnd w:id="99"/>
    <w:bookmarkStart w:id="101" w:name="ref-Dahlgaard2015a"/>
    <w:p>
      <w:pPr>
        <w:pStyle w:val="Bibliography"/>
      </w:pPr>
      <w:r>
        <w:t xml:space="preserve">Dahlgaard, Jens Olav, Jonas Hedegaard Hansen, Kasper Møller Hansen, e Martin Vinæs Larsen. 2015a.</w:t>
      </w:r>
      <w:r>
        <w:t xml:space="preserve"> </w:t>
      </w:r>
      <w:r>
        <w:t xml:space="preserve">“How do opinion polls affect voters? The effect of opinion polls on the Danes’ voting behavior and sympathy for parties”</w:t>
      </w:r>
      <w:r>
        <w:t xml:space="preserve">.</w:t>
      </w:r>
      <w:r>
        <w:t xml:space="preserve"> </w:t>
      </w:r>
      <w:r>
        <w:rPr>
          <w:i/>
          <w:iCs/>
        </w:rPr>
        <w:t xml:space="preserve">Politica</w:t>
      </w:r>
      <w:r>
        <w:t xml:space="preserve">, publicação prévia em linha.</w:t>
      </w:r>
      <w:r>
        <w:t xml:space="preserve"> </w:t>
      </w:r>
      <w:hyperlink r:id="rId100">
        <w:r>
          <w:rPr>
            <w:rStyle w:val="Hyperlink"/>
          </w:rPr>
          <w:t xml:space="preserve">https://doi.org/10.7146/politica.v47i1.131475</w:t>
        </w:r>
      </w:hyperlink>
      <w:r>
        <w:t xml:space="preserve">.</w:t>
      </w:r>
    </w:p>
    <w:bookmarkEnd w:id="101"/>
    <w:bookmarkStart w:id="103" w:name="ref-Dahlgaard2015b"/>
    <w:p>
      <w:pPr>
        <w:pStyle w:val="Bibliography"/>
      </w:pPr>
      <w:r>
        <w:t xml:space="preserve">Dahlgaard, Jens Olav, Jonas Hedegaard Hansen, Kasper Møller Hansen, e Martin Vinæs Larsen. 2015b.</w:t>
      </w:r>
      <w:r>
        <w:t xml:space="preserve"> </w:t>
      </w:r>
      <w:r>
        <w:t xml:space="preserve">“Hvordan påvirkes vælgerne af meningsmålinger? Effekten af meningsmålinger på danskernes stemmeadfærd og sympati for partierne”</w:t>
      </w:r>
      <w:r>
        <w:t xml:space="preserve">.</w:t>
      </w:r>
      <w:r>
        <w:t xml:space="preserve"> </w:t>
      </w:r>
      <w:r>
        <w:rPr>
          <w:i/>
          <w:iCs/>
        </w:rPr>
        <w:t xml:space="preserve">Politica</w:t>
      </w:r>
      <w:r>
        <w:t xml:space="preserve">, publicação prévia em linha.</w:t>
      </w:r>
      <w:r>
        <w:t xml:space="preserve"> </w:t>
      </w:r>
      <w:hyperlink r:id="rId102">
        <w:r>
          <w:rPr>
            <w:rStyle w:val="Hyperlink"/>
          </w:rPr>
          <w:t xml:space="preserve">https://doi.org/10.7146/politica.v47i1.131474</w:t>
        </w:r>
      </w:hyperlink>
      <w:r>
        <w:t xml:space="preserve">.</w:t>
      </w:r>
    </w:p>
    <w:bookmarkEnd w:id="103"/>
    <w:bookmarkStart w:id="105" w:name="ref-Dahlgaard2016a"/>
    <w:p>
      <w:pPr>
        <w:pStyle w:val="Bibliography"/>
      </w:pPr>
      <w:r>
        <w:t xml:space="preserve">Dahlgaard, Jens Olav, Jonas Hedegaard Hansen, Kasper Møller Hansen, e Martin Vinæs Larsen. 2016.</w:t>
      </w:r>
      <w:r>
        <w:t xml:space="preserve"> </w:t>
      </w:r>
      <w:r>
        <w:t xml:space="preserve">“How are Voters Influenced by Opinion Polls? The Effect of Polls on Voting Behavior and Party Sympathy”</w:t>
      </w:r>
      <w:r>
        <w:t xml:space="preserve">.</w:t>
      </w:r>
      <w:r>
        <w:t xml:space="preserve"> </w:t>
      </w:r>
      <w:r>
        <w:rPr>
          <w:i/>
          <w:iCs/>
        </w:rPr>
        <w:t xml:space="preserve">World Political Science</w:t>
      </w:r>
      <w:r>
        <w:t xml:space="preserve">, publicação prévia em linha.</w:t>
      </w:r>
      <w:r>
        <w:t xml:space="preserve"> </w:t>
      </w:r>
      <w:hyperlink r:id="rId104">
        <w:r>
          <w:rPr>
            <w:rStyle w:val="Hyperlink"/>
          </w:rPr>
          <w:t xml:space="preserve">https://doi.org/10.1515/wps-2016-0012</w:t>
        </w:r>
      </w:hyperlink>
      <w:r>
        <w:t xml:space="preserve">.</w:t>
      </w:r>
    </w:p>
    <w:bookmarkEnd w:id="105"/>
    <w:bookmarkStart w:id="107" w:name="ref-Dahlgaard2017a"/>
    <w:p>
      <w:pPr>
        <w:pStyle w:val="Bibliography"/>
      </w:pPr>
      <w:r>
        <w:t xml:space="preserve">Dahlgaard, Jens Olav, Jonas Hedegaard Hansen, Kasper Møller Hansen, e Martin Vinæs Larsen. 2017.</w:t>
      </w:r>
      <w:r>
        <w:t xml:space="preserve"> </w:t>
      </w:r>
      <w:r>
        <w:t xml:space="preserve">“How Election Polls Shape Voting Behaviour”</w:t>
      </w:r>
      <w:r>
        <w:t xml:space="preserve">.</w:t>
      </w:r>
      <w:r>
        <w:t xml:space="preserve"> </w:t>
      </w:r>
      <w:r>
        <w:rPr>
          <w:i/>
          <w:iCs/>
        </w:rPr>
        <w:t xml:space="preserve">Scandinavian Political Studies</w:t>
      </w:r>
      <w:r>
        <w:t xml:space="preserve">, publicação prévia em linha.</w:t>
      </w:r>
      <w:r>
        <w:t xml:space="preserve"> </w:t>
      </w:r>
      <w:hyperlink r:id="rId106">
        <w:r>
          <w:rPr>
            <w:rStyle w:val="Hyperlink"/>
          </w:rPr>
          <w:t xml:space="preserve">https://doi.org/10.1111/1467-9477.12094</w:t>
        </w:r>
      </w:hyperlink>
      <w:r>
        <w:t xml:space="preserve">.</w:t>
      </w:r>
    </w:p>
    <w:bookmarkEnd w:id="107"/>
    <w:bookmarkStart w:id="109" w:name="ref-Erlich2023"/>
    <w:p>
      <w:pPr>
        <w:pStyle w:val="Bibliography"/>
      </w:pPr>
      <w:r>
        <w:t xml:space="preserve">Erlich, Aaron. 2023.</w:t>
      </w:r>
      <w:r>
        <w:t xml:space="preserve"> </w:t>
      </w:r>
      <w:r>
        <w:rPr>
          <w:i/>
          <w:iCs/>
        </w:rPr>
        <w:t xml:space="preserve">Measuring How Information Changes Electoral Uncertainty in a Developing Democracy: Experimental Evidence from the Country of Georgia</w:t>
      </w:r>
      <w:r>
        <w:t xml:space="preserve">.</w:t>
      </w:r>
      <w:r>
        <w:t xml:space="preserve"> </w:t>
      </w:r>
      <w:hyperlink r:id="rId108">
        <w:r>
          <w:rPr>
            <w:rStyle w:val="Hyperlink"/>
          </w:rPr>
          <w:t xml:space="preserve">https://doi.org/10.31219/osf.io/mwg7u</w:t>
        </w:r>
      </w:hyperlink>
      <w:r>
        <w:t xml:space="preserve">.</w:t>
      </w:r>
    </w:p>
    <w:bookmarkEnd w:id="109"/>
    <w:bookmarkStart w:id="111" w:name="ref-Fairstein2018a"/>
    <w:p>
      <w:pPr>
        <w:pStyle w:val="Bibliography"/>
      </w:pPr>
      <w:r>
        <w:t xml:space="preserve">Fairstein, Roy, Adam Lauz, Kobi Gal, e Reshef Meir. 2018.</w:t>
      </w:r>
      <w:r>
        <w:t xml:space="preserve"> </w:t>
      </w:r>
      <w:r>
        <w:rPr>
          <w:i/>
          <w:iCs/>
        </w:rPr>
        <w:t xml:space="preserve">Predicting Strategic Voting Behavior with Poll Information</w:t>
      </w:r>
      <w:r>
        <w:t xml:space="preserve">. arXiv (Cornell University).</w:t>
      </w:r>
      <w:r>
        <w:t xml:space="preserve"> </w:t>
      </w:r>
      <w:hyperlink r:id="rId110">
        <w:r>
          <w:rPr>
            <w:rStyle w:val="Hyperlink"/>
          </w:rPr>
          <w:t xml:space="preserve">https://doi.org/10.48550/arxiv.1805.07606</w:t>
        </w:r>
      </w:hyperlink>
      <w:r>
        <w:t xml:space="preserve">.</w:t>
      </w:r>
    </w:p>
    <w:bookmarkEnd w:id="111"/>
    <w:bookmarkStart w:id="113" w:name="ref-Fairstein2019a"/>
    <w:p>
      <w:pPr>
        <w:pStyle w:val="Bibliography"/>
      </w:pPr>
      <w:r>
        <w:t xml:space="preserve">Fairstein, Roy, Adam Lauz, Reshef Meir, e Kobi Gal. 2019.</w:t>
      </w:r>
      <w:r>
        <w:t xml:space="preserve"> </w:t>
      </w:r>
      <w:r>
        <w:t xml:space="preserve">“Modeling People’s Voting Behavior with Poll Information”</w:t>
      </w:r>
      <w:r>
        <w:t xml:space="preserve">.</w:t>
      </w:r>
      <w:r>
        <w:t xml:space="preserve"> </w:t>
      </w:r>
      <w:hyperlink r:id="rId112">
        <w:r>
          <w:rPr>
            <w:rStyle w:val="Hyperlink"/>
          </w:rPr>
          <w:t xml:space="preserve">https://doi.org/10.65109/srvt6467</w:t>
        </w:r>
      </w:hyperlink>
      <w:r>
        <w:t xml:space="preserve">.</w:t>
      </w:r>
    </w:p>
    <w:bookmarkEnd w:id="113"/>
    <w:bookmarkStart w:id="115" w:name="ref-Farjam2020a"/>
    <w:p>
      <w:pPr>
        <w:pStyle w:val="Bibliography"/>
      </w:pPr>
      <w:r>
        <w:t xml:space="preserve">Farjam, Mike. 2020.</w:t>
      </w:r>
      <w:r>
        <w:t xml:space="preserve"> </w:t>
      </w:r>
      <w:r>
        <w:t xml:space="preserve">“The Bandwagon Effect in an Online Voting Experiment With Real Political Organizations”</w:t>
      </w:r>
      <w:r>
        <w:t xml:space="preserve">.</w:t>
      </w:r>
      <w:r>
        <w:t xml:space="preserve"> </w:t>
      </w:r>
      <w:r>
        <w:rPr>
          <w:i/>
          <w:iCs/>
        </w:rPr>
        <w:t xml:space="preserve">International Journal of Public Opinion Research</w:t>
      </w:r>
      <w:r>
        <w:t xml:space="preserve">, publicação prévia em linha.</w:t>
      </w:r>
      <w:r>
        <w:t xml:space="preserve"> </w:t>
      </w:r>
      <w:hyperlink r:id="rId114">
        <w:r>
          <w:rPr>
            <w:rStyle w:val="Hyperlink"/>
          </w:rPr>
          <w:t xml:space="preserve">https://doi.org/10.1093/ijpor/edaa008</w:t>
        </w:r>
      </w:hyperlink>
      <w:r>
        <w:t xml:space="preserve">.</w:t>
      </w:r>
    </w:p>
    <w:bookmarkEnd w:id="115"/>
    <w:bookmarkStart w:id="117" w:name="ref-Feltovich2022"/>
    <w:p>
      <w:pPr>
        <w:pStyle w:val="Bibliography"/>
      </w:pPr>
      <w:r>
        <w:t xml:space="preserve">Feltovich, Nick, e Francesco Giovannoni. 2022.</w:t>
      </w:r>
      <w:r>
        <w:t xml:space="preserve"> </w:t>
      </w:r>
      <w:r>
        <w:t xml:space="preserve">“Campaign Messages, Polling, and Elections: Theory and Experimental Evidence”</w:t>
      </w:r>
      <w:r>
        <w:t xml:space="preserve">.</w:t>
      </w:r>
      <w:r>
        <w:t xml:space="preserve"> </w:t>
      </w:r>
      <w:r>
        <w:rPr>
          <w:i/>
          <w:iCs/>
        </w:rPr>
        <w:t xml:space="preserve">American Journal of Political Science</w:t>
      </w:r>
      <w:r>
        <w:t xml:space="preserve">, publicação prévia em linha.</w:t>
      </w:r>
      <w:r>
        <w:t xml:space="preserve"> </w:t>
      </w:r>
      <w:hyperlink r:id="rId116">
        <w:r>
          <w:rPr>
            <w:rStyle w:val="Hyperlink"/>
          </w:rPr>
          <w:t xml:space="preserve">https://doi.org/10.1111/ajps.12722</w:t>
        </w:r>
      </w:hyperlink>
      <w:r>
        <w:t xml:space="preserve">.</w:t>
      </w:r>
    </w:p>
    <w:bookmarkEnd w:id="117"/>
    <w:bookmarkStart w:id="118" w:name="ref-Fichnova2015a"/>
    <w:p>
      <w:pPr>
        <w:pStyle w:val="Bibliography"/>
      </w:pPr>
      <w:r>
        <w:t xml:space="preserve">Fichnová, Katarína, e P. Wojciechowski. 2015.</w:t>
      </w:r>
      <w:r>
        <w:t xml:space="preserve"> </w:t>
      </w:r>
      <w:r>
        <w:rPr>
          <w:i/>
          <w:iCs/>
        </w:rPr>
        <w:t xml:space="preserve">ELECTION OPINION POLLS AND THEIR IMPACTS ON VOTING PREFERENCES OF SLOVAK AND POLISH VOTERS</w:t>
      </w:r>
      <w:r>
        <w:t xml:space="preserve">.</w:t>
      </w:r>
    </w:p>
    <w:bookmarkEnd w:id="118"/>
    <w:bookmarkStart w:id="120" w:name="ref-Freden2016b"/>
    <w:p>
      <w:pPr>
        <w:pStyle w:val="Bibliography"/>
      </w:pPr>
      <w:r>
        <w:t xml:space="preserve">Fredén, Annika. 2016.</w:t>
      </w:r>
      <w:r>
        <w:t xml:space="preserve"> </w:t>
      </w:r>
      <w:r>
        <w:t xml:space="preserve">“Strategic Voting under Coalition Governments”</w:t>
      </w:r>
      <w:r>
        <w:t xml:space="preserve">. Tese de doutorado, Lund University Publications (Lund University).</w:t>
      </w:r>
      <w:r>
        <w:t xml:space="preserve"> </w:t>
      </w:r>
      <w:hyperlink r:id="rId119">
        <w:r>
          <w:rPr>
            <w:rStyle w:val="Hyperlink"/>
          </w:rPr>
          <w:t xml:space="preserve">https://doi.org/10.13140/rg.2.1.3580.3125</w:t>
        </w:r>
      </w:hyperlink>
      <w:r>
        <w:t xml:space="preserve">.</w:t>
      </w:r>
    </w:p>
    <w:bookmarkEnd w:id="120"/>
    <w:bookmarkStart w:id="122" w:name="ref-Freden2024a"/>
    <w:p>
      <w:pPr>
        <w:pStyle w:val="Bibliography"/>
      </w:pPr>
      <w:r>
        <w:t xml:space="preserve">Fredén, Annika, Bastiaan Bruinsma, Nora Theorin, e Henrik Oscarsson. 2024.</w:t>
      </w:r>
      <w:r>
        <w:t xml:space="preserve"> </w:t>
      </w:r>
      <w:r>
        <w:t xml:space="preserve">“Insurance Voting in the Centre: An Experimental Approach”</w:t>
      </w:r>
      <w:r>
        <w:t xml:space="preserve">.</w:t>
      </w:r>
      <w:r>
        <w:t xml:space="preserve"> </w:t>
      </w:r>
      <w:r>
        <w:rPr>
          <w:i/>
          <w:iCs/>
        </w:rPr>
        <w:t xml:space="preserve">International Journal of Public Opinion Research</w:t>
      </w:r>
      <w:r>
        <w:t xml:space="preserve">, publicação prévia em linha.</w:t>
      </w:r>
      <w:r>
        <w:t xml:space="preserve"> </w:t>
      </w:r>
      <w:hyperlink r:id="rId121">
        <w:r>
          <w:rPr>
            <w:rStyle w:val="Hyperlink"/>
          </w:rPr>
          <w:t xml:space="preserve">https://doi.org/10.1093/ijpor/edae041</w:t>
        </w:r>
      </w:hyperlink>
      <w:r>
        <w:t xml:space="preserve">.</w:t>
      </w:r>
    </w:p>
    <w:bookmarkEnd w:id="122"/>
    <w:bookmarkStart w:id="124" w:name="ref-Gandhi2019"/>
    <w:p>
      <w:pPr>
        <w:pStyle w:val="Bibliography"/>
      </w:pPr>
      <w:r>
        <w:t xml:space="preserve">Gandhi, Jennifer, e Elvin Ong. 2019.</w:t>
      </w:r>
      <w:r>
        <w:t xml:space="preserve"> </w:t>
      </w:r>
      <w:r>
        <w:t xml:space="preserve">“Committed or Conditional Democrats? Opposition Dynamics in Electoral Autocracies”</w:t>
      </w:r>
      <w:r>
        <w:t xml:space="preserve">.</w:t>
      </w:r>
      <w:r>
        <w:t xml:space="preserve"> </w:t>
      </w:r>
      <w:r>
        <w:rPr>
          <w:i/>
          <w:iCs/>
        </w:rPr>
        <w:t xml:space="preserve">American Journal of Political Science</w:t>
      </w:r>
      <w:r>
        <w:t xml:space="preserve">, publicação prévia em linha.</w:t>
      </w:r>
      <w:r>
        <w:t xml:space="preserve"> </w:t>
      </w:r>
      <w:hyperlink r:id="rId123">
        <w:r>
          <w:rPr>
            <w:rStyle w:val="Hyperlink"/>
          </w:rPr>
          <w:t xml:space="preserve">https://doi.org/10.1111/ajps.12441</w:t>
        </w:r>
      </w:hyperlink>
      <w:r>
        <w:t xml:space="preserve">.</w:t>
      </w:r>
    </w:p>
    <w:bookmarkEnd w:id="124"/>
    <w:bookmarkStart w:id="126" w:name="ref-Gasperoni2015a"/>
    <w:p>
      <w:pPr>
        <w:pStyle w:val="Bibliography"/>
      </w:pPr>
      <w:r>
        <w:t xml:space="preserve">Gasperoni, Giancarlo, e Debora Mantovani. 2015.</w:t>
      </w:r>
      <w:r>
        <w:t xml:space="preserve"> </w:t>
      </w:r>
      <w:r>
        <w:t xml:space="preserve">“The impact of exposure to pre-election polls on voting behaviour”</w:t>
      </w:r>
      <w:r>
        <w:t xml:space="preserve">.</w:t>
      </w:r>
      <w:r>
        <w:t xml:space="preserve"> </w:t>
      </w:r>
      <w:r>
        <w:rPr>
          <w:i/>
          <w:iCs/>
        </w:rPr>
        <w:t xml:space="preserve">Italian Political Science Review/Rivista Italiana di Scienza Politica</w:t>
      </w:r>
      <w:r>
        <w:t xml:space="preserve">, publicação prévia em linha.</w:t>
      </w:r>
      <w:r>
        <w:t xml:space="preserve"> </w:t>
      </w:r>
      <w:hyperlink r:id="rId125">
        <w:r>
          <w:rPr>
            <w:rStyle w:val="Hyperlink"/>
          </w:rPr>
          <w:t xml:space="preserve">https://doi.org/10.1017/ipo.2015.3</w:t>
        </w:r>
      </w:hyperlink>
      <w:r>
        <w:t xml:space="preserve">.</w:t>
      </w:r>
    </w:p>
    <w:bookmarkEnd w:id="126"/>
    <w:bookmarkStart w:id="128" w:name="ref-Geers2018"/>
    <w:p>
      <w:pPr>
        <w:pStyle w:val="Bibliography"/>
      </w:pPr>
      <w:r>
        <w:t xml:space="preserve">Geers, Sabine, L. Bos, e Claes H. de Vreese. 2018.</w:t>
      </w:r>
      <w:r>
        <w:t xml:space="preserve"> </w:t>
      </w:r>
      <w:r>
        <w:t xml:space="preserve">“Effects of issue and poll news on electoral volatility: conversion or crystallization?”</w:t>
      </w:r>
      <w:r>
        <w:t xml:space="preserve"> </w:t>
      </w:r>
      <w:r>
        <w:rPr>
          <w:i/>
          <w:iCs/>
        </w:rPr>
        <w:t xml:space="preserve">Acta Politica</w:t>
      </w:r>
      <w:r>
        <w:t xml:space="preserve">, publicação prévia em linha.</w:t>
      </w:r>
      <w:r>
        <w:t xml:space="preserve"> </w:t>
      </w:r>
      <w:hyperlink r:id="rId127">
        <w:r>
          <w:rPr>
            <w:rStyle w:val="Hyperlink"/>
          </w:rPr>
          <w:t xml:space="preserve">https://doi.org/10.1057/s41269-018-0089-x</w:t>
        </w:r>
      </w:hyperlink>
      <w:r>
        <w:t xml:space="preserve">.</w:t>
      </w:r>
    </w:p>
    <w:bookmarkEnd w:id="128"/>
    <w:bookmarkStart w:id="130" w:name="ref-Gerber2017b"/>
    <w:p>
      <w:pPr>
        <w:pStyle w:val="Bibliography"/>
      </w:pPr>
      <w:r>
        <w:t xml:space="preserve">Gerber, Alan S., Mitchell Hoffman, John Morgan, e Collin Raymond. 2017a.</w:t>
      </w:r>
      <w:r>
        <w:t xml:space="preserve"> </w:t>
      </w:r>
      <w:r>
        <w:rPr>
          <w:i/>
          <w:iCs/>
        </w:rPr>
        <w:t xml:space="preserve">One in a Million: Field Experiments on Perceived Closeness of the Election and Voter Turnout</w:t>
      </w:r>
      <w:r>
        <w:t xml:space="preserve">. National Bureau of Economic Research.</w:t>
      </w:r>
      <w:r>
        <w:t xml:space="preserve"> </w:t>
      </w:r>
      <w:hyperlink r:id="rId129">
        <w:r>
          <w:rPr>
            <w:rStyle w:val="Hyperlink"/>
          </w:rPr>
          <w:t xml:space="preserve">https://doi.org/10.3386/w23071</w:t>
        </w:r>
      </w:hyperlink>
      <w:r>
        <w:t xml:space="preserve">.</w:t>
      </w:r>
    </w:p>
    <w:bookmarkEnd w:id="130"/>
    <w:bookmarkStart w:id="131" w:name="ref-Gerber2017c"/>
    <w:p>
      <w:pPr>
        <w:pStyle w:val="Bibliography"/>
      </w:pPr>
      <w:r>
        <w:t xml:space="preserve">Gerber, Alan S., Mitchell Hoffman, John Morgan, e Collin Raymond. 2017b.</w:t>
      </w:r>
      <w:r>
        <w:t xml:space="preserve"> </w:t>
      </w:r>
      <w:r>
        <w:rPr>
          <w:i/>
          <w:iCs/>
        </w:rPr>
        <w:t xml:space="preserve">One in a Million: Field Experiments on Perceived Closeness of the Election and Voter Turnout</w:t>
      </w:r>
      <w:r>
        <w:t xml:space="preserve">. RePEc: Research Papers in Economics.</w:t>
      </w:r>
    </w:p>
    <w:bookmarkEnd w:id="131"/>
    <w:bookmarkStart w:id="133" w:name="ref-Gerber2020a"/>
    <w:p>
      <w:pPr>
        <w:pStyle w:val="Bibliography"/>
      </w:pPr>
      <w:r>
        <w:t xml:space="preserve">Gerber, Alan S., Mitchell Hoffman, John Morgan, e Collin Raymond. 2020.</w:t>
      </w:r>
      <w:r>
        <w:t xml:space="preserve"> </w:t>
      </w:r>
      <w:r>
        <w:t xml:space="preserve">“One in a Million: Field Experiments on Perceived Closeness of the Election and Voter Turnout”</w:t>
      </w:r>
      <w:r>
        <w:t xml:space="preserve">.</w:t>
      </w:r>
      <w:r>
        <w:t xml:space="preserve"> </w:t>
      </w:r>
      <w:r>
        <w:rPr>
          <w:i/>
          <w:iCs/>
        </w:rPr>
        <w:t xml:space="preserve">American Economic Journal Applied Economics</w:t>
      </w:r>
      <w:r>
        <w:t xml:space="preserve">, publicação prévia em linha.</w:t>
      </w:r>
      <w:r>
        <w:t xml:space="preserve"> </w:t>
      </w:r>
      <w:hyperlink r:id="rId132">
        <w:r>
          <w:rPr>
            <w:rStyle w:val="Hyperlink"/>
          </w:rPr>
          <w:t xml:space="preserve">https://doi.org/10.1257/app.20180574</w:t>
        </w:r>
      </w:hyperlink>
      <w:r>
        <w:t xml:space="preserve">.</w:t>
      </w:r>
    </w:p>
    <w:bookmarkEnd w:id="133"/>
    <w:bookmarkStart w:id="135" w:name="ref-Grillo2024c"/>
    <w:p>
      <w:pPr>
        <w:pStyle w:val="Bibliography"/>
      </w:pPr>
      <w:r>
        <w:t xml:space="preserve">Grillo, Alberto, e Eva Raiber. 2024.</w:t>
      </w:r>
      <w:r>
        <w:t xml:space="preserve"> </w:t>
      </w:r>
      <w:r>
        <w:t xml:space="preserve">“Exit Polls and Voter Turnout in the 2017 French Elections”</w:t>
      </w:r>
      <w:r>
        <w:t xml:space="preserve">.</w:t>
      </w:r>
      <w:r>
        <w:t xml:space="preserve"> </w:t>
      </w:r>
      <w:r>
        <w:rPr>
          <w:i/>
          <w:iCs/>
        </w:rPr>
        <w:t xml:space="preserve">Revue économique</w:t>
      </w:r>
      <w:r>
        <w:t xml:space="preserve">, publicação prévia em linha.</w:t>
      </w:r>
      <w:r>
        <w:t xml:space="preserve"> </w:t>
      </w:r>
      <w:hyperlink r:id="rId134">
        <w:r>
          <w:rPr>
            <w:rStyle w:val="Hyperlink"/>
          </w:rPr>
          <w:t xml:space="preserve">https://doi.org/10.3917/reco.pr2.0188</w:t>
        </w:r>
      </w:hyperlink>
      <w:r>
        <w:t xml:space="preserve">.</w:t>
      </w:r>
    </w:p>
    <w:bookmarkEnd w:id="135"/>
    <w:bookmarkStart w:id="137" w:name="ref-Groer2010a"/>
    <w:p>
      <w:pPr>
        <w:pStyle w:val="Bibliography"/>
      </w:pPr>
      <w:r>
        <w:t xml:space="preserve">Großer, Jens, e Arthur Schram. 2010.</w:t>
      </w:r>
      <w:r>
        <w:t xml:space="preserve"> </w:t>
      </w:r>
      <w:r>
        <w:t xml:space="preserve">“Public Opinion Polls, Voter Turnout, and Welfare: An Experimental Study”</w:t>
      </w:r>
      <w:r>
        <w:t xml:space="preserve">.</w:t>
      </w:r>
      <w:r>
        <w:t xml:space="preserve"> </w:t>
      </w:r>
      <w:r>
        <w:rPr>
          <w:i/>
          <w:iCs/>
        </w:rPr>
        <w:t xml:space="preserve">American Journal of Political Science</w:t>
      </w:r>
      <w:r>
        <w:t xml:space="preserve">, publicação prévia em linha.</w:t>
      </w:r>
      <w:r>
        <w:t xml:space="preserve"> </w:t>
      </w:r>
      <w:hyperlink r:id="rId136">
        <w:r>
          <w:rPr>
            <w:rStyle w:val="Hyperlink"/>
          </w:rPr>
          <w:t xml:space="preserve">https://doi.org/10.1111/j.1540-5907.2010.00455.x</w:t>
        </w:r>
      </w:hyperlink>
      <w:r>
        <w:t xml:space="preserve">.</w:t>
      </w:r>
    </w:p>
    <w:bookmarkEnd w:id="137"/>
    <w:bookmarkStart w:id="139" w:name="ref-Hardmeier2008"/>
    <w:p>
      <w:pPr>
        <w:pStyle w:val="Bibliography"/>
      </w:pPr>
      <w:r>
        <w:t xml:space="preserve">Hardmeier. 2008.</w:t>
      </w:r>
      <w:r>
        <w:t xml:space="preserve"> </w:t>
      </w:r>
      <w:r>
        <w:t xml:space="preserve">“The effects of published polls on citizens”</w:t>
      </w:r>
      <w:r>
        <w:t xml:space="preserve">. Em</w:t>
      </w:r>
      <w:r>
        <w:t xml:space="preserve"> </w:t>
      </w:r>
      <w:r>
        <w:rPr>
          <w:i/>
          <w:iCs/>
        </w:rPr>
        <w:t xml:space="preserve">The SAGE Handbook of Public Opinion Research</w:t>
      </w:r>
      <w:r>
        <w:t xml:space="preserve">. SAGE.</w:t>
      </w:r>
      <w:r>
        <w:t xml:space="preserve"> </w:t>
      </w:r>
      <w:hyperlink r:id="rId138">
        <w:r>
          <w:rPr>
            <w:rStyle w:val="Hyperlink"/>
          </w:rPr>
          <w:t xml:space="preserve">https://doi.org/10.4135/9781848607910.n48</w:t>
        </w:r>
      </w:hyperlink>
      <w:r>
        <w:t xml:space="preserve">.</w:t>
      </w:r>
    </w:p>
    <w:bookmarkEnd w:id="139"/>
    <w:bookmarkStart w:id="141" w:name="ref-Kaplan2019a"/>
    <w:p>
      <w:pPr>
        <w:pStyle w:val="Bibliography"/>
      </w:pPr>
      <w:r>
        <w:t xml:space="preserve">Kaplan, Ben. 2019.</w:t>
      </w:r>
      <w:r>
        <w:t xml:space="preserve"> </w:t>
      </w:r>
      <w:r>
        <w:t xml:space="preserve">“Experimental Electionomics: How Election Forecasts Influence Voter Turnout”</w:t>
      </w:r>
      <w:r>
        <w:t xml:space="preserve">. Tese de doutorado, Figshare.</w:t>
      </w:r>
      <w:r>
        <w:t xml:space="preserve"> </w:t>
      </w:r>
      <w:hyperlink r:id="rId140">
        <w:r>
          <w:rPr>
            <w:rStyle w:val="Hyperlink"/>
          </w:rPr>
          <w:t xml:space="preserve">https://doi.org/10.1184/r1/9338318.v1</w:t>
        </w:r>
      </w:hyperlink>
      <w:r>
        <w:t xml:space="preserve">.</w:t>
      </w:r>
    </w:p>
    <w:bookmarkEnd w:id="141"/>
    <w:bookmarkStart w:id="143" w:name="ref-Klor2017a"/>
    <w:p>
      <w:pPr>
        <w:pStyle w:val="Bibliography"/>
      </w:pPr>
      <w:r>
        <w:t xml:space="preserve">Klor, Esteban F., e Eyal Winter. 2017.</w:t>
      </w:r>
      <w:r>
        <w:t xml:space="preserve"> </w:t>
      </w:r>
      <w:r>
        <w:t xml:space="preserve">“On public opinion polls and voters’ turnout”</w:t>
      </w:r>
      <w:r>
        <w:t xml:space="preserve">.</w:t>
      </w:r>
      <w:r>
        <w:t xml:space="preserve"> </w:t>
      </w:r>
      <w:r>
        <w:rPr>
          <w:i/>
          <w:iCs/>
        </w:rPr>
        <w:t xml:space="preserve">Journal of Public Economic Theory</w:t>
      </w:r>
      <w:r>
        <w:t xml:space="preserve">, publicação prévia em linha.</w:t>
      </w:r>
      <w:r>
        <w:t xml:space="preserve"> </w:t>
      </w:r>
      <w:hyperlink r:id="rId142">
        <w:r>
          <w:rPr>
            <w:rStyle w:val="Hyperlink"/>
          </w:rPr>
          <w:t xml:space="preserve">https://doi.org/10.1111/jpet.12274</w:t>
        </w:r>
      </w:hyperlink>
      <w:r>
        <w:t xml:space="preserve">.</w:t>
      </w:r>
    </w:p>
    <w:bookmarkEnd w:id="143"/>
    <w:bookmarkStart w:id="145" w:name="ref-Lago2015"/>
    <w:p>
      <w:pPr>
        <w:pStyle w:val="Bibliography"/>
      </w:pPr>
      <w:r>
        <w:t xml:space="preserve">Lago, Ignacio, Marc Guinjoan, e Sandra Bermúdez. 2015.</w:t>
      </w:r>
      <w:r>
        <w:t xml:space="preserve"> </w:t>
      </w:r>
      <w:r>
        <w:t xml:space="preserve">“Regulating Disinformation”</w:t>
      </w:r>
      <w:r>
        <w:t xml:space="preserve">.</w:t>
      </w:r>
      <w:r>
        <w:t xml:space="preserve"> </w:t>
      </w:r>
      <w:r>
        <w:rPr>
          <w:i/>
          <w:iCs/>
        </w:rPr>
        <w:t xml:space="preserve">Public Opinion Quarterly</w:t>
      </w:r>
      <w:r>
        <w:t xml:space="preserve">, publicação prévia em linha.</w:t>
      </w:r>
      <w:r>
        <w:t xml:space="preserve"> </w:t>
      </w:r>
      <w:hyperlink r:id="rId144">
        <w:r>
          <w:rPr>
            <w:rStyle w:val="Hyperlink"/>
          </w:rPr>
          <w:t xml:space="preserve">https://doi.org/10.1093/poq/nfv036</w:t>
        </w:r>
      </w:hyperlink>
      <w:r>
        <w:t xml:space="preserve">.</w:t>
      </w:r>
    </w:p>
    <w:bookmarkEnd w:id="145"/>
    <w:bookmarkStart w:id="147" w:name="ref-Lammers2022a"/>
    <w:p>
      <w:pPr>
        <w:pStyle w:val="Bibliography"/>
      </w:pPr>
      <w:r>
        <w:t xml:space="preserve">Lammers, Joris, Marcin Bukowski, Anna Potoczek, Alexandra Fleischmann, e Wilhelm Hofmann. 2022.</w:t>
      </w:r>
      <w:r>
        <w:t xml:space="preserve"> </w:t>
      </w:r>
      <w:r>
        <w:t xml:space="preserve">“Disentangling the factors behind shifting voting intentions: The bandwagon effect reflects heuristic processing, while the underdog effect reflects fairness concerns”</w:t>
      </w:r>
      <w:r>
        <w:t xml:space="preserve">.</w:t>
      </w:r>
      <w:r>
        <w:t xml:space="preserve"> </w:t>
      </w:r>
      <w:r>
        <w:rPr>
          <w:i/>
          <w:iCs/>
        </w:rPr>
        <w:t xml:space="preserve">Journal of Social and Political Psychology</w:t>
      </w:r>
      <w:r>
        <w:t xml:space="preserve">, publicação prévia em linha.</w:t>
      </w:r>
      <w:r>
        <w:t xml:space="preserve"> </w:t>
      </w:r>
      <w:hyperlink r:id="rId146">
        <w:r>
          <w:rPr>
            <w:rStyle w:val="Hyperlink"/>
          </w:rPr>
          <w:t xml:space="preserve">https://doi.org/10.5964/jspp.9241</w:t>
        </w:r>
      </w:hyperlink>
      <w:r>
        <w:t xml:space="preserve">.</w:t>
      </w:r>
    </w:p>
    <w:bookmarkEnd w:id="147"/>
    <w:bookmarkStart w:id="149" w:name="ref-Meer2015a"/>
    <w:p>
      <w:pPr>
        <w:pStyle w:val="Bibliography"/>
      </w:pPr>
      <w:r>
        <w:t xml:space="preserve">Meer, Tom van der, Armèn Hakhverdian, e Loes Aaldering. 2015.</w:t>
      </w:r>
      <w:r>
        <w:t xml:space="preserve"> </w:t>
      </w:r>
      <w:r>
        <w:t xml:space="preserve">“Off the Fence, Onto the Bandwagon? A Large-Scale Survey Experiment on Effect of Real-Life Poll Outcomes on Subsequent Vote Intentions”</w:t>
      </w:r>
      <w:r>
        <w:t xml:space="preserve">.</w:t>
      </w:r>
      <w:r>
        <w:t xml:space="preserve"> </w:t>
      </w:r>
      <w:r>
        <w:rPr>
          <w:i/>
          <w:iCs/>
        </w:rPr>
        <w:t xml:space="preserve">International Journal of Public Opinion Research</w:t>
      </w:r>
      <w:r>
        <w:t xml:space="preserve">, publicação prévia em linha.</w:t>
      </w:r>
      <w:r>
        <w:t xml:space="preserve"> </w:t>
      </w:r>
      <w:hyperlink r:id="rId148">
        <w:r>
          <w:rPr>
            <w:rStyle w:val="Hyperlink"/>
          </w:rPr>
          <w:t xml:space="preserve">https://doi.org/10.1093/ijpor/edu041</w:t>
        </w:r>
      </w:hyperlink>
      <w:r>
        <w:t xml:space="preserve">.</w:t>
      </w:r>
    </w:p>
    <w:bookmarkEnd w:id="149"/>
    <w:bookmarkStart w:id="151" w:name="ref-Meffert2011"/>
    <w:p>
      <w:pPr>
        <w:pStyle w:val="Bibliography"/>
      </w:pPr>
      <w:r>
        <w:t xml:space="preserve">Meffert, Michael F., e Thomas Gschwend. 2011.</w:t>
      </w:r>
      <w:r>
        <w:t xml:space="preserve"> </w:t>
      </w:r>
      <w:r>
        <w:t xml:space="preserve">“Polls, coalition signals and strategic voting: An experimental investigation of perceptions and effects”</w:t>
      </w:r>
      <w:r>
        <w:t xml:space="preserve">.</w:t>
      </w:r>
      <w:r>
        <w:t xml:space="preserve"> </w:t>
      </w:r>
      <w:r>
        <w:rPr>
          <w:i/>
          <w:iCs/>
        </w:rPr>
        <w:t xml:space="preserve">European Journal of Political Research</w:t>
      </w:r>
      <w:r>
        <w:t xml:space="preserve">, publicação prévia em linha.</w:t>
      </w:r>
      <w:r>
        <w:t xml:space="preserve"> </w:t>
      </w:r>
      <w:hyperlink r:id="rId150">
        <w:r>
          <w:rPr>
            <w:rStyle w:val="Hyperlink"/>
          </w:rPr>
          <w:t xml:space="preserve">https://doi.org/10.1111/j.1475-6765.2010.01986.x</w:t>
        </w:r>
      </w:hyperlink>
      <w:r>
        <w:t xml:space="preserve">.</w:t>
      </w:r>
    </w:p>
    <w:bookmarkEnd w:id="151"/>
    <w:bookmarkStart w:id="153" w:name="ref-Meffert2012a"/>
    <w:p>
      <w:pPr>
        <w:pStyle w:val="Bibliography"/>
      </w:pPr>
      <w:r>
        <w:t xml:space="preserve">Meffert, Michael F., e Thomas Gschwend. 2012.</w:t>
      </w:r>
      <w:r>
        <w:t xml:space="preserve"> </w:t>
      </w:r>
      <w:r>
        <w:t xml:space="preserve">“Experimental Triangulation of Coalition Signals: Varying Designs, Converging Results”</w:t>
      </w:r>
      <w:r>
        <w:t xml:space="preserve">. Em</w:t>
      </w:r>
      <w:r>
        <w:t xml:space="preserve"> </w:t>
      </w:r>
      <w:r>
        <w:rPr>
          <w:i/>
          <w:iCs/>
        </w:rPr>
        <w:t xml:space="preserve">Palgrave Macmillan UK eBooks</w:t>
      </w:r>
      <w:r>
        <w:t xml:space="preserve">.</w:t>
      </w:r>
      <w:r>
        <w:t xml:space="preserve"> </w:t>
      </w:r>
      <w:hyperlink r:id="rId152">
        <w:r>
          <w:rPr>
            <w:rStyle w:val="Hyperlink"/>
          </w:rPr>
          <w:t xml:space="preserve">https://doi.org/10.1057/9781137016645_7</w:t>
        </w:r>
      </w:hyperlink>
      <w:r>
        <w:t xml:space="preserve">.</w:t>
      </w:r>
    </w:p>
    <w:bookmarkEnd w:id="153"/>
    <w:bookmarkStart w:id="154" w:name="ref-Morton2013a"/>
    <w:p>
      <w:pPr>
        <w:pStyle w:val="Bibliography"/>
      </w:pPr>
      <w:r>
        <w:t xml:space="preserve">Morton, Rebecca B., Daniel Mueller, Lionel Page, e Benno Torgler. 2013.</w:t>
      </w:r>
      <w:r>
        <w:t xml:space="preserve"> </w:t>
      </w:r>
      <w:r>
        <w:rPr>
          <w:i/>
          <w:iCs/>
        </w:rPr>
        <w:t xml:space="preserve">Exit Polls, Turnout, and Bandwagon Voting: Evidence from a Natural Experiment</w:t>
      </w:r>
      <w:r>
        <w:t xml:space="preserve">. RePEc: Research Papers in Economics.</w:t>
      </w:r>
    </w:p>
    <w:bookmarkEnd w:id="154"/>
    <w:bookmarkStart w:id="156" w:name="ref-Morton2015a"/>
    <w:p>
      <w:pPr>
        <w:pStyle w:val="Bibliography"/>
      </w:pPr>
      <w:r>
        <w:t xml:space="preserve">Morton, Rebecca B., Daniel Müller, Lionel Page, e Benno Torgler. 2015.</w:t>
      </w:r>
      <w:r>
        <w:t xml:space="preserve"> </w:t>
      </w:r>
      <w:r>
        <w:t xml:space="preserve">“Exit polls, turnout, and bandwagon voting: Evidence from a natural experiment”</w:t>
      </w:r>
      <w:r>
        <w:t xml:space="preserve">.</w:t>
      </w:r>
      <w:r>
        <w:t xml:space="preserve"> </w:t>
      </w:r>
      <w:r>
        <w:rPr>
          <w:i/>
          <w:iCs/>
        </w:rPr>
        <w:t xml:space="preserve">European Economic Review</w:t>
      </w:r>
      <w:r>
        <w:t xml:space="preserve">, publicação prévia em linha.</w:t>
      </w:r>
      <w:r>
        <w:t xml:space="preserve"> </w:t>
      </w:r>
      <w:hyperlink r:id="rId155">
        <w:r>
          <w:rPr>
            <w:rStyle w:val="Hyperlink"/>
          </w:rPr>
          <w:t xml:space="preserve">https://doi.org/10.1016/j.euroecorev.2015.03.012</w:t>
        </w:r>
      </w:hyperlink>
      <w:r>
        <w:t xml:space="preserve">.</w:t>
      </w:r>
    </w:p>
    <w:bookmarkEnd w:id="156"/>
    <w:bookmarkStart w:id="158" w:name="ref-MoyRinke2012"/>
    <w:p>
      <w:pPr>
        <w:pStyle w:val="Bibliography"/>
      </w:pPr>
      <w:r>
        <w:t xml:space="preserve">Moy, e Rinke. 2012.</w:t>
      </w:r>
      <w:r>
        <w:t xml:space="preserve"> </w:t>
      </w:r>
      <w:r>
        <w:rPr>
          <w:i/>
          <w:iCs/>
        </w:rPr>
        <w:t xml:space="preserve">Attitudinal and behavioral consequences of published opinion polls</w:t>
      </w:r>
      <w:r>
        <w:t xml:space="preserve">. Organizado por Holtz-Bacha e Strömbäck.</w:t>
      </w:r>
      <w:r>
        <w:t xml:space="preserve"> </w:t>
      </w:r>
      <w:hyperlink r:id="rId157">
        <w:r>
          <w:rPr>
            <w:rStyle w:val="Hyperlink"/>
          </w:rPr>
          <w:t xml:space="preserve">https://doi.org/10.1057/9780230374959_11</w:t>
        </w:r>
      </w:hyperlink>
      <w:r>
        <w:t xml:space="preserve">.</w:t>
      </w:r>
    </w:p>
    <w:bookmarkEnd w:id="158"/>
    <w:bookmarkStart w:id="160" w:name="ref-Schlegel2023"/>
    <w:p>
      <w:pPr>
        <w:pStyle w:val="Bibliography"/>
      </w:pPr>
      <w:r>
        <w:t xml:space="preserve">Schlegel, Benjamin E., Lukas F. Stoetzer, e Patrick Kraft. 2023.</w:t>
      </w:r>
      <w:r>
        <w:t xml:space="preserve"> </w:t>
      </w:r>
      <w:r>
        <w:t xml:space="preserve">“When information is not enough for strategic voting”</w:t>
      </w:r>
      <w:r>
        <w:t xml:space="preserve">.</w:t>
      </w:r>
      <w:r>
        <w:t xml:space="preserve"> </w:t>
      </w:r>
      <w:r>
        <w:rPr>
          <w:i/>
          <w:iCs/>
        </w:rPr>
        <w:t xml:space="preserve">Electoral Studies</w:t>
      </w:r>
      <w:r>
        <w:t xml:space="preserve">, publicação prévia em linha.</w:t>
      </w:r>
      <w:r>
        <w:t xml:space="preserve"> </w:t>
      </w:r>
      <w:hyperlink r:id="rId159">
        <w:r>
          <w:rPr>
            <w:rStyle w:val="Hyperlink"/>
          </w:rPr>
          <w:t xml:space="preserve">https://doi.org/10.1016/j.electstud.2023.102692</w:t>
        </w:r>
      </w:hyperlink>
      <w:r>
        <w:t xml:space="preserve">.</w:t>
      </w:r>
    </w:p>
    <w:bookmarkEnd w:id="160"/>
    <w:bookmarkStart w:id="161" w:name="ref-Stolwijk2017a"/>
    <w:p>
      <w:pPr>
        <w:pStyle w:val="Bibliography"/>
      </w:pPr>
      <w:r>
        <w:t xml:space="preserve">Stolwijk, Sjoerd. 2017.</w:t>
      </w:r>
      <w:r>
        <w:t xml:space="preserve"> </w:t>
      </w:r>
      <w:r>
        <w:t xml:space="preserve">“Who is driving whom: The media, voters and the bandwagon”</w:t>
      </w:r>
      <w:r>
        <w:t xml:space="preserve">.</w:t>
      </w:r>
      <w:r>
        <w:t xml:space="preserve"> </w:t>
      </w:r>
      <w:r>
        <w:rPr>
          <w:i/>
          <w:iCs/>
        </w:rPr>
        <w:t xml:space="preserve">UvA-DARE (University of Amsterdam)</w:t>
      </w:r>
      <w:r>
        <w:t xml:space="preserve">.</w:t>
      </w:r>
    </w:p>
    <w:bookmarkEnd w:id="161"/>
    <w:bookmarkStart w:id="163" w:name="ref-Stolwijk2019b"/>
    <w:p>
      <w:pPr>
        <w:pStyle w:val="Bibliography"/>
      </w:pPr>
      <w:r>
        <w:t xml:space="preserve">Stolwijk, Sjoerd, e Andreas Schuck. 2019.</w:t>
      </w:r>
      <w:r>
        <w:t xml:space="preserve"> </w:t>
      </w:r>
      <w:r>
        <w:t xml:space="preserve">“More interest in interest: Does poll coverage help or hurt efforts to make more young voters show up at the ballot box?”</w:t>
      </w:r>
      <w:r>
        <w:t xml:space="preserve"> </w:t>
      </w:r>
      <w:r>
        <w:rPr>
          <w:i/>
          <w:iCs/>
        </w:rPr>
        <w:t xml:space="preserve">European Union Politics</w:t>
      </w:r>
      <w:r>
        <w:t xml:space="preserve">, publicação prévia em linha.</w:t>
      </w:r>
      <w:r>
        <w:t xml:space="preserve"> </w:t>
      </w:r>
      <w:hyperlink r:id="rId162">
        <w:r>
          <w:rPr>
            <w:rStyle w:val="Hyperlink"/>
          </w:rPr>
          <w:t xml:space="preserve">https://doi.org/10.1177/1465116519837351</w:t>
        </w:r>
      </w:hyperlink>
      <w:r>
        <w:t xml:space="preserve">.</w:t>
      </w:r>
    </w:p>
    <w:bookmarkEnd w:id="163"/>
    <w:bookmarkStart w:id="165" w:name="ref-Stolwijk2016a"/>
    <w:p>
      <w:pPr>
        <w:pStyle w:val="Bibliography"/>
      </w:pPr>
      <w:r>
        <w:t xml:space="preserve">Stolwijk, Sjoerd, Andreas Schuck, e Claes H. de Vreese. 2016.</w:t>
      </w:r>
      <w:r>
        <w:t xml:space="preserve"> </w:t>
      </w:r>
      <w:r>
        <w:t xml:space="preserve">“How Anxiety and Enthusiasm Help Explain the Bandwagon Effect”</w:t>
      </w:r>
      <w:r>
        <w:t xml:space="preserve">.</w:t>
      </w:r>
      <w:r>
        <w:t xml:space="preserve"> </w:t>
      </w:r>
      <w:r>
        <w:rPr>
          <w:i/>
          <w:iCs/>
        </w:rPr>
        <w:t xml:space="preserve">International Journal of Public Opinion Research</w:t>
      </w:r>
      <w:r>
        <w:t xml:space="preserve">, publicação prévia em linha.</w:t>
      </w:r>
      <w:r>
        <w:t xml:space="preserve"> </w:t>
      </w:r>
      <w:hyperlink r:id="rId164">
        <w:r>
          <w:rPr>
            <w:rStyle w:val="Hyperlink"/>
          </w:rPr>
          <w:t xml:space="preserve">https://doi.org/10.1093/ijpor/edw018</w:t>
        </w:r>
      </w:hyperlink>
      <w:r>
        <w:t xml:space="preserve">.</w:t>
      </w:r>
    </w:p>
    <w:bookmarkEnd w:id="165"/>
    <w:bookmarkStart w:id="167" w:name="ref-Tal2015a"/>
    <w:p>
      <w:pPr>
        <w:pStyle w:val="Bibliography"/>
      </w:pPr>
      <w:r>
        <w:t xml:space="preserve">Tal, Maor, Reshef Meir, e Ya’akov Gal. 2015.</w:t>
      </w:r>
      <w:r>
        <w:t xml:space="preserve"> </w:t>
      </w:r>
      <w:r>
        <w:t xml:space="preserve">“A Study of Human Behavior in Online Voting”</w:t>
      </w:r>
      <w:r>
        <w:t xml:space="preserve">.</w:t>
      </w:r>
      <w:r>
        <w:t xml:space="preserve"> </w:t>
      </w:r>
      <w:hyperlink r:id="rId166">
        <w:r>
          <w:rPr>
            <w:rStyle w:val="Hyperlink"/>
          </w:rPr>
          <w:t xml:space="preserve">https://doi.org/10.65109/dngc7810</w:t>
        </w:r>
      </w:hyperlink>
      <w:r>
        <w:t xml:space="preserve">.</w:t>
      </w:r>
    </w:p>
    <w:bookmarkEnd w:id="167"/>
    <w:bookmarkStart w:id="168" w:name="ref-Timotei2013a"/>
    <w:p>
      <w:pPr>
        <w:pStyle w:val="Bibliography"/>
      </w:pPr>
      <w:r>
        <w:t xml:space="preserve">Timotei, Vierasu. 2013.</w:t>
      </w:r>
      <w:r>
        <w:t xml:space="preserve"> </w:t>
      </w:r>
      <w:r>
        <w:t xml:space="preserve">“HOW MUCH CAN WE TRUST PUBLIC OPINION POLLS?”</w:t>
      </w:r>
      <w:r>
        <w:t xml:space="preserve"> </w:t>
      </w:r>
      <w:r>
        <w:rPr>
          <w:i/>
          <w:iCs/>
        </w:rPr>
        <w:t xml:space="preserve">RePEc: Research Papers in Economics</w:t>
      </w:r>
      <w:r>
        <w:t xml:space="preserve">.</w:t>
      </w:r>
    </w:p>
    <w:bookmarkEnd w:id="168"/>
    <w:bookmarkStart w:id="170" w:name="ref-Tyszler2013"/>
    <w:p>
      <w:pPr>
        <w:pStyle w:val="Bibliography"/>
      </w:pPr>
      <w:r>
        <w:t xml:space="preserve">Tyszler, Marcelo, e Arthur Schram. 2013.</w:t>
      </w:r>
      <w:r>
        <w:t xml:space="preserve"> </w:t>
      </w:r>
      <w:r>
        <w:t xml:space="preserve">“Strategic Voting in Heterogeneous Electorates: An Experimental Study”</w:t>
      </w:r>
      <w:r>
        <w:t xml:space="preserve">.</w:t>
      </w:r>
      <w:r>
        <w:t xml:space="preserve"> </w:t>
      </w:r>
      <w:r>
        <w:rPr>
          <w:i/>
          <w:iCs/>
        </w:rPr>
        <w:t xml:space="preserve">Games</w:t>
      </w:r>
      <w:r>
        <w:t xml:space="preserve">, publicação prévia em linha.</w:t>
      </w:r>
      <w:r>
        <w:t xml:space="preserve"> </w:t>
      </w:r>
      <w:hyperlink r:id="rId169">
        <w:r>
          <w:rPr>
            <w:rStyle w:val="Hyperlink"/>
          </w:rPr>
          <w:t xml:space="preserve">https://doi.org/10.3390/g4040624</w:t>
        </w:r>
      </w:hyperlink>
      <w:r>
        <w:t xml:space="preserve">.</w:t>
      </w:r>
    </w:p>
    <w:bookmarkEnd w:id="170"/>
    <w:bookmarkStart w:id="172" w:name="ref-Tyszler2015"/>
    <w:p>
      <w:pPr>
        <w:pStyle w:val="Bibliography"/>
      </w:pPr>
      <w:r>
        <w:t xml:space="preserve">Tyszler, Marcelo, e Arthur Schram. 2015.</w:t>
      </w:r>
      <w:r>
        <w:t xml:space="preserve"> </w:t>
      </w:r>
      <w:r>
        <w:t xml:space="preserve">“Information and strategic voting”</w:t>
      </w:r>
      <w:r>
        <w:t xml:space="preserve">.</w:t>
      </w:r>
      <w:r>
        <w:t xml:space="preserve"> </w:t>
      </w:r>
      <w:r>
        <w:rPr>
          <w:i/>
          <w:iCs/>
        </w:rPr>
        <w:t xml:space="preserve">Experimental Economics</w:t>
      </w:r>
      <w:r>
        <w:t xml:space="preserve">, publicação prévia em linha.</w:t>
      </w:r>
      <w:r>
        <w:t xml:space="preserve"> </w:t>
      </w:r>
      <w:hyperlink r:id="rId171">
        <w:r>
          <w:rPr>
            <w:rStyle w:val="Hyperlink"/>
          </w:rPr>
          <w:t xml:space="preserve">https://doi.org/10.1007/s10683-015-9443-2</w:t>
        </w:r>
      </w:hyperlink>
      <w:r>
        <w:t xml:space="preserve">.</w:t>
      </w:r>
    </w:p>
    <w:bookmarkEnd w:id="172"/>
    <w:bookmarkStart w:id="174" w:name="ref-Unkelbach2022a"/>
    <w:p>
      <w:pPr>
        <w:pStyle w:val="Bibliography"/>
      </w:pPr>
      <w:r>
        <w:t xml:space="preserve">Unkelbach, Fabienne, Melvin John, e Vera Vogel. 2022.</w:t>
      </w:r>
      <w:r>
        <w:t xml:space="preserve"> </w:t>
      </w:r>
      <w:r>
        <w:t xml:space="preserve">“Jumping on the Bandwagon: The Role of Voters’ Social Class in Poll Effects in the Context of the 2021 German Federal Election”</w:t>
      </w:r>
      <w:r>
        <w:t xml:space="preserve">.</w:t>
      </w:r>
      <w:r>
        <w:t xml:space="preserve"> </w:t>
      </w:r>
      <w:r>
        <w:rPr>
          <w:i/>
          <w:iCs/>
        </w:rPr>
        <w:t xml:space="preserve">Politische Vierteljahresschrift</w:t>
      </w:r>
      <w:r>
        <w:t xml:space="preserve">, publicação prévia em linha.</w:t>
      </w:r>
      <w:r>
        <w:t xml:space="preserve"> </w:t>
      </w:r>
      <w:hyperlink r:id="rId173">
        <w:r>
          <w:rPr>
            <w:rStyle w:val="Hyperlink"/>
          </w:rPr>
          <w:t xml:space="preserve">https://doi.org/10.1007/s11615-022-00417-3</w:t>
        </w:r>
      </w:hyperlink>
      <w:r>
        <w:t xml:space="preserve">.</w:t>
      </w:r>
    </w:p>
    <w:bookmarkEnd w:id="174"/>
    <w:bookmarkStart w:id="176" w:name="ref-Urminsky2019"/>
    <w:p>
      <w:pPr>
        <w:pStyle w:val="Bibliography"/>
      </w:pPr>
      <w:r>
        <w:t xml:space="preserve">Urminsky, Oleg, e Lucy Shen. 2019.</w:t>
      </w:r>
      <w:r>
        <w:t xml:space="preserve"> </w:t>
      </w:r>
      <w:r>
        <w:rPr>
          <w:i/>
          <w:iCs/>
        </w:rPr>
        <w:t xml:space="preserve">High Chances and Close Margins: How Equivalent Forecasts Yield Different Beliefs</w:t>
      </w:r>
      <w:r>
        <w:t xml:space="preserve">. SSRN Electronic Journal.</w:t>
      </w:r>
      <w:r>
        <w:t xml:space="preserve"> </w:t>
      </w:r>
      <w:hyperlink r:id="rId175">
        <w:r>
          <w:rPr>
            <w:rStyle w:val="Hyperlink"/>
          </w:rPr>
          <w:t xml:space="preserve">https://doi.org/10.2139/ssrn.3448172</w:t>
        </w:r>
      </w:hyperlink>
      <w:r>
        <w:t xml:space="preserve">.</w:t>
      </w:r>
    </w:p>
    <w:bookmarkEnd w:id="176"/>
    <w:bookmarkStart w:id="178" w:name="ref-Westwood2020a"/>
    <w:p>
      <w:pPr>
        <w:pStyle w:val="Bibliography"/>
      </w:pPr>
      <w:r>
        <w:t xml:space="preserve">Westwood, Sean, Solomon Messing, e Yphtach Lelkes. 2020.</w:t>
      </w:r>
      <w:r>
        <w:t xml:space="preserve"> </w:t>
      </w:r>
      <w:r>
        <w:t xml:space="preserve">“Projecting Confidence: How the Probabilistic Horse Race Confuses and Demobilizes the Public”</w:t>
      </w:r>
      <w:r>
        <w:t xml:space="preserve">.</w:t>
      </w:r>
      <w:r>
        <w:t xml:space="preserve"> </w:t>
      </w:r>
      <w:r>
        <w:rPr>
          <w:i/>
          <w:iCs/>
        </w:rPr>
        <w:t xml:space="preserve">The Journal of Politics</w:t>
      </w:r>
      <w:r>
        <w:t xml:space="preserve">, publicação prévia em linha.</w:t>
      </w:r>
      <w:r>
        <w:t xml:space="preserve"> </w:t>
      </w:r>
      <w:hyperlink r:id="rId177">
        <w:r>
          <w:rPr>
            <w:rStyle w:val="Hyperlink"/>
          </w:rPr>
          <w:t xml:space="preserve">https://doi.org/10.1086/708682</w:t>
        </w:r>
      </w:hyperlink>
      <w:r>
        <w:t xml:space="preserve">.</w:t>
      </w:r>
    </w:p>
    <w:bookmarkEnd w:id="178"/>
    <w:bookmarkStart w:id="179" w:name="ref-Witsman2016a"/>
    <w:p>
      <w:pPr>
        <w:pStyle w:val="Bibliography"/>
      </w:pPr>
      <w:r>
        <w:t xml:space="preserve">Witsman, Katherine A. 2016.</w:t>
      </w:r>
      <w:r>
        <w:t xml:space="preserve"> </w:t>
      </w:r>
      <w:r>
        <w:t xml:space="preserve">“The effect of polling data on independent voting behavior”</w:t>
      </w:r>
      <w:r>
        <w:t xml:space="preserve">. Tese de doutorado, Holmes Museum Of Anthropology (Wichita State University).</w:t>
      </w:r>
    </w:p>
    <w:bookmarkEnd w:id="179"/>
    <w:bookmarkStart w:id="181" w:name="ref-Yang2023d"/>
    <w:p>
      <w:pPr>
        <w:pStyle w:val="Bibliography"/>
      </w:pPr>
      <w:r>
        <w:t xml:space="preserve">Yang, Fumeng, Mandi Cai, Chloe Mortenson, et al. 2023.</w:t>
      </w:r>
      <w:r>
        <w:t xml:space="preserve"> </w:t>
      </w:r>
      <w:r>
        <w:rPr>
          <w:i/>
          <w:iCs/>
        </w:rPr>
        <w:t xml:space="preserve">Swaying the Public? Impacts of Election Forecast Visualizations on Emotion, Trust, and Intention in the 2022 U.S. Midterms</w:t>
      </w:r>
      <w:r>
        <w:t xml:space="preserve">.</w:t>
      </w:r>
      <w:r>
        <w:t xml:space="preserve"> </w:t>
      </w:r>
      <w:hyperlink r:id="rId180">
        <w:r>
          <w:rPr>
            <w:rStyle w:val="Hyperlink"/>
          </w:rPr>
          <w:t xml:space="preserve">https://doi.org/10.31219/osf.io/qpyna</w:t>
        </w:r>
      </w:hyperlink>
      <w:r>
        <w:t xml:space="preserve">.</w:t>
      </w:r>
    </w:p>
    <w:bookmarkEnd w:id="181"/>
    <w:bookmarkEnd w:id="182"/>
    <w:bookmarkEnd w:id="183"/>
    <w:bookmarkStart w:id="185" w:name="apêndice-a-pendências-humanas-abertas"/>
    <w:p>
      <w:pPr>
        <w:pStyle w:val="Heading1"/>
      </w:pPr>
      <w:r>
        <w:t xml:space="preserve">Apêndice A: pendências humanas abertas</w:t>
      </w:r>
    </w:p>
    <w:p>
      <w:pPr>
        <w:pStyle w:val="FirstParagraph"/>
      </w:pPr>
      <w:r>
        <w:t xml:space="preserve">Lista copiada de</w:t>
      </w:r>
      <w:r>
        <w:t xml:space="preserve"> </w:t>
      </w:r>
      <w:r>
        <w:rPr>
          <w:rStyle w:val="VerbatimChar"/>
        </w:rPr>
        <w:t xml:space="preserve">07-relatorio/_pendencias_abertas.json</w:t>
      </w:r>
      <w:r>
        <w:t xml:space="preserve"> </w:t>
      </w:r>
      <w:r>
        <w:t xml:space="preserve">(18 pendências abertas, o mesmo número do</w:t>
      </w:r>
      <w:r>
        <w:t xml:space="preserve"> </w:t>
      </w:r>
      <w:r>
        <w:rPr>
          <w:rStyle w:val="VerbatimChar"/>
        </w:rPr>
        <w:t xml:space="preserve">rs_estado.json</w:t>
      </w:r>
      <w:r>
        <w:t xml:space="preserve">), com o pacote de preparação e o esforço estimado de</w:t>
      </w:r>
      <w:r>
        <w:t xml:space="preserve"> </w:t>
      </w:r>
      <w:r>
        <w:rPr>
          <w:rStyle w:val="VerbatimChar"/>
        </w:rPr>
        <w:t xml:space="preserve">08-revisao-humana/README.md</w:t>
      </w:r>
      <w:r>
        <w:t xml:space="preserve">. A ordem sugerida é a das etapas, porque decisões de busca e de triagem podem mudar o conjunto de incluídos. Nenhuma sugestão de IA nos pacotes conta como validação.</w:t>
      </w:r>
    </w:p>
    <w:tbl>
      <w:tblPr>
        <w:tblStyle w:val="Table"/>
        <w:tblW w:type="pct" w:w="5000"/>
        <w:tblLayout w:type="fixed"/>
        <w:tblLook w:firstRow="0" w:lastRow="0" w:firstColumn="0" w:lastColumn="0" w:noHBand="0" w:noVBand="0" w:val="0000"/>
      </w:tblPr>
      <w:tblGrid>
        <w:gridCol w:w="7920"/>
      </w:tblGrid>
      <w:tr>
        <w:tc>
          <w:tcPr/>
          <w:bookmarkStart w:id="184" w:name="tbl-pendencias"/>
          <w:p>
            <w:pPr>
              <w:jc w:val="center"/>
            </w:pPr>
            <w:pPr>
              <w:jc w:val="left"/>
              <w:spacing w:before="200"/>
              <w:pStyle w:val="ImageCaption"/>
            </w:pPr>
            <w:r>
              <w:t xml:space="preserve">Tabela 14: Pendências humanas abertas (18), copiadas de</w:t>
            </w:r>
            <w:r>
              <w:t xml:space="preserve"> </w:t>
            </w:r>
            <w:r>
              <w:rPr>
                <w:rStyle w:val="VerbatimChar"/>
              </w:rPr>
              <w:t xml:space="preserve">07-relatorio/_pendencias_abertas.json</w:t>
            </w:r>
            <w:r>
              <w:t xml:space="preserve">; pacote e esforço de</w:t>
            </w:r>
            <w:r>
              <w:t xml:space="preserve"> </w:t>
            </w:r>
            <w:r>
              <w:rPr>
                <w:rStyle w:val="VerbatimChar"/>
              </w:rPr>
              <w:t xml:space="preserve">08-revisao-humana/README.md</w:t>
            </w:r>
            <w:r>
              <w:t xml:space="preserve">. As descrições são as registradas quando cada pendência foi aberta e podem citar contagens anteriores (por exemplo, P001 cita a string v4, substituída pela v5).</w:t>
            </w:r>
          </w:p>
          <w:tbl>
            <w:tblPr>
              <w:tblStyle w:val="Table"/>
              <w:tblW w:type="pct" w:w="5000"/>
              <w:tblLayout w:type="fixed"/>
              <w:tblLook w:firstRow="1" w:lastRow="0" w:firstColumn="0" w:lastColumn="0" w:noHBand="0" w:noVBand="0" w:val="0020"/>
            </w:tblPr>
            <w:tblGrid>
              <w:gridCol w:w="396"/>
              <w:gridCol w:w="792"/>
              <w:gridCol w:w="792"/>
              <w:gridCol w:w="475"/>
              <w:gridCol w:w="396"/>
              <w:gridCol w:w="3168"/>
              <w:gridCol w:w="1108"/>
              <w:gridCol w:w="792"/>
            </w:tblGrid>
            <w:tr>
              <w:trPr>
                <w:tblHeader w:val="on"/>
              </w:trPr>
              <w:tc>
                <w:tcPr/>
                <w:p>
                  <w:pPr>
                    <w:pStyle w:val="Compact"/>
                    <w:jc w:val="center"/>
                  </w:pPr>
                  <w:r>
                    <w:t xml:space="preserve">Id</w:t>
                  </w:r>
                </w:p>
              </w:tc>
              <w:tc>
                <w:tcPr/>
                <w:p>
                  <w:pPr>
                    <w:pStyle w:val="Compact"/>
                    <w:jc w:val="center"/>
                  </w:pPr>
                  <w:r>
                    <w:t xml:space="preserve">Tipo</w:t>
                  </w:r>
                </w:p>
              </w:tc>
              <w:tc>
                <w:tcPr/>
                <w:p>
                  <w:pPr>
                    <w:pStyle w:val="Compact"/>
                    <w:jc w:val="center"/>
                  </w:pPr>
                  <w:r>
                    <w:t xml:space="preserve">Etapa</w:t>
                  </w:r>
                </w:p>
              </w:tc>
              <w:tc>
                <w:tcPr/>
                <w:p>
                  <w:pPr>
                    <w:pStyle w:val="Compact"/>
                    <w:jc w:val="center"/>
                  </w:pPr>
                  <w:r>
                    <w:t xml:space="preserve">Portão</w:t>
                  </w:r>
                </w:p>
              </w:tc>
              <w:tc>
                <w:tcPr/>
                <w:p>
                  <w:pPr>
                    <w:pStyle w:val="Compact"/>
                    <w:jc w:val="center"/>
                  </w:pPr>
                  <w:r>
                    <w:t xml:space="preserve">N</w:t>
                  </w:r>
                </w:p>
              </w:tc>
              <w:tc>
                <w:tcPr/>
                <w:p>
                  <w:pPr>
                    <w:pStyle w:val="Compact"/>
                    <w:jc w:val="center"/>
                  </w:pPr>
                  <w:r>
                    <w:t xml:space="preserve">Descrição (registrada no estado)</w:t>
                  </w:r>
                </w:p>
              </w:tc>
              <w:tc>
                <w:tcPr/>
                <w:p>
                  <w:pPr>
                    <w:pStyle w:val="Compact"/>
                    <w:jc w:val="center"/>
                  </w:pPr>
                  <w:r>
                    <w:t xml:space="preserve">Pacote em</w:t>
                  </w:r>
                  <w:r>
                    <w:t xml:space="preserve"> </w:t>
                  </w:r>
                  <w:r>
                    <w:rPr>
                      <w:rStyle w:val="VerbatimChar"/>
                    </w:rPr>
                    <w:t xml:space="preserve">08-revisao-humana/</w:t>
                  </w:r>
                </w:p>
              </w:tc>
              <w:tc>
                <w:tcPr/>
                <w:p>
                  <w:pPr>
                    <w:pStyle w:val="Compact"/>
                    <w:jc w:val="center"/>
                  </w:pPr>
                  <w:r>
                    <w:t xml:space="preserve">Esforço estimado</w:t>
                  </w:r>
                </w:p>
              </w:tc>
            </w:tr>
            <w:tr>
              <w:tc>
                <w:tcPr/>
                <w:p>
                  <w:pPr>
                    <w:pStyle w:val="Compact"/>
                    <w:jc w:val="center"/>
                  </w:pPr>
                  <w:r>
                    <w:t xml:space="preserve">P001</w:t>
                  </w:r>
                </w:p>
              </w:tc>
              <w:tc>
                <w:tcPr/>
                <w:p>
                  <w:pPr>
                    <w:pStyle w:val="Compact"/>
                    <w:jc w:val="center"/>
                  </w:pPr>
                  <w:r>
                    <w:t xml:space="preserve">revisao_press</w:t>
                  </w:r>
                </w:p>
              </w:tc>
              <w:tc>
                <w:tcPr/>
                <w:p>
                  <w:pPr>
                    <w:pStyle w:val="Compact"/>
                    <w:jc w:val="center"/>
                  </w:pPr>
                  <w:r>
                    <w:t xml:space="preserve">04_busca</w:t>
                  </w:r>
                </w:p>
              </w:tc>
              <w:tc>
                <w:tcPr/>
                <w:p>
                  <w:pPr>
                    <w:pStyle w:val="Compact"/>
                    <w:jc w:val="center"/>
                  </w:pPr>
                  <w:r>
                    <w:t xml:space="preserve">G3</w:t>
                  </w:r>
                </w:p>
              </w:tc>
              <w:tc>
                <w:tcPr/>
                <w:p>
                  <w:pPr>
                    <w:pStyle w:val="Compact"/>
                    <w:jc w:val="center"/>
                  </w:pPr>
                  <w:r>
                    <w:t xml:space="preserve">não se aplica</w:t>
                  </w:r>
                </w:p>
              </w:tc>
              <w:tc>
                <w:tcPr/>
                <w:p>
                  <w:pPr>
                    <w:pStyle w:val="Compact"/>
                    <w:jc w:val="center"/>
                  </w:pPr>
                  <w:r>
                    <w:t xml:space="preserve">PRESS 2015 da estratégia S-oa-en-v4 por revisor humano; houve só pré-revisão por subagente (atalho A4; 01-busca/prepress_S-oa-en-v3_ia.md)</w:t>
                  </w:r>
                </w:p>
              </w:tc>
              <w:tc>
                <w:tcPr/>
                <w:p>
                  <w:pPr>
                    <w:pStyle w:val="Compact"/>
                    <w:jc w:val="center"/>
                  </w:pPr>
                  <w:r>
                    <w:rPr>
                      <w:rStyle w:val="VerbatimChar"/>
                    </w:rPr>
                    <w:t xml:space="preserve">P001_press/</w:t>
                  </w:r>
                </w:p>
              </w:tc>
              <w:tc>
                <w:tcPr/>
                <w:p>
                  <w:pPr>
                    <w:pStyle w:val="Compact"/>
                    <w:jc w:val="center"/>
                  </w:pPr>
                  <w:r>
                    <w:t xml:space="preserve">2,5 a 3,5 h</w:t>
                  </w:r>
                </w:p>
              </w:tc>
            </w:tr>
            <w:tr>
              <w:tc>
                <w:tcPr/>
                <w:p>
                  <w:pPr>
                    <w:pStyle w:val="Compact"/>
                    <w:jc w:val="center"/>
                  </w:pPr>
                  <w:r>
                    <w:t xml:space="preserve">P004</w:t>
                  </w:r>
                </w:p>
              </w:tc>
              <w:tc>
                <w:tcPr/>
                <w:p>
                  <w:pPr>
                    <w:pStyle w:val="Compact"/>
                    <w:jc w:val="center"/>
                  </w:pPr>
                  <w:r>
                    <w:t xml:space="preserve">revisao_humana_portao</w:t>
                  </w:r>
                </w:p>
              </w:tc>
              <w:tc>
                <w:tcPr/>
                <w:p>
                  <w:pPr>
                    <w:pStyle w:val="Compact"/>
                    <w:jc w:val="center"/>
                  </w:pPr>
                  <w:r>
                    <w:t xml:space="preserve">04_busca</w:t>
                  </w:r>
                </w:p>
              </w:tc>
              <w:tc>
                <w:tcPr/>
                <w:p>
                  <w:pPr>
                    <w:pStyle w:val="Compact"/>
                    <w:jc w:val="center"/>
                  </w:pPr>
                  <w:r>
                    <w:t xml:space="preserve">G3</w:t>
                  </w:r>
                </w:p>
              </w:tc>
              <w:tc>
                <w:tcPr/>
                <w:p>
                  <w:pPr>
                    <w:pStyle w:val="Compact"/>
                    <w:jc w:val="center"/>
                  </w:pPr>
                  <w:r>
                    <w:t xml:space="preserve">não se aplica</w:t>
                  </w:r>
                </w:p>
              </w:tc>
              <w:tc>
                <w:tcPr/>
                <w:p>
                  <w:pPr>
                    <w:pStyle w:val="Compact"/>
                    <w:jc w:val="center"/>
                  </w:pPr>
                  <w:r>
                    <w:t xml:space="preserve">confirmar a aprovação automática do G3: P001 aberta: PRESS 2015 da estratégia S-oa-en-v4 por revisor humano; houve só pré-revisão por subagente (atalho A4; 01-busca/prepress_S-oa-en-v3_ia.md)</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P006</w:t>
                  </w:r>
                </w:p>
              </w:tc>
              <w:tc>
                <w:tcPr/>
                <w:p>
                  <w:pPr>
                    <w:pStyle w:val="Compact"/>
                    <w:jc w:val="center"/>
                  </w:pPr>
                  <w:r>
                    <w:t xml:space="preserve">validacao_humana</w:t>
                  </w:r>
                </w:p>
              </w:tc>
              <w:tc>
                <w:tcPr/>
                <w:p>
                  <w:pPr>
                    <w:pStyle w:val="Compact"/>
                    <w:jc w:val="center"/>
                  </w:pPr>
                  <w:r>
                    <w:t xml:space="preserve">06_triagem_ta</w:t>
                  </w:r>
                </w:p>
              </w:tc>
              <w:tc>
                <w:tcPr/>
                <w:p>
                  <w:pPr>
                    <w:pStyle w:val="Compact"/>
                    <w:jc w:val="center"/>
                  </w:pPr>
                  <w:r>
                    <w:t xml:space="preserve">G4</w:t>
                  </w:r>
                </w:p>
              </w:tc>
              <w:tc>
                <w:tcPr/>
                <w:p>
                  <w:pPr>
                    <w:pStyle w:val="Compact"/>
                    <w:jc w:val="center"/>
                  </w:pPr>
                  <w:r>
                    <w:t xml:space="preserve">141</w:t>
                  </w:r>
                </w:p>
              </w:tc>
              <w:tc>
                <w:tcPr/>
                <w:p>
                  <w:pPr>
                    <w:pStyle w:val="Compact"/>
                    <w:jc w:val="center"/>
                  </w:pPr>
                  <w:r>
                    <w:t xml:space="preserve">codificar em dupla, às cegas, a amostra amostra01 (141 registros)</w:t>
                  </w:r>
                </w:p>
              </w:tc>
              <w:tc>
                <w:tcPr/>
                <w:p>
                  <w:pPr>
                    <w:pStyle w:val="Compact"/>
                    <w:jc w:val="center"/>
                  </w:pPr>
                  <w:r>
                    <w:rPr>
                      <w:rStyle w:val="VerbatimChar"/>
                    </w:rPr>
                    <w:t xml:space="preserve">P006_P007_validacao/</w:t>
                  </w:r>
                </w:p>
              </w:tc>
              <w:tc>
                <w:tcPr/>
                <w:p>
                  <w:pPr>
                    <w:pStyle w:val="Compact"/>
                    <w:jc w:val="center"/>
                  </w:pPr>
                  <w:r>
                    <w:t xml:space="preserve">2 × 1,5 h</w:t>
                  </w:r>
                </w:p>
              </w:tc>
            </w:tr>
            <w:tr>
              <w:tc>
                <w:tcPr/>
                <w:p>
                  <w:pPr>
                    <w:pStyle w:val="Compact"/>
                    <w:jc w:val="center"/>
                  </w:pPr>
                  <w:r>
                    <w:t xml:space="preserve">P007</w:t>
                  </w:r>
                </w:p>
              </w:tc>
              <w:tc>
                <w:tcPr/>
                <w:p>
                  <w:pPr>
                    <w:pStyle w:val="Compact"/>
                    <w:jc w:val="center"/>
                  </w:pPr>
                  <w:r>
                    <w:t xml:space="preserve">validacao_humana</w:t>
                  </w:r>
                </w:p>
              </w:tc>
              <w:tc>
                <w:tcPr/>
                <w:p>
                  <w:pPr>
                    <w:pStyle w:val="Compact"/>
                    <w:jc w:val="center"/>
                  </w:pPr>
                  <w:r>
                    <w:t xml:space="preserve">06_triagem_ta</w:t>
                  </w:r>
                </w:p>
              </w:tc>
              <w:tc>
                <w:tcPr/>
                <w:p>
                  <w:pPr>
                    <w:pStyle w:val="Compact"/>
                    <w:jc w:val="center"/>
                  </w:pPr>
                  <w:r>
                    <w:t xml:space="preserve">G4</w:t>
                  </w:r>
                </w:p>
              </w:tc>
              <w:tc>
                <w:tcPr/>
                <w:p>
                  <w:pPr>
                    <w:pStyle w:val="Compact"/>
                    <w:jc w:val="center"/>
                  </w:pPr>
                  <w:r>
                    <w:t xml:space="preserve">300</w:t>
                  </w:r>
                </w:p>
              </w:tc>
              <w:tc>
                <w:tcPr/>
                <w:p>
                  <w:pPr>
                    <w:pStyle w:val="Compact"/>
                    <w:jc w:val="center"/>
                  </w:pPr>
                  <w:r>
                    <w:t xml:space="preserve">codificar em dupla, às cegas, a amostra elusao01 (300 registros)</w:t>
                  </w:r>
                </w:p>
              </w:tc>
              <w:tc>
                <w:tcPr/>
                <w:p>
                  <w:pPr>
                    <w:pStyle w:val="Compact"/>
                    <w:jc w:val="center"/>
                  </w:pPr>
                  <w:r>
                    <w:rPr>
                      <w:rStyle w:val="VerbatimChar"/>
                    </w:rPr>
                    <w:t xml:space="preserve">P006_P007_validacao/</w:t>
                  </w:r>
                </w:p>
              </w:tc>
              <w:tc>
                <w:tcPr/>
                <w:p>
                  <w:pPr>
                    <w:pStyle w:val="Compact"/>
                    <w:jc w:val="center"/>
                  </w:pPr>
                  <w:r>
                    <w:t xml:space="preserve">2 h</w:t>
                  </w:r>
                </w:p>
              </w:tc>
            </w:tr>
            <w:tr>
              <w:tc>
                <w:tcPr/>
                <w:p>
                  <w:pPr>
                    <w:pStyle w:val="Compact"/>
                    <w:jc w:val="center"/>
                  </w:pPr>
                  <w:r>
                    <w:t xml:space="preserve">P008</w:t>
                  </w:r>
                </w:p>
              </w:tc>
              <w:tc>
                <w:tcPr/>
                <w:p>
                  <w:pPr>
                    <w:pStyle w:val="Compact"/>
                    <w:jc w:val="center"/>
                  </w:pPr>
                  <w:r>
                    <w:t xml:space="preserve">revisao_humana_portao</w:t>
                  </w:r>
                </w:p>
              </w:tc>
              <w:tc>
                <w:tcPr/>
                <w:p>
                  <w:pPr>
                    <w:pStyle w:val="Compact"/>
                    <w:jc w:val="center"/>
                  </w:pPr>
                  <w:r>
                    <w:t xml:space="preserve">06_triagem_ta</w:t>
                  </w:r>
                </w:p>
              </w:tc>
              <w:tc>
                <w:tcPr/>
                <w:p>
                  <w:pPr>
                    <w:pStyle w:val="Compact"/>
                    <w:jc w:val="center"/>
                  </w:pPr>
                  <w:r>
                    <w:t xml:space="preserve">G4</w:t>
                  </w:r>
                </w:p>
              </w:tc>
              <w:tc>
                <w:tcPr/>
                <w:p>
                  <w:pPr>
                    <w:pStyle w:val="Compact"/>
                    <w:jc w:val="center"/>
                  </w:pPr>
                  <w:r>
                    <w:t xml:space="preserve">não se aplica</w:t>
                  </w:r>
                </w:p>
              </w:tc>
              <w:tc>
                <w:tcPr/>
                <w:p>
                  <w:pPr>
                    <w:pStyle w:val="Compact"/>
                    <w:jc w:val="center"/>
                  </w:pPr>
                  <w:r>
                    <w:t xml:space="preserve">confirmar a aprovação automática do G4: nenhuma validação humana (finalidade validacao) calculada para a rodada ativa ta_v1 (rs.py validar calcular); P005 aberta: resolver 47 divergências da triagem (ta_v1) com</w:t>
                  </w:r>
                  <w:r>
                    <w:t xml:space="preserve"> </w:t>
                  </w:r>
                  <w:r>
                    <w:rPr>
                      <w:rStyle w:val="VerbatimChar"/>
                    </w:rPr>
                    <w:t xml:space="preserve">triagem override --fila 02-triagem/fila_humana_ta_v1.csv</w:t>
                  </w:r>
                  <w:r>
                    <w:t xml:space="preserve">; P006 aberta: codificar em dupla, às cegas, a amostra amostra01 (141 registros); P007 aberta: codificar em dupla, às cegas, a amostra elusao01 (300 registros)</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P019</w:t>
                  </w:r>
                </w:p>
              </w:tc>
              <w:tc>
                <w:tcPr/>
                <w:p>
                  <w:pPr>
                    <w:pStyle w:val="Compact"/>
                    <w:jc w:val="center"/>
                  </w:pPr>
                  <w:r>
                    <w:t xml:space="preserve">dedup_candidatos</w:t>
                  </w:r>
                </w:p>
              </w:tc>
              <w:tc>
                <w:tcPr/>
                <w:p>
                  <w:pPr>
                    <w:pStyle w:val="Compact"/>
                    <w:jc w:val="center"/>
                  </w:pPr>
                  <w:r>
                    <w:t xml:space="preserve">05_organizacao</w:t>
                  </w:r>
                </w:p>
              </w:tc>
              <w:tc>
                <w:tcPr/>
                <w:p>
                  <w:pPr>
                    <w:pStyle w:val="Compact"/>
                    <w:jc w:val="center"/>
                  </w:pPr>
                  <w:r>
                    <w:t xml:space="preserve">nenhum</w:t>
                  </w:r>
                </w:p>
              </w:tc>
              <w:tc>
                <w:tcPr/>
                <w:p>
                  <w:pPr>
                    <w:pStyle w:val="Compact"/>
                    <w:jc w:val="center"/>
                  </w:pPr>
                  <w:r>
                    <w:t xml:space="preserve">145</w:t>
                  </w:r>
                </w:p>
              </w:tc>
              <w:tc>
                <w:tcPr/>
                <w:p>
                  <w:pPr>
                    <w:pStyle w:val="Compact"/>
                    <w:jc w:val="center"/>
                  </w:pPr>
                  <w:r>
                    <w:t xml:space="preserve">145 pares candidatos de duplicata aguardando revisão (rs.py dedup –revisar 01-busca/dedup_pares.csv) [substitui P015]</w:t>
                  </w:r>
                </w:p>
              </w:tc>
              <w:tc>
                <w:tcPr/>
                <w:p>
                  <w:pPr>
                    <w:pStyle w:val="Compact"/>
                    <w:jc w:val="center"/>
                  </w:pPr>
                  <w:r>
                    <w:rPr>
                      <w:rStyle w:val="VerbatimChar"/>
                    </w:rPr>
                    <w:t xml:space="preserve">P019_dedup/</w:t>
                  </w:r>
                </w:p>
              </w:tc>
              <w:tc>
                <w:tcPr/>
                <w:p>
                  <w:pPr>
                    <w:pStyle w:val="Compact"/>
                    <w:jc w:val="center"/>
                  </w:pPr>
                  <w:r>
                    <w:t xml:space="preserve">1 a 1,5 h</w:t>
                  </w:r>
                </w:p>
              </w:tc>
            </w:tr>
            <w:tr>
              <w:tc>
                <w:tcPr/>
                <w:p>
                  <w:pPr>
                    <w:pStyle w:val="Compact"/>
                    <w:jc w:val="center"/>
                  </w:pPr>
                  <w:r>
                    <w:t xml:space="preserve">P020</w:t>
                  </w:r>
                </w:p>
              </w:tc>
              <w:tc>
                <w:tcPr/>
                <w:p>
                  <w:pPr>
                    <w:pStyle w:val="Compact"/>
                    <w:jc w:val="center"/>
                  </w:pPr>
                  <w:r>
                    <w:t xml:space="preserve">fila_humana_triagem</w:t>
                  </w:r>
                </w:p>
              </w:tc>
              <w:tc>
                <w:tcPr/>
                <w:p>
                  <w:pPr>
                    <w:pStyle w:val="Compact"/>
                    <w:jc w:val="center"/>
                  </w:pPr>
                  <w:r>
                    <w:t xml:space="preserve">06_triagem_ta</w:t>
                  </w:r>
                </w:p>
              </w:tc>
              <w:tc>
                <w:tcPr/>
                <w:p>
                  <w:pPr>
                    <w:pStyle w:val="Compact"/>
                    <w:jc w:val="center"/>
                  </w:pPr>
                  <w:r>
                    <w:t xml:space="preserve">G4</w:t>
                  </w:r>
                </w:p>
              </w:tc>
              <w:tc>
                <w:tcPr/>
                <w:p>
                  <w:pPr>
                    <w:pStyle w:val="Compact"/>
                    <w:jc w:val="center"/>
                  </w:pPr>
                  <w:r>
                    <w:t xml:space="preserve">81</w:t>
                  </w:r>
                </w:p>
              </w:tc>
              <w:tc>
                <w:tcPr/>
                <w:p>
                  <w:pPr>
                    <w:pStyle w:val="Compact"/>
                    <w:jc w:val="center"/>
                  </w:pPr>
                  <w:r>
                    <w:t xml:space="preserve">resolver 81 divergências da triagem (ta_v1) com</w:t>
                  </w:r>
                  <w:r>
                    <w:t xml:space="preserve"> </w:t>
                  </w:r>
                  <w:r>
                    <w:rPr>
                      <w:rStyle w:val="VerbatimChar"/>
                    </w:rPr>
                    <w:t xml:space="preserve">triagem override --fila 02-triagem/fila_humana_ta_v1.csv</w:t>
                  </w:r>
                  <w:r>
                    <w:t xml:space="preserve"> </w:t>
                  </w:r>
                  <w:r>
                    <w:t xml:space="preserve">[substitui P016]</w:t>
                  </w:r>
                </w:p>
              </w:tc>
              <w:tc>
                <w:tcPr/>
                <w:p>
                  <w:pPr>
                    <w:pStyle w:val="Compact"/>
                    <w:jc w:val="center"/>
                  </w:pPr>
                  <w:r>
                    <w:rPr>
                      <w:rStyle w:val="VerbatimChar"/>
                    </w:rPr>
                    <w:t xml:space="preserve">P020_triagem/</w:t>
                  </w:r>
                </w:p>
              </w:tc>
              <w:tc>
                <w:tcPr/>
                <w:p>
                  <w:pPr>
                    <w:pStyle w:val="Compact"/>
                    <w:jc w:val="center"/>
                  </w:pPr>
                  <w:r>
                    <w:t xml:space="preserve">1 h</w:t>
                  </w:r>
                </w:p>
              </w:tc>
            </w:tr>
            <w:tr>
              <w:tc>
                <w:tcPr/>
                <w:p>
                  <w:pPr>
                    <w:pStyle w:val="Compact"/>
                    <w:jc w:val="center"/>
                  </w:pPr>
                  <w:r>
                    <w:t xml:space="preserve">P023</w:t>
                  </w:r>
                </w:p>
              </w:tc>
              <w:tc>
                <w:tcPr/>
                <w:p>
                  <w:pPr>
                    <w:pStyle w:val="Compact"/>
                    <w:jc w:val="center"/>
                  </w:pPr>
                  <w:r>
                    <w:t xml:space="preserve">revisao_humana_portao</w:t>
                  </w:r>
                </w:p>
              </w:tc>
              <w:tc>
                <w:tcPr/>
                <w:p>
                  <w:pPr>
                    <w:pStyle w:val="Compact"/>
                    <w:jc w:val="center"/>
                  </w:pPr>
                  <w:r>
                    <w:t xml:space="preserve">07_textos_elegibilidade</w:t>
                  </w:r>
                </w:p>
              </w:tc>
              <w:tc>
                <w:tcPr/>
                <w:p>
                  <w:pPr>
                    <w:pStyle w:val="Compact"/>
                    <w:jc w:val="center"/>
                  </w:pPr>
                  <w:r>
                    <w:t xml:space="preserve">G5</w:t>
                  </w:r>
                </w:p>
              </w:tc>
              <w:tc>
                <w:tcPr/>
                <w:p>
                  <w:pPr>
                    <w:pStyle w:val="Compact"/>
                    <w:jc w:val="center"/>
                  </w:pPr>
                  <w:r>
                    <w:t xml:space="preserve">não se aplica</w:t>
                  </w:r>
                </w:p>
              </w:tc>
              <w:tc>
                <w:tcPr/>
                <w:p>
                  <w:pPr>
                    <w:pStyle w:val="Compact"/>
                    <w:jc w:val="center"/>
                  </w:pPr>
                  <w:r>
                    <w:t xml:space="preserve">confirmar a aprovação automática do G5: P022 aberta: conferir 149 decisões de elegibilidade propostas a partir das fichas (humano decide com</w:t>
                  </w:r>
                  <w:r>
                    <w:t xml:space="preserve"> </w:t>
                  </w:r>
                  <w:r>
                    <w:rPr>
                      <w:rStyle w:val="VerbatimChar"/>
                    </w:rPr>
                    <w:t xml:space="preserve">triagem override --etapa tc</w:t>
                  </w:r>
                  <w:r>
                    <w:t xml:space="preserve">; incertos primeiro) [substitui P021]</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P025</w:t>
                  </w:r>
                </w:p>
              </w:tc>
              <w:tc>
                <w:tcPr/>
                <w:p>
                  <w:pPr>
                    <w:pStyle w:val="Compact"/>
                    <w:jc w:val="center"/>
                  </w:pPr>
                  <w:r>
                    <w:t xml:space="preserve">revisao_piloto</w:t>
                  </w:r>
                </w:p>
              </w:tc>
              <w:tc>
                <w:tcPr/>
                <w:p>
                  <w:pPr>
                    <w:pStyle w:val="Compact"/>
                    <w:jc w:val="center"/>
                  </w:pPr>
                  <w:r>
                    <w:t xml:space="preserve">08_piloto_extracao</w:t>
                  </w:r>
                </w:p>
              </w:tc>
              <w:tc>
                <w:tcPr/>
                <w:p>
                  <w:pPr>
                    <w:pStyle w:val="Compact"/>
                    <w:jc w:val="center"/>
                  </w:pPr>
                  <w:r>
                    <w:t xml:space="preserve">G6</w:t>
                  </w:r>
                </w:p>
              </w:tc>
              <w:tc>
                <w:tcPr/>
                <w:p>
                  <w:pPr>
                    <w:pStyle w:val="Compact"/>
                    <w:jc w:val="center"/>
                  </w:pPr>
                  <w:r>
                    <w:t xml:space="preserve">3</w:t>
                  </w:r>
                </w:p>
              </w:tc>
              <w:tc>
                <w:tcPr/>
                <w:p>
                  <w:pPr>
                    <w:pStyle w:val="Compact"/>
                    <w:jc w:val="center"/>
                  </w:pPr>
                  <w:r>
                    <w:t xml:space="preserve">conferir fichas e efeitos do piloto contra os PDFs (revisão de coordenador de IA já feita e documentada em 05-decomposicao/piloto/revisao_coordenador.md; falta conferência humana)</w:t>
                  </w:r>
                </w:p>
              </w:tc>
              <w:tc>
                <w:tcPr/>
                <w:p>
                  <w:pPr>
                    <w:pStyle w:val="Compact"/>
                    <w:jc w:val="center"/>
                  </w:pPr>
                  <w:r>
                    <w:rPr>
                      <w:rStyle w:val="VerbatimChar"/>
                    </w:rPr>
                    <w:t xml:space="preserve">P025_piloto/</w:t>
                  </w:r>
                </w:p>
              </w:tc>
              <w:tc>
                <w:tcPr/>
                <w:p>
                  <w:pPr>
                    <w:pStyle w:val="Compact"/>
                    <w:jc w:val="center"/>
                  </w:pPr>
                  <w:r>
                    <w:t xml:space="preserve">1 h</w:t>
                  </w:r>
                </w:p>
              </w:tc>
            </w:tr>
            <w:tr>
              <w:tc>
                <w:tcPr/>
                <w:p>
                  <w:pPr>
                    <w:pStyle w:val="Compact"/>
                    <w:jc w:val="center"/>
                  </w:pPr>
                  <w:r>
                    <w:t xml:space="preserve">P026</w:t>
                  </w:r>
                </w:p>
              </w:tc>
              <w:tc>
                <w:tcPr/>
                <w:p>
                  <w:pPr>
                    <w:pStyle w:val="Compact"/>
                    <w:jc w:val="center"/>
                  </w:pPr>
                  <w:r>
                    <w:t xml:space="preserve">revisao_humana_portao</w:t>
                  </w:r>
                </w:p>
              </w:tc>
              <w:tc>
                <w:tcPr/>
                <w:p>
                  <w:pPr>
                    <w:pStyle w:val="Compact"/>
                    <w:jc w:val="center"/>
                  </w:pPr>
                  <w:r>
                    <w:t xml:space="preserve">08_piloto_extracao</w:t>
                  </w:r>
                </w:p>
              </w:tc>
              <w:tc>
                <w:tcPr/>
                <w:p>
                  <w:pPr>
                    <w:pStyle w:val="Compact"/>
                    <w:jc w:val="center"/>
                  </w:pPr>
                  <w:r>
                    <w:t xml:space="preserve">G6</w:t>
                  </w:r>
                </w:p>
              </w:tc>
              <w:tc>
                <w:tcPr/>
                <w:p>
                  <w:pPr>
                    <w:pStyle w:val="Compact"/>
                    <w:jc w:val="center"/>
                  </w:pPr>
                  <w:r>
                    <w:t xml:space="preserve">não se aplica</w:t>
                  </w:r>
                </w:p>
              </w:tc>
              <w:tc>
                <w:tcPr/>
                <w:p>
                  <w:pPr>
                    <w:pStyle w:val="Compact"/>
                    <w:jc w:val="center"/>
                  </w:pPr>
                  <w:r>
                    <w:t xml:space="preserve">confirmar a aprovação automática do G6: P025 aberta: conferir fichas e efeitos do piloto contra os PDFs (revisão de coordenador de IA já feita e documentada em 05-decomposicao/piloto/revisao_coordenador.md; falta conferência humana)</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P033</w:t>
                  </w:r>
                </w:p>
              </w:tc>
              <w:tc>
                <w:tcPr/>
                <w:p>
                  <w:pPr>
                    <w:pStyle w:val="Compact"/>
                    <w:jc w:val="center"/>
                  </w:pPr>
                  <w:r>
                    <w:t xml:space="preserve">revisao_humana_portao</w:t>
                  </w:r>
                </w:p>
              </w:tc>
              <w:tc>
                <w:tcPr/>
                <w:p>
                  <w:pPr>
                    <w:pStyle w:val="Compact"/>
                    <w:jc w:val="center"/>
                  </w:pPr>
                  <w:r>
                    <w:t xml:space="preserve">09_extracao_rob</w:t>
                  </w:r>
                </w:p>
              </w:tc>
              <w:tc>
                <w:tcPr/>
                <w:p>
                  <w:pPr>
                    <w:pStyle w:val="Compact"/>
                    <w:jc w:val="center"/>
                  </w:pPr>
                  <w:r>
                    <w:t xml:space="preserve">G7</w:t>
                  </w:r>
                </w:p>
              </w:tc>
              <w:tc>
                <w:tcPr/>
                <w:p>
                  <w:pPr>
                    <w:pStyle w:val="Compact"/>
                    <w:jc w:val="center"/>
                  </w:pPr>
                  <w:r>
                    <w:t xml:space="preserve">não se aplica</w:t>
                  </w:r>
                </w:p>
              </w:tc>
              <w:tc>
                <w:tcPr/>
                <w:p>
                  <w:pPr>
                    <w:pStyle w:val="Compact"/>
                    <w:jc w:val="center"/>
                  </w:pPr>
                  <w:r>
                    <w:t xml:space="preserve">confirmar a aprovação automática do G7: 554 efeitos sem verificação humana na página do PDF (apto_g7 = 0; ex.: Agranov2017a-E01, Agranov2017a-E02, Agranov2017a-E03, Agranov2017a-E04, Agranov2017a-E05); RoB de rob2 (seq 745) com 23 de 23 resultados sem validação humana (todos_validados_humano diferente de true): a concordância entre avaliadores não humanos não valida; resolva por humano no consenso e consolide de novo; RoB de robins_i (seq 747) com 13 de 13 resultados sem validação humana (todos_validados_humano diferente de true): a concordância entre avaliadores não humanos não valida; resolva por humano no consenso e consolide de novo; RoB de epoc (seq 749) com 7 de 7 resultados sem validação humana (todos_validados_humano diferente de true): a concordância entre avaliadores não humanos não valida; resolva por humano no consenso e consolide de novo; P032 aberta: conferir 100% dos dados de efeito na página do PDF e marcar verificado_humano [substitui P027]</w:t>
                  </w:r>
                </w:p>
              </w:tc>
              <w:tc>
                <w:tcPr/>
                <w:p>
                  <w:pPr>
                    <w:pStyle w:val="Compact"/>
                    <w:jc w:val="center"/>
                  </w:pPr>
                  <w:r>
                    <w:rPr>
                      <w:rStyle w:val="VerbatimChar"/>
                    </w:rPr>
                    <w:t xml:space="preserve">P033_rob/</w:t>
                  </w:r>
                </w:p>
              </w:tc>
              <w:tc>
                <w:tcPr/>
                <w:p>
                  <w:pPr>
                    <w:pStyle w:val="Compact"/>
                    <w:jc w:val="center"/>
                  </w:pPr>
                  <w:r>
                    <w:t xml:space="preserve">4 a 6 h</w:t>
                  </w:r>
                </w:p>
              </w:tc>
            </w:tr>
            <w:tr>
              <w:tc>
                <w:tcPr/>
                <w:p>
                  <w:pPr>
                    <w:pStyle w:val="Compact"/>
                    <w:jc w:val="center"/>
                  </w:pPr>
                  <w:r>
                    <w:t xml:space="preserve">P035</w:t>
                  </w:r>
                </w:p>
              </w:tc>
              <w:tc>
                <w:tcPr/>
                <w:p>
                  <w:pPr>
                    <w:pStyle w:val="Compact"/>
                    <w:jc w:val="center"/>
                  </w:pPr>
                  <w:r>
                    <w:t xml:space="preserve">revisao_humana_portao</w:t>
                  </w:r>
                </w:p>
              </w:tc>
              <w:tc>
                <w:tcPr/>
                <w:p>
                  <w:pPr>
                    <w:pStyle w:val="Compact"/>
                    <w:jc w:val="center"/>
                  </w:pPr>
                  <w:r>
                    <w:t xml:space="preserve">10_sintese</w:t>
                  </w:r>
                </w:p>
              </w:tc>
              <w:tc>
                <w:tcPr/>
                <w:p>
                  <w:pPr>
                    <w:pStyle w:val="Compact"/>
                    <w:jc w:val="center"/>
                  </w:pPr>
                  <w:r>
                    <w:t xml:space="preserve">G8</w:t>
                  </w:r>
                </w:p>
              </w:tc>
              <w:tc>
                <w:tcPr/>
                <w:p>
                  <w:pPr>
                    <w:pStyle w:val="Compact"/>
                    <w:jc w:val="center"/>
                  </w:pPr>
                  <w:r>
                    <w:t xml:space="preserve">não se aplica</w:t>
                  </w:r>
                </w:p>
              </w:tc>
              <w:tc>
                <w:tcPr/>
                <w:p>
                  <w:pPr>
                    <w:pStyle w:val="Compact"/>
                    <w:jc w:val="center"/>
                  </w:pPr>
                  <w:r>
                    <w:t xml:space="preserve">confirmar a aprovação automática do G8: P034 aberta: GRADE das 7 células em 06-analise/certeza.csv rascunhado por subagente (claude-opus-5-5), validado_humano vazio; revisor humano deve confirmar ou alterar cada juízo (ver ponto sobre viés de publicação na célula 1)</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P036</w:t>
                  </w:r>
                </w:p>
              </w:tc>
              <w:tc>
                <w:tcPr/>
                <w:p>
                  <w:pPr>
                    <w:pStyle w:val="Compact"/>
                    <w:jc w:val="center"/>
                  </w:pPr>
                  <w:r>
                    <w:t xml:space="preserve">certeza_humana</w:t>
                  </w:r>
                </w:p>
              </w:tc>
              <w:tc>
                <w:tcPr/>
                <w:p>
                  <w:pPr>
                    <w:pStyle w:val="Compact"/>
                    <w:jc w:val="center"/>
                  </w:pPr>
                  <w:r>
                    <w:t xml:space="preserve">10_sintese</w:t>
                  </w:r>
                </w:p>
              </w:tc>
              <w:tc>
                <w:tcPr/>
                <w:p>
                  <w:pPr>
                    <w:pStyle w:val="Compact"/>
                    <w:jc w:val="center"/>
                  </w:pPr>
                  <w:r>
                    <w:t xml:space="preserve">nenhum</w:t>
                  </w:r>
                </w:p>
              </w:tc>
              <w:tc>
                <w:tcPr/>
                <w:p>
                  <w:pPr>
                    <w:pStyle w:val="Compact"/>
                    <w:jc w:val="center"/>
                  </w:pPr>
                  <w:r>
                    <w:t xml:space="preserve">não se aplica</w:t>
                  </w:r>
                </w:p>
              </w:tc>
              <w:tc>
                <w:tcPr/>
                <w:p>
                  <w:pPr>
                    <w:pStyle w:val="Compact"/>
                    <w:jc w:val="center"/>
                  </w:pPr>
                  <w:r>
                    <w:t xml:space="preserve">GRADE refeito após a Emenda 5: 21 linhas em 06-analise/certeza.csv (17 células do protocolo + 4 do agrupamento amplo descritivo), rascunhadas por subagente (claude-opus-5-5) com validado_humano vazio; decidir em especial o rebaixamento por viés de publicação no agrupamento amplo de apoio randomizado (baixa × moderada)</w:t>
                  </w:r>
                </w:p>
              </w:tc>
              <w:tc>
                <w:tcPr/>
                <w:p>
                  <w:pPr>
                    <w:pStyle w:val="Compact"/>
                    <w:jc w:val="center"/>
                  </w:pPr>
                  <w:r>
                    <w:rPr>
                      <w:rStyle w:val="VerbatimChar"/>
                    </w:rPr>
                    <w:t xml:space="preserve">P036_grade/</w:t>
                  </w:r>
                </w:p>
              </w:tc>
              <w:tc>
                <w:tcPr/>
                <w:p>
                  <w:pPr>
                    <w:pStyle w:val="Compact"/>
                    <w:jc w:val="center"/>
                  </w:pPr>
                  <w:r>
                    <w:t xml:space="preserve">1 h</w:t>
                  </w:r>
                </w:p>
              </w:tc>
            </w:tr>
            <w:tr>
              <w:tc>
                <w:tcPr/>
                <w:p>
                  <w:pPr>
                    <w:pStyle w:val="Compact"/>
                    <w:jc w:val="center"/>
                  </w:pPr>
                  <w:r>
                    <w:t xml:space="preserve">P037</w:t>
                  </w:r>
                </w:p>
              </w:tc>
              <w:tc>
                <w:tcPr/>
                <w:p>
                  <w:pPr>
                    <w:pStyle w:val="Compact"/>
                    <w:jc w:val="center"/>
                  </w:pPr>
                  <w:r>
                    <w:t xml:space="preserve">concordancia_extracao</w:t>
                  </w:r>
                </w:p>
              </w:tc>
              <w:tc>
                <w:tcPr/>
                <w:p>
                  <w:pPr>
                    <w:pStyle w:val="Compact"/>
                    <w:jc w:val="center"/>
                  </w:pPr>
                  <w:r>
                    <w:t xml:space="preserve">09_extracao_rob</w:t>
                  </w:r>
                </w:p>
              </w:tc>
              <w:tc>
                <w:tcPr/>
                <w:p>
                  <w:pPr>
                    <w:pStyle w:val="Compact"/>
                    <w:jc w:val="center"/>
                  </w:pPr>
                  <w:r>
                    <w:t xml:space="preserve">nenhum</w:t>
                  </w:r>
                </w:p>
              </w:tc>
              <w:tc>
                <w:tcPr/>
                <w:p>
                  <w:pPr>
                    <w:pStyle w:val="Compact"/>
                    <w:jc w:val="center"/>
                  </w:pPr>
                  <w:r>
                    <w:t xml:space="preserve">não se aplica</w:t>
                  </w:r>
                </w:p>
              </w:tc>
              <w:tc>
                <w:tcPr/>
                <w:p>
                  <w:pPr>
                    <w:pStyle w:val="Compact"/>
                    <w:jc w:val="center"/>
                  </w:pPr>
                  <w:r>
                    <w:t xml:space="preserve">Recodificação cega (Sonnet) de 10 estudos: concordância de valores 58,5% (560 comparações), 37 variáveis sinalizadas, entre elas alvo_efeito (50%, κ 0,38), comparador_tipo (50%, κ 0,38), b2_estimando (60%, κ 0,15) e direção do principal (50%); humano deve arbitrar as divergências em 05-decomposicao/validacao_extracao/concordancia/concordancia.csv ou redefinir e recodificar</w:t>
                  </w:r>
                </w:p>
              </w:tc>
              <w:tc>
                <w:tcPr/>
                <w:p>
                  <w:pPr>
                    <w:pStyle w:val="Compact"/>
                    <w:jc w:val="center"/>
                  </w:pPr>
                  <w:r>
                    <w:rPr>
                      <w:rStyle w:val="VerbatimChar"/>
                    </w:rPr>
                    <w:t xml:space="preserve">P037_concordancia/</w:t>
                  </w:r>
                </w:p>
              </w:tc>
              <w:tc>
                <w:tcPr/>
                <w:p>
                  <w:pPr>
                    <w:pStyle w:val="Compact"/>
                    <w:jc w:val="center"/>
                  </w:pPr>
                  <w:r>
                    <w:t xml:space="preserve">2 a 3 h</w:t>
                  </w:r>
                </w:p>
              </w:tc>
            </w:tr>
            <w:tr>
              <w:tc>
                <w:tcPr/>
                <w:p>
                  <w:pPr>
                    <w:pStyle w:val="Compact"/>
                    <w:jc w:val="center"/>
                  </w:pPr>
                  <w:r>
                    <w:t xml:space="preserve">P038</w:t>
                  </w:r>
                </w:p>
              </w:tc>
              <w:tc>
                <w:tcPr/>
                <w:p>
                  <w:pPr>
                    <w:pStyle w:val="Compact"/>
                    <w:jc w:val="center"/>
                  </w:pPr>
                  <w:r>
                    <w:t xml:space="preserve">revisao_humana_portao</w:t>
                  </w:r>
                </w:p>
              </w:tc>
              <w:tc>
                <w:tcPr/>
                <w:p>
                  <w:pPr>
                    <w:pStyle w:val="Compact"/>
                    <w:jc w:val="center"/>
                  </w:pPr>
                  <w:r>
                    <w:t xml:space="preserve">11_relato</w:t>
                  </w:r>
                </w:p>
              </w:tc>
              <w:tc>
                <w:tcPr/>
                <w:p>
                  <w:pPr>
                    <w:pStyle w:val="Compact"/>
                    <w:jc w:val="center"/>
                  </w:pPr>
                  <w:r>
                    <w:t xml:space="preserve">G9</w:t>
                  </w:r>
                </w:p>
              </w:tc>
              <w:tc>
                <w:tcPr/>
                <w:p>
                  <w:pPr>
                    <w:pStyle w:val="Compact"/>
                    <w:jc w:val="center"/>
                  </w:pPr>
                  <w:r>
                    <w:t xml:space="preserve">não se aplica</w:t>
                  </w:r>
                </w:p>
              </w:tc>
              <w:tc>
                <w:tcPr/>
                <w:p>
                  <w:pPr>
                    <w:pStyle w:val="Compact"/>
                    <w:jc w:val="center"/>
                  </w:pPr>
                  <w:r>
                    <w:t xml:space="preserve">confirmar a aprovação automática do G9</w:t>
                  </w:r>
                </w:p>
              </w:tc>
              <w:tc>
                <w:tcPr/>
                <w:p>
                  <w:pPr>
                    <w:pStyle w:val="Compact"/>
                    <w:jc w:val="center"/>
                  </w:pPr>
                  <w:r>
                    <w:rPr>
                      <w:rStyle w:val="VerbatimChar"/>
                    </w:rPr>
                    <w:t xml:space="preserve">07-relatorio/relatorio.html</w:t>
                  </w:r>
                </w:p>
              </w:tc>
              <w:tc>
                <w:tcPr/>
                <w:p>
                  <w:pPr>
                    <w:pStyle w:val="Compact"/>
                    <w:jc w:val="center"/>
                  </w:pPr>
                  <w:r>
                    <w:t xml:space="preserve">2 h</w:t>
                  </w:r>
                </w:p>
              </w:tc>
            </w:tr>
            <w:tr>
              <w:tc>
                <w:tcPr/>
                <w:p>
                  <w:pPr>
                    <w:pStyle w:val="Compact"/>
                    <w:jc w:val="center"/>
                  </w:pPr>
                  <w:r>
                    <w:t xml:space="preserve">P039</w:t>
                  </w:r>
                </w:p>
              </w:tc>
              <w:tc>
                <w:tcPr/>
                <w:p>
                  <w:pPr>
                    <w:pStyle w:val="Compact"/>
                    <w:jc w:val="center"/>
                  </w:pPr>
                  <w:r>
                    <w:t xml:space="preserve">verificacao_humana_efeitos</w:t>
                  </w:r>
                </w:p>
              </w:tc>
              <w:tc>
                <w:tcPr/>
                <w:p>
                  <w:pPr>
                    <w:pStyle w:val="Compact"/>
                    <w:jc w:val="center"/>
                  </w:pPr>
                  <w:r>
                    <w:t xml:space="preserve">09_extracao_rob</w:t>
                  </w:r>
                </w:p>
              </w:tc>
              <w:tc>
                <w:tcPr/>
                <w:p>
                  <w:pPr>
                    <w:pStyle w:val="Compact"/>
                    <w:jc w:val="center"/>
                  </w:pPr>
                  <w:r>
                    <w:t xml:space="preserve">G7</w:t>
                  </w:r>
                </w:p>
              </w:tc>
              <w:tc>
                <w:tcPr/>
                <w:p>
                  <w:pPr>
                    <w:pStyle w:val="Compact"/>
                    <w:jc w:val="center"/>
                  </w:pPr>
                  <w:r>
                    <w:t xml:space="preserve">560</w:t>
                  </w:r>
                </w:p>
              </w:tc>
              <w:tc>
                <w:tcPr/>
                <w:p>
                  <w:pPr>
                    <w:pStyle w:val="Compact"/>
                    <w:jc w:val="center"/>
                  </w:pPr>
                  <w:r>
                    <w:t xml:space="preserve">conferir 100% dos dados de efeito na página do PDF e marcar verificado_humano [substitui P032]</w:t>
                  </w:r>
                </w:p>
              </w:tc>
              <w:tc>
                <w:tcPr/>
                <w:p>
                  <w:pPr>
                    <w:pStyle w:val="Compact"/>
                    <w:jc w:val="center"/>
                  </w:pPr>
                  <w:r>
                    <w:rPr>
                      <w:rStyle w:val="VerbatimChar"/>
                    </w:rPr>
                    <w:t xml:space="preserve">efeitos/</w:t>
                  </w:r>
                </w:p>
              </w:tc>
              <w:tc>
                <w:tcPr/>
                <w:p>
                  <w:pPr>
                    <w:pStyle w:val="Compact"/>
                    <w:jc w:val="center"/>
                  </w:pPr>
                  <w:r>
                    <w:t xml:space="preserve">6 a 10 h</w:t>
                  </w:r>
                </w:p>
              </w:tc>
            </w:tr>
            <w:tr>
              <w:tc>
                <w:tcPr/>
                <w:p>
                  <w:pPr>
                    <w:pStyle w:val="Compact"/>
                    <w:jc w:val="center"/>
                  </w:pPr>
                  <w:r>
                    <w:t xml:space="preserve">P041</w:t>
                  </w:r>
                </w:p>
              </w:tc>
              <w:tc>
                <w:tcPr/>
                <w:p>
                  <w:pPr>
                    <w:pStyle w:val="Compact"/>
                    <w:jc w:val="center"/>
                  </w:pPr>
                  <w:r>
                    <w:t xml:space="preserve">conferencia_elegibilidade_tc</w:t>
                  </w:r>
                </w:p>
              </w:tc>
              <w:tc>
                <w:tcPr/>
                <w:p>
                  <w:pPr>
                    <w:pStyle w:val="Compact"/>
                    <w:jc w:val="center"/>
                  </w:pPr>
                  <w:r>
                    <w:t xml:space="preserve">07_textos_elegibilidade</w:t>
                  </w:r>
                </w:p>
              </w:tc>
              <w:tc>
                <w:tcPr/>
                <w:p>
                  <w:pPr>
                    <w:pStyle w:val="Compact"/>
                    <w:jc w:val="center"/>
                  </w:pPr>
                  <w:r>
                    <w:t xml:space="preserve">G5</w:t>
                  </w:r>
                </w:p>
              </w:tc>
              <w:tc>
                <w:tcPr/>
                <w:p>
                  <w:pPr>
                    <w:pStyle w:val="Compact"/>
                    <w:jc w:val="center"/>
                  </w:pPr>
                  <w:r>
                    <w:t xml:space="preserve">165</w:t>
                  </w:r>
                </w:p>
              </w:tc>
              <w:tc>
                <w:tcPr/>
                <w:p>
                  <w:pPr>
                    <w:pStyle w:val="Compact"/>
                    <w:jc w:val="center"/>
                  </w:pPr>
                  <w:r>
                    <w:t xml:space="preserve">conferir 165 decisões de elegibilidade propostas a partir das fichas (humano decide com</w:t>
                  </w:r>
                  <w:r>
                    <w:t xml:space="preserve"> </w:t>
                  </w:r>
                  <w:r>
                    <w:rPr>
                      <w:rStyle w:val="VerbatimChar"/>
                    </w:rPr>
                    <w:t xml:space="preserve">triagem override --etapa tc</w:t>
                  </w:r>
                  <w:r>
                    <w:t xml:space="preserve">; incertos primeiro) [substitui P040]</w:t>
                  </w:r>
                </w:p>
              </w:tc>
              <w:tc>
                <w:tcPr/>
                <w:p>
                  <w:pPr>
                    <w:pStyle w:val="Compact"/>
                    <w:jc w:val="center"/>
                  </w:pPr>
                  <w:r>
                    <w:rPr>
                      <w:rStyle w:val="VerbatimChar"/>
                    </w:rPr>
                    <w:t xml:space="preserve">P041_elegibilidade/</w:t>
                  </w:r>
                </w:p>
              </w:tc>
              <w:tc>
                <w:tcPr/>
                <w:p>
                  <w:pPr>
                    <w:pStyle w:val="Compact"/>
                    <w:jc w:val="center"/>
                  </w:pPr>
                  <w:r>
                    <w:t xml:space="preserve">3 a 4 h</w:t>
                  </w:r>
                </w:p>
              </w:tc>
            </w:tr>
            <w:tr>
              <w:tc>
                <w:tcPr/>
                <w:p>
                  <w:pPr>
                    <w:pStyle w:val="Compact"/>
                    <w:jc w:val="center"/>
                  </w:pPr>
                  <w:r>
                    <w:t xml:space="preserve">P042</w:t>
                  </w:r>
                </w:p>
              </w:tc>
              <w:tc>
                <w:tcPr/>
                <w:p>
                  <w:pPr>
                    <w:pStyle w:val="Compact"/>
                    <w:jc w:val="center"/>
                  </w:pPr>
                  <w:r>
                    <w:t xml:space="preserve">certeza_caixa</w:t>
                  </w:r>
                </w:p>
              </w:tc>
              <w:tc>
                <w:tcPr/>
                <w:p>
                  <w:pPr>
                    <w:pStyle w:val="Compact"/>
                    <w:jc w:val="center"/>
                  </w:pPr>
                  <w:r>
                    <w:t xml:space="preserve">10_sintese</w:t>
                  </w:r>
                </w:p>
              </w:tc>
              <w:tc>
                <w:tcPr/>
                <w:p>
                  <w:pPr>
                    <w:pStyle w:val="Compact"/>
                    <w:jc w:val="center"/>
                  </w:pPr>
                  <w:r>
                    <w:t xml:space="preserve">G8</w:t>
                  </w:r>
                </w:p>
              </w:tc>
              <w:tc>
                <w:tcPr/>
                <w:p>
                  <w:pPr>
                    <w:pStyle w:val="Compact"/>
                    <w:jc w:val="center"/>
                  </w:pPr>
                  <w:r>
                    <w:t xml:space="preserve">22</w:t>
                  </w:r>
                </w:p>
              </w:tc>
              <w:tc>
                <w:tcPr/>
                <w:p>
                  <w:pPr>
                    <w:pStyle w:val="Compact"/>
                    <w:jc w:val="center"/>
                  </w:pPr>
                  <w:r>
                    <w:t xml:space="preserve">completar certeza (GRADE/CERQual) e enunciados das células pendentes</w:t>
                  </w:r>
                </w:p>
              </w:tc>
              <w:tc>
                <w:tcPr/>
                <w:p>
                  <w:pPr>
                    <w:pStyle w:val="Compact"/>
                    <w:jc w:val="center"/>
                  </w:pPr>
                  <w:r>
                    <w:rPr>
                      <w:rStyle w:val="VerbatimChar"/>
                    </w:rPr>
                    <w:t xml:space="preserve">P036_grade/</w:t>
                  </w:r>
                </w:p>
              </w:tc>
              <w:tc>
                <w:tcPr/>
                <w:p>
                  <w:pPr>
                    <w:pStyle w:val="Compact"/>
                    <w:jc w:val="center"/>
                  </w:pPr>
                  <w:r>
                    <w:t xml:space="preserve">1 h</w:t>
                  </w:r>
                </w:p>
              </w:tc>
            </w:tr>
          </w:tbl>
          <w:bookmarkEnd w:id="184"/>
          <w:p/>
        </w:tc>
      </w:tr>
    </w:tbl>
    <w:bookmarkEnd w:id="185"/>
    <w:bookmarkStart w:id="186" w:name="apêndice-b-estratégias-de-busca-prisma-s"/>
    <w:p>
      <w:pPr>
        <w:pStyle w:val="Heading1"/>
      </w:pPr>
      <w:r>
        <w:t xml:space="preserve">Apêndice B: estratégias de busca (PRISMA-S)</w:t>
      </w:r>
    </w:p>
    <w:p>
      <w:pPr>
        <w:pStyle w:val="FirstParagraph"/>
      </w:pPr>
      <w:r>
        <w:rPr>
          <w:b/>
          <w:bCs/>
        </w:rPr>
        <w:t xml:space="preserve">B01, OpenAlex</w:t>
      </w:r>
      <w:r>
        <w:t xml:space="preserve"> </w:t>
      </w:r>
      <w:r>
        <w:t xml:space="preserve">(S-oa-en-v4; substituída pela B05 (E002); fora dos identificados). Campos: título e resumo (title_and_abstract, com stemming). Limites: publication_year:2008-2026. Data: 19/09/2026. Registros: 1.235. Observações: idioma da estratégia: inglês; substituída por B05: âncoras de validação A01, A07, A08, A19 perdidas na S-oa-en-v4 (emenda E002).</w:t>
      </w:r>
    </w:p>
    <w:p>
      <w:pPr>
        <w:pStyle w:val="SourceCode"/>
      </w:pPr>
      <w:r>
        <w:rPr>
          <w:rStyle w:val="VerbatimChar"/>
        </w:rPr>
        <w:t xml:space="preserve">((poll OR polls OR polling OR "election forecast" OR "election forecasting") AND (bandwagon OR underdog OR "band-wagon")) OR (("pre-election survey" OR "preelection survey" OR "electoral survey" OR "survey results" OR "opinion survey") AND (bandwagon OR underdog)) OR (("opinion poll" OR "election poll" OR "pre-election poll" OR "preelection poll" OR "poll result" OR "published poll" OR "exit poll" OR "polling information" OR "poll information" OR "poll numbers" OR "poll outcome" OR "horse race" OR "horse-race" OR "election forecast" OR "poll aggregator" OR "exposure to polls" OR "polling data") AND ("vote choice" OR "vote intention" OR "voting intention" OR "voting behavior" OR "voting behaviour" OR "vote preference" OR "electoral behavior" OR "electoral behaviour" OR "electoral preference" OR "voting decision" OR "party preference" OR "candidate preference" OR "vote share" OR "strategic voting" OR "tactical voting" OR "party choice" OR "electoral choice" OR "voter preference" OR "electoral support" OR "party support" OR "candidate support")) OR (("opinion poll" OR "election poll" OR "pre-election poll" OR "preelection poll" OR "poll result" OR "published poll" OR "exit poll" OR "polling information" OR "poll information" OR "poll numbers" OR "poll outcome" OR "horse race" OR "horse-race" OR "election forecast" OR "poll aggregator" OR "exposure to polls" OR "polling data") AND (turnout OR "turn out" OR abstention OR "electoral participation" OR "voter participation" OR "voting participation" OR demobilization OR demobilizes)) OR "poll effects"</w:t>
      </w:r>
    </w:p>
    <w:p>
      <w:pPr>
        <w:pStyle w:val="FirstParagraph"/>
      </w:pPr>
      <w:r>
        <w:rPr>
          <w:b/>
          <w:bCs/>
        </w:rPr>
        <w:t xml:space="preserve">B02, OpenAlex</w:t>
      </w:r>
      <w:r>
        <w:t xml:space="preserve"> </w:t>
      </w:r>
      <w:r>
        <w:t xml:space="preserve">(S-oa-pt-v3; ativa). Campos: título e resumo (title_and_abstract, com stemming). Limites: publication_year:2008-2026. Data: 19/09/2026. Registros: 118. Observações: idioma da estratégia: português.</w:t>
      </w:r>
    </w:p>
    <w:p>
      <w:pPr>
        <w:pStyle w:val="SourceCode"/>
      </w:pPr>
      <w:r>
        <w:rPr>
          <w:rStyle w:val="VerbatimChar"/>
        </w:rPr>
        <w:t xml:space="preserve">((pesquisa OR pesquisas OR sondagem OR sondagens OR "boca de urna") AND (bandwagon OR underdog OR "efeito manada" OR "efeito de manada" OR "efeito vagão" OR "efeito de arrasto" OR "efeito carona" OR "voto útil")) OR (("pesquisa eleitoral" OR "pesquisas eleitorais" OR "pesquisa pré-eleitoral" OR "pesquisas pré-eleitorais" OR "pesquisa de intenção de voto" OR "pesquisas de intenção de voto" OR "sondagem eleitoral" OR "sondagens eleitorais" OR "boca de urna" OR "divulgação de pesquisas eleitorais" OR "divulgação das pesquisas eleitorais") AND ("intenção de voto" OR "intenções de voto" OR "decisão de voto" OR "decisão do voto" OR "escolha eleitoral" OR "comportamento eleitoral" OR "comportamento do eleitor" OR "preferência eleitoral" OR "voto útil" OR "voto estratégico" OR efeito OR efeitos OR influência OR impacto)) OR (("pesquisa eleitoral" OR "pesquisas eleitorais" OR "pesquisa pré-eleitoral" OR "pesquisas pré-eleitorais" OR "pesquisa de intenção de voto" OR "pesquisas de intenção de voto" OR "sondagem eleitoral" OR "sondagens eleitorais" OR "boca de urna") AND (comparecimento OR abstenção OR "participação eleitoral" OR "abstenção eleitoral" OR "comparecimento eleitoral"))</w:t>
      </w:r>
    </w:p>
    <w:p>
      <w:pPr>
        <w:pStyle w:val="FirstParagraph"/>
      </w:pPr>
      <w:r>
        <w:rPr>
          <w:b/>
          <w:bCs/>
        </w:rPr>
        <w:t xml:space="preserve">B03, OpenAlex</w:t>
      </w:r>
      <w:r>
        <w:t xml:space="preserve"> </w:t>
      </w:r>
      <w:r>
        <w:t xml:space="preserve">(S-oa-es-v3; ativa). Campos: título e resumo (title_and_abstract, com stemming). Limites: publication_year:2008-2026. Data: 19/09/2026. Registros: 131. Observações: idioma da estratégia: espanhol.</w:t>
      </w:r>
    </w:p>
    <w:p>
      <w:pPr>
        <w:pStyle w:val="SourceCode"/>
      </w:pPr>
      <w:r>
        <w:rPr>
          <w:rStyle w:val="VerbatimChar"/>
        </w:rPr>
        <w:t xml:space="preserve">((encuesta OR encuestas OR sondeo OR sondeos OR "boca de urna") AND (bandwagon OR underdog OR "efecto arrastre" OR "efecto de arrastre" OR "carro ganador" OR "carro del ganador" OR "voto útil" OR "voto estratégico")) OR (("encuesta electoral" OR "encuestas electorales" OR "encuesta preelectoral" OR "encuestas preelectorales" OR "sondeo electoral" OR "sondeos electorales" OR "sondeos preelectorales" OR "encuestas de intención de voto" OR "boca de urna" OR "publicación de encuestas electorales" OR "difusión de encuestas electorales" OR "publicación de sondeos") AND ("intención de voto" OR "intenciones de voto" OR "decisión de voto" OR "comportamiento electoral" OR "preferencia electoral" OR "preferencias electorales" OR "voto útil" OR "voto estratégico" OR efecto OR efectos OR influencia OR impacto)) OR (("encuesta electoral" OR "encuestas electorales" OR "encuesta preelectoral" OR "encuestas preelectorales" OR "sondeo electoral" OR "sondeos electorales" OR "sondeos preelectorales" OR "encuestas de intención de voto" OR "boca de urna") AND ("participación electoral" OR "abstención electoral" OR abstención OR "concurrencia a las urnas" OR "participación en las elecciones"))</w:t>
      </w:r>
    </w:p>
    <w:p>
      <w:pPr>
        <w:pStyle w:val="FirstParagraph"/>
      </w:pPr>
      <w:r>
        <w:rPr>
          <w:b/>
          <w:bCs/>
        </w:rPr>
        <w:t xml:space="preserve">B04, BDTD (Biblioteca Digital Brasileira de Teses e Dissertações, IBICT)</w:t>
      </w:r>
      <w:r>
        <w:t xml:space="preserve"> </w:t>
      </w:r>
      <w:r>
        <w:t xml:space="preserve">(S-bdtd-v3; ativa). Campos: todos os campos (AllFields, inclui título, resumo e assuntos). Limites: nenhum (campo AllFields). Data: 19/09/2026. Registros: 80. Observações: idioma da estratégia: português.</w:t>
      </w:r>
    </w:p>
    <w:p>
      <w:pPr>
        <w:pStyle w:val="SourceCode"/>
      </w:pPr>
      <w:r>
        <w:rPr>
          <w:rStyle w:val="VerbatimChar"/>
        </w:rPr>
        <w:t xml:space="preserve">"pesquisa eleitoral" OR "pesquisas eleitorais" OR "pesquisa pré-eleitoral" OR "pesquisas pré-eleitorais" OR "pesquisa de intenção de voto" OR "pesquisas de intenção de voto" OR "sondagem eleitoral" OR "sondagens eleitorais" OR "boca de urna" OR "divulgação de pesquisas eleitorais" OR "divulgação das pesquisas eleitorais" OR "voto útil" OR "efeito bandwagon" OR "efeito underdog"</w:t>
      </w:r>
    </w:p>
    <w:p>
      <w:pPr>
        <w:pStyle w:val="FirstParagraph"/>
      </w:pPr>
      <w:r>
        <w:rPr>
          <w:b/>
          <w:bCs/>
        </w:rPr>
        <w:t xml:space="preserve">B05, OpenAlex</w:t>
      </w:r>
      <w:r>
        <w:t xml:space="preserve"> </w:t>
      </w:r>
      <w:r>
        <w:t xml:space="preserve">(S-oa-en-v5; ativa). Campos: título e resumo (title_and_abstract, com stemming). Limites: publication_year:2008-2026. Data: 19/09/2026. Registros: 1.438. Observações: idioma da estratégia: inglês; substitui B01 (emenda E002).</w:t>
      </w:r>
    </w:p>
    <w:p>
      <w:pPr>
        <w:pStyle w:val="SourceCode"/>
      </w:pPr>
      <w:r>
        <w:rPr>
          <w:rStyle w:val="VerbatimChar"/>
        </w:rPr>
        <w:t xml:space="preserve">((poll OR polls OR polling OR "election forecast" OR "election forecasting") AND (bandwagon OR underdog OR "band-wagon")) OR (("pre-election survey" OR "preelection survey" OR "electoral survey" OR "survey results" OR "opinion survey") AND (bandwagon OR underdog)) OR (("opinion poll" OR "election poll" OR "pre-election poll" OR "preelection poll" OR "poll result" OR "published poll" OR "exit poll" OR "polling information" OR "poll information" OR "poll numbers" OR "poll outcome" OR "horse race" OR "horse-race" OR "election forecast" OR "poll aggregator" OR "exposure to polls" OR "polling data" OR "poll news" OR "poll coverage" OR "coverage of polls") AND ("vote choice" OR "vote intention" OR "voting intention" OR "voting behavior" OR "voting behaviour" OR "vote preference" OR "electoral behavior" OR "electoral behaviour" OR "electoral preference" OR "voting decision" OR "party preference" OR "candidate preference" OR "vote share" OR "strategic voting" OR "tactical voting" OR "party choice" OR "electoral choice" OR "voter preference" OR "electoral support" OR "party support" OR "candidate support" OR "electoral volatility" OR "vote switching" OR "vote change" OR "party switching")) OR (("opinion poll" OR "election poll" OR "pre-election poll" OR "preelection poll" OR "poll result" OR "published poll" OR "exit poll" OR "polling information" OR "poll information" OR "poll numbers" OR "poll outcome" OR "horse race" OR "horse-race" OR "election forecast" OR "poll aggregator" OR "exposure to polls" OR "polling data" OR "poll news" OR "poll coverage" OR "coverage of polls") AND (turnout OR "turn out" OR abstention OR "electoral participation" OR "voter participation" OR "voting participation" OR demobilization OR demobilizes)) OR "poll effects" OR ((poll OR polls OR polling) AND ("strategic voting" OR "tactical voting")) OR ("effect of polls" OR "effects of polls" OR "effect of election polls" OR "effects of election polls" OR "poll release" OR "poll releases" OR "release of polls" OR "release of a poll")</w:t>
      </w:r>
    </w:p>
    <w:p>
      <w:pPr>
        <w:pStyle w:val="FirstParagraph"/>
      </w:pPr>
      <w:r>
        <w:rPr>
          <w:b/>
          <w:bCs/>
        </w:rPr>
        <w:t xml:space="preserve">SN1, busca por citação no OpenAlex</w:t>
      </w:r>
      <w:r>
        <w:t xml:space="preserve"> </w:t>
      </w:r>
      <w:r>
        <w:t xml:space="preserve">(para trás e para frente). Sementes: 38. Registros importados: 1.189. Data: 19/09/2026. Sementes e proveniência em</w:t>
      </w:r>
      <w:r>
        <w:t xml:space="preserve"> </w:t>
      </w:r>
      <w:r>
        <w:rPr>
          <w:rStyle w:val="VerbatimChar"/>
        </w:rPr>
        <w:t xml:space="preserve">01-busca/bola_de_neve/SN1_sementes.csv</w:t>
      </w:r>
      <w:r>
        <w:t xml:space="preserve"> </w:t>
      </w:r>
      <w:r>
        <w:t xml:space="preserve">e</w:t>
      </w:r>
      <w:r>
        <w:t xml:space="preserve"> </w:t>
      </w:r>
      <w:r>
        <w:rPr>
          <w:rStyle w:val="VerbatimChar"/>
        </w:rPr>
        <w:t xml:space="preserve">SN1_proveniencia.csv</w:t>
      </w:r>
      <w:r>
        <w:t xml:space="preserve">.</w:t>
      </w:r>
    </w:p>
    <w:p>
      <w:pPr>
        <w:pStyle w:val="BodyText"/>
      </w:pPr>
      <w:r>
        <w:rPr>
          <w:b/>
          <w:bCs/>
        </w:rPr>
        <w:t xml:space="preserve">SN2, busca por citação no OpenAlex</w:t>
      </w:r>
      <w:r>
        <w:t xml:space="preserve"> </w:t>
      </w:r>
      <w:r>
        <w:t xml:space="preserve">(para trás e para frente). Sementes: 12. Registros importados: 411. Data: 20/09/2026. Sementes e proveniência em</w:t>
      </w:r>
      <w:r>
        <w:t xml:space="preserve"> </w:t>
      </w:r>
      <w:r>
        <w:rPr>
          <w:rStyle w:val="VerbatimChar"/>
        </w:rPr>
        <w:t xml:space="preserve">01-busca/bola_de_neve/SN2_sementes.csv</w:t>
      </w:r>
      <w:r>
        <w:t xml:space="preserve"> </w:t>
      </w:r>
      <w:r>
        <w:t xml:space="preserve">e</w:t>
      </w:r>
      <w:r>
        <w:t xml:space="preserve"> </w:t>
      </w:r>
      <w:r>
        <w:rPr>
          <w:rStyle w:val="VerbatimChar"/>
        </w:rPr>
        <w:t xml:space="preserve">SN2_proveniencia.csv</w:t>
      </w:r>
      <w:r>
        <w:t xml:space="preserve">.</w:t>
      </w:r>
    </w:p>
    <w:p>
      <w:pPr>
        <w:pStyle w:val="BodyText"/>
      </w:pPr>
      <w:r>
        <w:rPr>
          <w:b/>
          <w:bCs/>
        </w:rPr>
        <w:t xml:space="preserve">SN3, busca por citação no OpenAlex</w:t>
      </w:r>
      <w:r>
        <w:t xml:space="preserve"> </w:t>
      </w:r>
      <w:r>
        <w:t xml:space="preserve">(para trás e para frente). Sementes: 3. Registros importados: 106. Data: 20/09/2026. Sementes e proveniência em</w:t>
      </w:r>
      <w:r>
        <w:t xml:space="preserve"> </w:t>
      </w:r>
      <w:r>
        <w:rPr>
          <w:rStyle w:val="VerbatimChar"/>
        </w:rPr>
        <w:t xml:space="preserve">01-busca/bola_de_neve/SN3_sementes.csv</w:t>
      </w:r>
      <w:r>
        <w:t xml:space="preserve"> </w:t>
      </w:r>
      <w:r>
        <w:t xml:space="preserve">e</w:t>
      </w:r>
      <w:r>
        <w:t xml:space="preserve"> </w:t>
      </w:r>
      <w:r>
        <w:rPr>
          <w:rStyle w:val="VerbatimChar"/>
        </w:rPr>
        <w:t xml:space="preserve">SN3_proveniencia.csv</w:t>
      </w:r>
      <w:r>
        <w:t xml:space="preserve">.</w:t>
      </w:r>
    </w:p>
    <w:bookmarkEnd w:id="186"/>
    <w:bookmarkStart w:id="187" w:name="Xf3c1d307a3815d622f8cf327e08c1de8b362776"/>
    <w:p>
      <w:pPr>
        <w:pStyle w:val="Heading1"/>
      </w:pPr>
      <w:r>
        <w:t xml:space="preserve">Apêndice C: declaração de uso de IA gerada do log</w:t>
      </w:r>
    </w:p>
    <w:p>
      <w:pPr>
        <w:pStyle w:val="FirstParagraph"/>
      </w:pPr>
      <w:r>
        <w:t xml:space="preserve">A declaração abaixo é gerada pelo</w:t>
      </w:r>
      <w:r>
        <w:t xml:space="preserve"> </w:t>
      </w:r>
      <w:r>
        <w:rPr>
          <w:rStyle w:val="VerbatimChar"/>
        </w:rPr>
        <w:t xml:space="preserve">rs.py declaracao-ia</w:t>
      </w:r>
      <w:r>
        <w:t xml:space="preserve"> </w:t>
      </w:r>
      <w:r>
        <w:t xml:space="preserve">a partir do log. Na seção 2, as 336 decisões de triagem com papel</w:t>
      </w:r>
      <w:r>
        <w:t xml:space="preserve"> </w:t>
      </w:r>
      <w:r>
        <w:rPr>
          <w:rStyle w:val="VerbatimChar"/>
        </w:rPr>
        <w:t xml:space="preserve">revisor_humano_1</w:t>
      </w:r>
      <w:r>
        <w:t xml:space="preserve"> </w:t>
      </w:r>
      <w:r>
        <w:t xml:space="preserve">são as exclusões por título que a Emenda 6a corrigiu, e o evento com papel</w:t>
      </w:r>
      <w:r>
        <w:t xml:space="preserve"> </w:t>
      </w:r>
      <w:r>
        <w:rPr>
          <w:rStyle w:val="VerbatimChar"/>
        </w:rPr>
        <w:t xml:space="preserve">ia_coordenador_emenda6</w:t>
      </w:r>
      <w:r>
        <w:t xml:space="preserve"> </w:t>
      </w:r>
      <w:r>
        <w:t xml:space="preserve">registra a triagem complementar da Emenda 6b, feita por IA apesar do tipo de ator</w:t>
      </w:r>
      <w:r>
        <w:t xml:space="preserve"> </w:t>
      </w:r>
      <w:r>
        <w:rPr>
          <w:rStyle w:val="VerbatimChar"/>
        </w:rPr>
        <w:t xml:space="preserve">humano</w:t>
      </w:r>
      <w:r>
        <w:t xml:space="preserve">.</w:t>
      </w:r>
    </w:p>
    <w:bookmarkEnd w:id="187"/>
    <w:bookmarkStart w:id="196" w:name="X6e5363a2ea64c40705be1be4ad3b57716cacb0d"/>
    <w:p>
      <w:pPr>
        <w:pStyle w:val="Heading1"/>
      </w:pPr>
      <w:r>
        <w:t xml:space="preserve">Declaração de uso de inteligência artificial</w:t>
      </w:r>
    </w:p>
    <w:p>
      <w:pPr>
        <w:pStyle w:val="FirstParagraph"/>
      </w:pPr>
      <w:r>
        <w:rPr>
          <w:b/>
          <w:bCs/>
        </w:rPr>
        <w:t xml:space="preserve">RASCUNHO NÃO VALIDADO</w:t>
      </w:r>
      <w:r>
        <w:t xml:space="preserve"> </w:t>
      </w:r>
      <w:r>
        <w:t xml:space="preserve">(18 pendências abertas; decisões de IA na triagem sem validação calculada com finalidade validação da rodada ativa).</w:t>
      </w:r>
    </w:p>
    <w:p>
      <w:pPr>
        <w:pStyle w:val="BodyText"/>
      </w:pPr>
      <w:r>
        <w:t xml:space="preserve">Projeto: Exposição a pesquisas eleitorais publicadas → intenção de voto (bandwagon/underdog). Tipo de revisão: efetividade_swim. Modo de autonomia: autopiloto; triagem: subagentes.</w:t>
      </w:r>
    </w:p>
    <w:p>
      <w:pPr>
        <w:pStyle w:val="BodyText"/>
      </w:pPr>
      <w:r>
        <w:t xml:space="preserve">Gerado a partir de</w:t>
      </w:r>
      <w:r>
        <w:t xml:space="preserve"> </w:t>
      </w:r>
      <w:r>
        <w:rPr>
          <w:rStyle w:val="VerbatimChar"/>
        </w:rPr>
        <w:t xml:space="preserve">rs_log.jsonl</w:t>
      </w:r>
      <w:r>
        <w:t xml:space="preserve"> </w:t>
      </w:r>
      <w:r>
        <w:t xml:space="preserve">até o evento seq 833 (sha256 dos eventos</w:t>
      </w:r>
      <w:r>
        <w:t xml:space="preserve"> </w:t>
      </w:r>
      <w:r>
        <w:rPr>
          <w:rStyle w:val="VerbatimChar"/>
        </w:rPr>
        <w:t xml:space="preserve">8199f6eec1cee496…</w:t>
      </w:r>
      <w:r>
        <w:t xml:space="preserve">) e de</w:t>
      </w:r>
      <w:r>
        <w:t xml:space="preserve"> </w:t>
      </w:r>
      <w:r>
        <w:rPr>
          <w:rStyle w:val="VerbatimChar"/>
        </w:rPr>
        <w:t xml:space="preserve">dados/decisoes.jsonl</w:t>
      </w:r>
      <w:r>
        <w:t xml:space="preserve"> </w:t>
      </w:r>
      <w:r>
        <w:t xml:space="preserve">(6262 decisões). Nenhum número foi digitado à mão.</w:t>
      </w:r>
    </w:p>
    <w:bookmarkStart w:id="188" w:name="ferramentas-e-modelos"/>
    <w:p>
      <w:pPr>
        <w:pStyle w:val="Heading2"/>
      </w:pPr>
      <w:r>
        <w:t xml:space="preserve">1. Ferramentas e modelos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Modelo</w:t>
            </w:r>
          </w:p>
        </w:tc>
        <w:tc>
          <w:tcPr/>
          <w:p>
            <w:pPr>
              <w:pStyle w:val="Compact"/>
            </w:pPr>
            <w:r>
              <w:t xml:space="preserve">Tipo de ator</w:t>
            </w:r>
          </w:p>
        </w:tc>
        <w:tc>
          <w:tcPr/>
          <w:p>
            <w:pPr>
              <w:pStyle w:val="Compact"/>
            </w:pPr>
            <w:r>
              <w:t xml:space="preserve">Etapas</w:t>
            </w:r>
          </w:p>
        </w:tc>
        <w:tc>
          <w:tcPr/>
          <w:p>
            <w:pPr>
              <w:pStyle w:val="Compact"/>
            </w:pPr>
            <w:r>
              <w:t xml:space="preserve">Primeiro uso</w:t>
            </w:r>
          </w:p>
        </w:tc>
        <w:tc>
          <w:tcPr/>
          <w:p>
            <w:pPr>
              <w:pStyle w:val="Compact"/>
            </w:pPr>
            <w:r>
              <w:t xml:space="preserve">Último uso</w:t>
            </w:r>
          </w:p>
        </w:tc>
        <w:tc>
          <w:tcPr/>
          <w:p>
            <w:pPr>
              <w:pStyle w:val="Compact"/>
            </w:pPr>
            <w:r>
              <w:t xml:space="preserve">Eventos</w:t>
            </w:r>
          </w:p>
        </w:tc>
        <w:tc>
          <w:tcPr/>
          <w:p>
            <w:pPr>
              <w:pStyle w:val="Compact"/>
            </w:pPr>
            <w:r>
              <w:t xml:space="preserve">Decisões</w:t>
            </w:r>
          </w:p>
        </w:tc>
        <w:tc>
          <w:tcPr/>
          <w:p>
            <w:pPr>
              <w:pStyle w:val="Compact"/>
            </w:pPr>
            <w:r>
              <w:t xml:space="preserve">Parâmetros</w:t>
            </w:r>
          </w:p>
        </w:tc>
      </w:tr>
      <w:tr>
        <w:tc>
          <w:tcPr/>
          <w:p>
            <w:pPr>
              <w:pStyle w:val="Compact"/>
            </w:pPr>
            <w:r>
              <w:t xml:space="preserve">(modelo não registrado: ia_coordenador)</w:t>
            </w:r>
          </w:p>
        </w:tc>
        <w:tc>
          <w:tcPr/>
          <w:p>
            <w:pPr>
              <w:pStyle w:val="Compact"/>
            </w:pPr>
            <w:r>
              <w:t xml:space="preserve">ia_coordenador</w:t>
            </w:r>
          </w:p>
        </w:tc>
        <w:tc>
          <w:tcPr/>
          <w:p>
            <w:pPr>
              <w:pStyle w:val="Compact"/>
            </w:pPr>
            <w:r>
              <w:t xml:space="preserve">04_busca, 06_triagem_ta, 07_textos_elegibilidade, 08_piloto_extracao, 09_extracao_rob, 10_sintese, 11_relato</w:t>
            </w:r>
          </w:p>
        </w:tc>
        <w:tc>
          <w:tcPr/>
          <w:p>
            <w:pPr>
              <w:pStyle w:val="Compact"/>
            </w:pPr>
            <w:r>
              <w:t xml:space="preserve">2026-09-19</w:t>
            </w:r>
          </w:p>
        </w:tc>
        <w:tc>
          <w:tcPr/>
          <w:p>
            <w:pPr>
              <w:pStyle w:val="Compact"/>
            </w:pPr>
            <w:r>
              <w:t xml:space="preserve">2026-09-23</w:t>
            </w:r>
          </w:p>
        </w:tc>
        <w:tc>
          <w:tcPr/>
          <w:p>
            <w:pPr>
              <w:pStyle w:val="Compact"/>
            </w:pPr>
            <w:r>
              <w:t xml:space="preserve">7</w:t>
            </w:r>
          </w:p>
        </w:tc>
        <w:tc>
          <w:tcPr/>
          <w:p>
            <w:pPr>
              <w:pStyle w:val="Compact"/>
            </w:pPr>
            <w:r>
              <w:t xml:space="preserve">0</w:t>
            </w:r>
          </w:p>
        </w:tc>
        <w:tc>
          <w:tcPr/>
          <w:p>
            <w:pPr>
              <w:pStyle w:val="Compact"/>
            </w:pPr>
            <w:r>
              <w:t xml:space="preserve">não registrados</w:t>
            </w:r>
          </w:p>
        </w:tc>
      </w:tr>
      <w:tr>
        <w:tc>
          <w:tcPr/>
          <w:p>
            <w:pPr>
              <w:pStyle w:val="Compact"/>
            </w:pPr>
            <w:r>
              <w:t xml:space="preserve">claude-opus-5</w:t>
            </w:r>
          </w:p>
        </w:tc>
        <w:tc>
          <w:tcPr/>
          <w:p>
            <w:pPr>
              <w:pStyle w:val="Compact"/>
            </w:pPr>
            <w:r>
              <w:t xml:space="preserve">ia_subagente, script</w:t>
            </w:r>
          </w:p>
        </w:tc>
        <w:tc>
          <w:tcPr/>
          <w:p>
            <w:pPr>
              <w:pStyle w:val="Compact"/>
            </w:pPr>
            <w:r>
              <w:t xml:space="preserve">06_triagem_ta, decisões ta</w:t>
            </w:r>
          </w:p>
        </w:tc>
        <w:tc>
          <w:tcPr/>
          <w:p>
            <w:pPr>
              <w:pStyle w:val="Compact"/>
            </w:pPr>
            <w:r>
              <w:t xml:space="preserve">2026-09-19</w:t>
            </w:r>
          </w:p>
        </w:tc>
        <w:tc>
          <w:tcPr/>
          <w:p>
            <w:pPr>
              <w:pStyle w:val="Compact"/>
            </w:pPr>
            <w:r>
              <w:t xml:space="preserve">2026-09-20</w:t>
            </w:r>
          </w:p>
        </w:tc>
        <w:tc>
          <w:tcPr/>
          <w:p>
            <w:pPr>
              <w:pStyle w:val="Compact"/>
            </w:pPr>
            <w:r>
              <w:t xml:space="preserve">117</w:t>
            </w:r>
          </w:p>
        </w:tc>
        <w:tc>
          <w:tcPr/>
          <w:p>
            <w:pPr>
              <w:pStyle w:val="Compact"/>
            </w:pPr>
            <w:r>
              <w:t xml:space="preserve">2785</w:t>
            </w:r>
          </w:p>
        </w:tc>
        <w:tc>
          <w:tcPr/>
          <w:p>
            <w:pPr>
              <w:pStyle w:val="Compact"/>
            </w:pPr>
            <w:r>
              <w:t xml:space="preserve">não registrados</w:t>
            </w:r>
          </w:p>
        </w:tc>
      </w:tr>
      <w:tr>
        <w:tc>
          <w:tcPr/>
          <w:p>
            <w:pPr>
              <w:pStyle w:val="Compact"/>
            </w:pPr>
            <w:r>
              <w:t xml:space="preserve">claude-sonnet-5</w:t>
            </w:r>
          </w:p>
        </w:tc>
        <w:tc>
          <w:tcPr/>
          <w:p>
            <w:pPr>
              <w:pStyle w:val="Compact"/>
            </w:pPr>
            <w:r>
              <w:t xml:space="preserve">ia_subagente, script</w:t>
            </w:r>
          </w:p>
        </w:tc>
        <w:tc>
          <w:tcPr/>
          <w:p>
            <w:pPr>
              <w:pStyle w:val="Compact"/>
            </w:pPr>
            <w:r>
              <w:t xml:space="preserve">06_triagem_ta, decisões ta</w:t>
            </w:r>
          </w:p>
        </w:tc>
        <w:tc>
          <w:tcPr/>
          <w:p>
            <w:pPr>
              <w:pStyle w:val="Compact"/>
            </w:pPr>
            <w:r>
              <w:t xml:space="preserve">2026-09-19</w:t>
            </w:r>
          </w:p>
        </w:tc>
        <w:tc>
          <w:tcPr/>
          <w:p>
            <w:pPr>
              <w:pStyle w:val="Compact"/>
            </w:pPr>
            <w:r>
              <w:t xml:space="preserve">2026-09-20</w:t>
            </w:r>
          </w:p>
        </w:tc>
        <w:tc>
          <w:tcPr/>
          <w:p>
            <w:pPr>
              <w:pStyle w:val="Compact"/>
            </w:pPr>
            <w:r>
              <w:t xml:space="preserve">117</w:t>
            </w:r>
          </w:p>
        </w:tc>
        <w:tc>
          <w:tcPr/>
          <w:p>
            <w:pPr>
              <w:pStyle w:val="Compact"/>
            </w:pPr>
            <w:r>
              <w:t xml:space="preserve">2785</w:t>
            </w:r>
          </w:p>
        </w:tc>
        <w:tc>
          <w:tcPr/>
          <w:p>
            <w:pPr>
              <w:pStyle w:val="Compact"/>
            </w:pPr>
            <w:r>
              <w:t xml:space="preserve">não registrados</w:t>
            </w:r>
          </w:p>
        </w:tc>
      </w:tr>
    </w:tbl>
    <w:bookmarkEnd w:id="188"/>
    <w:bookmarkStart w:id="189" w:name="papéis-por-etapa"/>
    <w:p>
      <w:pPr>
        <w:pStyle w:val="Heading2"/>
      </w:pPr>
      <w:r>
        <w:t xml:space="preserve">2. Papéis por etapa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Etapa</w:t>
            </w:r>
          </w:p>
        </w:tc>
        <w:tc>
          <w:tcPr/>
          <w:p>
            <w:pPr>
              <w:pStyle w:val="Compact"/>
            </w:pPr>
            <w:r>
              <w:t xml:space="preserve">Tipo de ator</w:t>
            </w:r>
          </w:p>
        </w:tc>
        <w:tc>
          <w:tcPr/>
          <w:p>
            <w:pPr>
              <w:pStyle w:val="Compact"/>
            </w:pPr>
            <w:r>
              <w:t xml:space="preserve">Papel</w:t>
            </w:r>
          </w:p>
        </w:tc>
        <w:tc>
          <w:tcPr/>
          <w:p>
            <w:pPr>
              <w:pStyle w:val="Compact"/>
            </w:pPr>
            <w:r>
              <w:t xml:space="preserve">Eventos</w:t>
            </w:r>
          </w:p>
        </w:tc>
        <w:tc>
          <w:tcPr/>
          <w:p>
            <w:pPr>
              <w:pStyle w:val="Compact"/>
            </w:pPr>
            <w:r>
              <w:t xml:space="preserve">N</w:t>
            </w:r>
          </w:p>
        </w:tc>
      </w:tr>
      <w:tr>
        <w:tc>
          <w:tcPr/>
          <w:p>
            <w:pPr>
              <w:pStyle w:val="Compact"/>
            </w:pPr>
            <w:r>
              <w:t xml:space="preserve">00_configuracao</w:t>
            </w:r>
          </w:p>
        </w:tc>
        <w:tc>
          <w:tcPr/>
          <w:p>
            <w:pPr>
              <w:pStyle w:val="Compact"/>
            </w:pPr>
            <w:r>
              <w:t xml:space="preserve">script</w:t>
            </w:r>
          </w:p>
        </w:tc>
        <w:tc>
          <w:tcPr/>
          <w:p>
            <w:pPr>
              <w:pStyle w:val="Compact"/>
            </w:pPr>
            <w:r>
              <w:t xml:space="preserve">ambiente</w:t>
            </w:r>
          </w:p>
        </w:tc>
        <w:tc>
          <w:tcPr/>
          <w:p>
            <w:pPr>
              <w:pStyle w:val="Compact"/>
            </w:pPr>
            <w:r>
              <w:t xml:space="preserve">ambiente_verificado</w:t>
            </w:r>
          </w:p>
        </w:tc>
        <w:tc>
          <w:tcPr/>
          <w:p>
            <w:pPr>
              <w:pStyle w:val="Compact"/>
            </w:pPr>
            <w:r>
              <w:t xml:space="preserve">1</w:t>
            </w:r>
          </w:p>
        </w:tc>
      </w:tr>
      <w:tr>
        <w:tc>
          <w:tcPr/>
          <w:p>
            <w:pPr>
              <w:pStyle w:val="Compact"/>
            </w:pPr>
            <w:r>
              <w:t xml:space="preserve">00_configuracao</w:t>
            </w:r>
          </w:p>
        </w:tc>
        <w:tc>
          <w:tcPr/>
          <w:p>
            <w:pPr>
              <w:pStyle w:val="Compact"/>
            </w:pPr>
            <w:r>
              <w:t xml:space="preserve">script</w:t>
            </w:r>
          </w:p>
        </w:tc>
        <w:tc>
          <w:tcPr/>
          <w:p>
            <w:pPr>
              <w:pStyle w:val="Compact"/>
            </w:pPr>
            <w:r>
              <w:t xml:space="preserve">init</w:t>
            </w:r>
          </w:p>
        </w:tc>
        <w:tc>
          <w:tcPr/>
          <w:p>
            <w:pPr>
              <w:pStyle w:val="Compact"/>
            </w:pPr>
            <w:r>
              <w:t xml:space="preserve">projeto_criado</w:t>
            </w:r>
          </w:p>
        </w:tc>
        <w:tc>
          <w:tcPr/>
          <w:p>
            <w:pPr>
              <w:pStyle w:val="Compact"/>
            </w:pPr>
            <w:r>
              <w:t xml:space="preserve">1</w:t>
            </w:r>
          </w:p>
        </w:tc>
      </w:tr>
      <w:tr>
        <w:tc>
          <w:tcPr/>
          <w:p>
            <w:pPr>
              <w:pStyle w:val="Compact"/>
            </w:pPr>
            <w:r>
              <w:t xml:space="preserve">01_pergunta</w:t>
            </w:r>
          </w:p>
        </w:tc>
        <w:tc>
          <w:tcPr/>
          <w:p>
            <w:pPr>
              <w:pStyle w:val="Compact"/>
            </w:pPr>
            <w:r>
              <w:t xml:space="preserve">humano</w:t>
            </w:r>
          </w:p>
        </w:tc>
        <w:tc>
          <w:tcPr/>
          <w:p>
            <w:pPr>
              <w:pStyle w:val="Compact"/>
            </w:pPr>
            <w:r>
              <w:t xml:space="preserve">revisor_humano_1</w:t>
            </w:r>
          </w:p>
        </w:tc>
        <w:tc>
          <w:tcPr/>
          <w:p>
            <w:pPr>
              <w:pStyle w:val="Compact"/>
            </w:pPr>
            <w:r>
              <w:t xml:space="preserve">portao</w:t>
            </w:r>
          </w:p>
        </w:tc>
        <w:tc>
          <w:tcPr/>
          <w:p>
            <w:pPr>
              <w:pStyle w:val="Compact"/>
            </w:pPr>
            <w:r>
              <w:t xml:space="preserve">1</w:t>
            </w:r>
          </w:p>
        </w:tc>
      </w:tr>
      <w:tr>
        <w:tc>
          <w:tcPr/>
          <w:p>
            <w:pPr>
              <w:pStyle w:val="Compact"/>
            </w:pPr>
            <w:r>
              <w:t xml:space="preserve">03_protocolo</w:t>
            </w:r>
          </w:p>
        </w:tc>
        <w:tc>
          <w:tcPr/>
          <w:p>
            <w:pPr>
              <w:pStyle w:val="Compact"/>
            </w:pPr>
            <w:r>
              <w:t xml:space="preserve">humano</w:t>
            </w:r>
          </w:p>
        </w:tc>
        <w:tc>
          <w:tcPr/>
          <w:p>
            <w:pPr>
              <w:pStyle w:val="Compact"/>
            </w:pPr>
            <w:r>
              <w:t xml:space="preserve">revisor_humano_1</w:t>
            </w:r>
          </w:p>
        </w:tc>
        <w:tc>
          <w:tcPr/>
          <w:p>
            <w:pPr>
              <w:pStyle w:val="Compact"/>
            </w:pPr>
            <w:r>
              <w:t xml:space="preserve">emenda_protocolo, portao</w:t>
            </w:r>
          </w:p>
        </w:tc>
        <w:tc>
          <w:tcPr/>
          <w:p>
            <w:pPr>
              <w:pStyle w:val="Compact"/>
            </w:pPr>
            <w:r>
              <w:t xml:space="preserve">3</w:t>
            </w:r>
          </w:p>
        </w:tc>
      </w:tr>
      <w:tr>
        <w:tc>
          <w:tcPr/>
          <w:p>
            <w:pPr>
              <w:pStyle w:val="Compact"/>
            </w:pPr>
            <w:r>
              <w:t xml:space="preserve">03_protocolo</w:t>
            </w:r>
          </w:p>
        </w:tc>
        <w:tc>
          <w:tcPr/>
          <w:p>
            <w:pPr>
              <w:pStyle w:val="Compact"/>
            </w:pPr>
            <w:r>
              <w:t xml:space="preserve">script</w:t>
            </w:r>
          </w:p>
        </w:tc>
        <w:tc>
          <w:tcPr/>
          <w:p>
            <w:pPr>
              <w:pStyle w:val="Compact"/>
            </w:pPr>
            <w:r>
              <w:t xml:space="preserve">rs.py buscar openalex</w:t>
            </w:r>
          </w:p>
        </w:tc>
        <w:tc>
          <w:tcPr/>
          <w:p>
            <w:pPr>
              <w:pStyle w:val="Compact"/>
            </w:pPr>
            <w:r>
              <w:t xml:space="preserve">artefato_versionado</w:t>
            </w:r>
          </w:p>
        </w:tc>
        <w:tc>
          <w:tcPr/>
          <w:p>
            <w:pPr>
              <w:pStyle w:val="Compact"/>
            </w:pPr>
            <w:r>
              <w:t xml:space="preserve">4</w:t>
            </w:r>
          </w:p>
        </w:tc>
      </w:tr>
      <w:tr>
        <w:tc>
          <w:tcPr/>
          <w:p>
            <w:pPr>
              <w:pStyle w:val="Compact"/>
            </w:pPr>
            <w:r>
              <w:t xml:space="preserve">04_busca</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04_busca</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04_busca</w:t>
            </w:r>
          </w:p>
        </w:tc>
        <w:tc>
          <w:tcPr/>
          <w:p>
            <w:pPr>
              <w:pStyle w:val="Compact"/>
            </w:pPr>
            <w:r>
              <w:t xml:space="preserve">script</w:t>
            </w:r>
          </w:p>
        </w:tc>
        <w:tc>
          <w:tcPr/>
          <w:p>
            <w:pPr>
              <w:pStyle w:val="Compact"/>
            </w:pPr>
            <w:r>
              <w:t xml:space="preserve">rs.py buscar openalex</w:t>
            </w:r>
          </w:p>
        </w:tc>
        <w:tc>
          <w:tcPr/>
          <w:p>
            <w:pPr>
              <w:pStyle w:val="Compact"/>
            </w:pPr>
            <w:r>
              <w:t xml:space="preserve">busca_registrada</w:t>
            </w:r>
          </w:p>
        </w:tc>
        <w:tc>
          <w:tcPr/>
          <w:p>
            <w:pPr>
              <w:pStyle w:val="Compact"/>
            </w:pPr>
            <w:r>
              <w:t xml:space="preserve">4</w:t>
            </w:r>
          </w:p>
        </w:tc>
      </w:tr>
      <w:tr>
        <w:tc>
          <w:tcPr/>
          <w:p>
            <w:pPr>
              <w:pStyle w:val="Compact"/>
            </w:pPr>
            <w:r>
              <w:t xml:space="preserve">04_busca</w:t>
            </w:r>
          </w:p>
        </w:tc>
        <w:tc>
          <w:tcPr/>
          <w:p>
            <w:pPr>
              <w:pStyle w:val="Compact"/>
            </w:pPr>
            <w:r>
              <w:t xml:space="preserve">script</w:t>
            </w:r>
          </w:p>
        </w:tc>
        <w:tc>
          <w:tcPr/>
          <w:p>
            <w:pPr>
              <w:pStyle w:val="Compact"/>
            </w:pPr>
            <w:r>
              <w:t xml:space="preserve">rs.py importar</w:t>
            </w:r>
          </w:p>
        </w:tc>
        <w:tc>
          <w:tcPr/>
          <w:p>
            <w:pPr>
              <w:pStyle w:val="Compact"/>
            </w:pPr>
            <w:r>
              <w:t xml:space="preserve">busca_registrada, busca_substituida</w:t>
            </w:r>
          </w:p>
        </w:tc>
        <w:tc>
          <w:tcPr/>
          <w:p>
            <w:pPr>
              <w:pStyle w:val="Compact"/>
            </w:pPr>
            <w:r>
              <w:t xml:space="preserve">2</w:t>
            </w:r>
          </w:p>
        </w:tc>
      </w:tr>
      <w:tr>
        <w:tc>
          <w:tcPr/>
          <w:p>
            <w:pPr>
              <w:pStyle w:val="Compact"/>
            </w:pPr>
            <w:r>
              <w:t xml:space="preserve">04_busca</w:t>
            </w:r>
          </w:p>
        </w:tc>
        <w:tc>
          <w:tcPr/>
          <w:p>
            <w:pPr>
              <w:pStyle w:val="Compact"/>
            </w:pPr>
            <w:r>
              <w:t xml:space="preserve">script</w:t>
            </w:r>
          </w:p>
        </w:tc>
        <w:tc>
          <w:tcPr/>
          <w:p>
            <w:pPr>
              <w:pStyle w:val="Compact"/>
            </w:pPr>
            <w:r>
              <w:t xml:space="preserve">script</w:t>
            </w:r>
          </w:p>
        </w:tc>
        <w:tc>
          <w:tcPr/>
          <w:p>
            <w:pPr>
              <w:pStyle w:val="Compact"/>
            </w:pPr>
            <w:r>
              <w:t xml:space="preserve">pendencia_aberta</w:t>
            </w:r>
          </w:p>
        </w:tc>
        <w:tc>
          <w:tcPr/>
          <w:p>
            <w:pPr>
              <w:pStyle w:val="Compact"/>
            </w:pPr>
            <w:r>
              <w:t xml:space="preserve">1</w:t>
            </w:r>
          </w:p>
        </w:tc>
      </w:tr>
      <w:tr>
        <w:tc>
          <w:tcPr/>
          <w:p>
            <w:pPr>
              <w:pStyle w:val="Compact"/>
            </w:pPr>
            <w:r>
              <w:t xml:space="preserve">05_organizacao</w:t>
            </w:r>
          </w:p>
        </w:tc>
        <w:tc>
          <w:tcPr/>
          <w:p>
            <w:pPr>
              <w:pStyle w:val="Compact"/>
            </w:pPr>
            <w:r>
              <w:t xml:space="preserve">script</w:t>
            </w:r>
          </w:p>
        </w:tc>
        <w:tc>
          <w:tcPr/>
          <w:p>
            <w:pPr>
              <w:pStyle w:val="Compact"/>
            </w:pPr>
            <w:r>
              <w:t xml:space="preserve">dedup</w:t>
            </w:r>
          </w:p>
        </w:tc>
        <w:tc>
          <w:tcPr/>
          <w:p>
            <w:pPr>
              <w:pStyle w:val="Compact"/>
            </w:pPr>
            <w:r>
              <w:t xml:space="preserve">dedup_executado, pendencia_aberta, pendencia_fechada</w:t>
            </w:r>
          </w:p>
        </w:tc>
        <w:tc>
          <w:tcPr/>
          <w:p>
            <w:pPr>
              <w:pStyle w:val="Compact"/>
            </w:pPr>
            <w:r>
              <w:t xml:space="preserve">14</w:t>
            </w:r>
          </w:p>
        </w:tc>
      </w:tr>
      <w:tr>
        <w:tc>
          <w:tcPr/>
          <w:p>
            <w:pPr>
              <w:pStyle w:val="Compact"/>
            </w:pPr>
            <w:r>
              <w:t xml:space="preserve">05_organizacao</w:t>
            </w:r>
          </w:p>
        </w:tc>
        <w:tc>
          <w:tcPr/>
          <w:p>
            <w:pPr>
              <w:pStyle w:val="Compact"/>
            </w:pPr>
            <w:r>
              <w:t xml:space="preserve">script</w:t>
            </w:r>
          </w:p>
        </w:tc>
        <w:tc>
          <w:tcPr/>
          <w:p>
            <w:pPr>
              <w:pStyle w:val="Compact"/>
            </w:pPr>
            <w:r>
              <w:t xml:space="preserve">filtrar</w:t>
            </w:r>
          </w:p>
        </w:tc>
        <w:tc>
          <w:tcPr/>
          <w:p>
            <w:pPr>
              <w:pStyle w:val="Compact"/>
            </w:pPr>
            <w:r>
              <w:t xml:space="preserve">filtro_formal</w:t>
            </w:r>
          </w:p>
        </w:tc>
        <w:tc>
          <w:tcPr/>
          <w:p>
            <w:pPr>
              <w:pStyle w:val="Compact"/>
            </w:pPr>
            <w:r>
              <w:t xml:space="preserve">6</w:t>
            </w:r>
          </w:p>
        </w:tc>
      </w:tr>
      <w:tr>
        <w:tc>
          <w:tcPr/>
          <w:p>
            <w:pPr>
              <w:pStyle w:val="Compact"/>
            </w:pPr>
            <w:r>
              <w:t xml:space="preserve">05_organizacao</w:t>
            </w:r>
          </w:p>
        </w:tc>
        <w:tc>
          <w:tcPr/>
          <w:p>
            <w:pPr>
              <w:pStyle w:val="Compact"/>
            </w:pPr>
            <w:r>
              <w:t xml:space="preserve">script</w:t>
            </w:r>
          </w:p>
        </w:tc>
        <w:tc>
          <w:tcPr/>
          <w:p>
            <w:pPr>
              <w:pStyle w:val="Compact"/>
            </w:pPr>
            <w:r>
              <w:t xml:space="preserve">rs.py importar</w:t>
            </w:r>
          </w:p>
        </w:tc>
        <w:tc>
          <w:tcPr/>
          <w:p>
            <w:pPr>
              <w:pStyle w:val="Compact"/>
            </w:pPr>
            <w:r>
              <w:t xml:space="preserve">importacao</w:t>
            </w:r>
          </w:p>
        </w:tc>
        <w:tc>
          <w:tcPr/>
          <w:p>
            <w:pPr>
              <w:pStyle w:val="Compact"/>
            </w:pPr>
            <w:r>
              <w:t xml:space="preserve">8</w:t>
            </w:r>
          </w:p>
        </w:tc>
      </w:tr>
      <w:tr>
        <w:tc>
          <w:tcPr/>
          <w:p>
            <w:pPr>
              <w:pStyle w:val="Compact"/>
            </w:pPr>
            <w:r>
              <w:t xml:space="preserve">06_triagem_ta</w:t>
            </w:r>
          </w:p>
        </w:tc>
        <w:tc>
          <w:tcPr/>
          <w:p>
            <w:pPr>
              <w:pStyle w:val="Compact"/>
            </w:pPr>
            <w:r>
              <w:t xml:space="preserve">humano</w:t>
            </w:r>
          </w:p>
        </w:tc>
        <w:tc>
          <w:tcPr/>
          <w:p>
            <w:pPr>
              <w:pStyle w:val="Compact"/>
            </w:pPr>
            <w:r>
              <w:t xml:space="preserve">ia_coordenador_emenda6</w:t>
            </w:r>
          </w:p>
        </w:tc>
        <w:tc>
          <w:tcPr/>
          <w:p>
            <w:pPr>
              <w:pStyle w:val="Compact"/>
            </w:pPr>
            <w:r>
              <w:t xml:space="preserve">decisao_override</w:t>
            </w:r>
          </w:p>
        </w:tc>
        <w:tc>
          <w:tcPr/>
          <w:p>
            <w:pPr>
              <w:pStyle w:val="Compact"/>
            </w:pPr>
            <w:r>
              <w:t xml:space="preserve">1</w:t>
            </w:r>
          </w:p>
        </w:tc>
      </w:tr>
      <w:tr>
        <w:tc>
          <w:tcPr/>
          <w:p>
            <w:pPr>
              <w:pStyle w:val="Compact"/>
            </w:pPr>
            <w:r>
              <w:t xml:space="preserve">06_triagem_ta</w:t>
            </w:r>
          </w:p>
        </w:tc>
        <w:tc>
          <w:tcPr/>
          <w:p>
            <w:pPr>
              <w:pStyle w:val="Compact"/>
            </w:pPr>
            <w:r>
              <w:t xml:space="preserve">humano</w:t>
            </w:r>
          </w:p>
        </w:tc>
        <w:tc>
          <w:tcPr/>
          <w:p>
            <w:pPr>
              <w:pStyle w:val="Compact"/>
            </w:pPr>
            <w:r>
              <w:t xml:space="preserve">revisor_humano_1</w:t>
            </w:r>
          </w:p>
        </w:tc>
        <w:tc>
          <w:tcPr/>
          <w:p>
            <w:pPr>
              <w:pStyle w:val="Compact"/>
            </w:pPr>
            <w:r>
              <w:t xml:space="preserve">decisao_override</w:t>
            </w:r>
          </w:p>
        </w:tc>
        <w:tc>
          <w:tcPr/>
          <w:p>
            <w:pPr>
              <w:pStyle w:val="Compact"/>
            </w:pPr>
            <w:r>
              <w:t xml:space="preserve">336</w:t>
            </w:r>
          </w:p>
        </w:tc>
      </w:tr>
      <w:tr>
        <w:tc>
          <w:tcPr/>
          <w:p>
            <w:pPr>
              <w:pStyle w:val="Compact"/>
            </w:pPr>
            <w:r>
              <w:t xml:space="preserve">06_triagem_ta</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06_triagem_ta</w:t>
            </w:r>
          </w:p>
        </w:tc>
        <w:tc>
          <w:tcPr/>
          <w:p>
            <w:pPr>
              <w:pStyle w:val="Compact"/>
            </w:pPr>
            <w:r>
              <w:t xml:space="preserve">ia_subagente</w:t>
            </w:r>
          </w:p>
        </w:tc>
        <w:tc>
          <w:tcPr/>
          <w:p>
            <w:pPr>
              <w:pStyle w:val="Compact"/>
            </w:pPr>
            <w:r>
              <w:t xml:space="preserve">revisor_A</w:t>
            </w:r>
          </w:p>
        </w:tc>
        <w:tc>
          <w:tcPr/>
          <w:p>
            <w:pPr>
              <w:pStyle w:val="Compact"/>
            </w:pPr>
            <w:r>
              <w:t xml:space="preserve">lote_mesclado</w:t>
            </w:r>
          </w:p>
        </w:tc>
        <w:tc>
          <w:tcPr/>
          <w:p>
            <w:pPr>
              <w:pStyle w:val="Compact"/>
            </w:pPr>
            <w:r>
              <w:t xml:space="preserve">114</w:t>
            </w:r>
          </w:p>
        </w:tc>
      </w:tr>
      <w:tr>
        <w:tc>
          <w:tcPr/>
          <w:p>
            <w:pPr>
              <w:pStyle w:val="Compact"/>
            </w:pPr>
            <w:r>
              <w:t xml:space="preserve">06_triagem_ta</w:t>
            </w:r>
          </w:p>
        </w:tc>
        <w:tc>
          <w:tcPr/>
          <w:p>
            <w:pPr>
              <w:pStyle w:val="Compact"/>
            </w:pPr>
            <w:r>
              <w:t xml:space="preserve">ia_subagente</w:t>
            </w:r>
          </w:p>
        </w:tc>
        <w:tc>
          <w:tcPr/>
          <w:p>
            <w:pPr>
              <w:pStyle w:val="Compact"/>
            </w:pPr>
            <w:r>
              <w:t xml:space="preserve">revisor_B</w:t>
            </w:r>
          </w:p>
        </w:tc>
        <w:tc>
          <w:tcPr/>
          <w:p>
            <w:pPr>
              <w:pStyle w:val="Compact"/>
            </w:pPr>
            <w:r>
              <w:t xml:space="preserve">lote_mesclado</w:t>
            </w:r>
          </w:p>
        </w:tc>
        <w:tc>
          <w:tcPr/>
          <w:p>
            <w:pPr>
              <w:pStyle w:val="Compact"/>
            </w:pPr>
            <w:r>
              <w:t xml:space="preserve">114</w:t>
            </w:r>
          </w:p>
        </w:tc>
      </w:tr>
      <w:tr>
        <w:tc>
          <w:tcPr/>
          <w:p>
            <w:pPr>
              <w:pStyle w:val="Compact"/>
            </w:pPr>
            <w:r>
              <w:t xml:space="preserve">06_triagem_ta</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06_triagem_ta</w:t>
            </w:r>
          </w:p>
        </w:tc>
        <w:tc>
          <w:tcPr/>
          <w:p>
            <w:pPr>
              <w:pStyle w:val="Compact"/>
            </w:pPr>
            <w:r>
              <w:t xml:space="preserve">script</w:t>
            </w:r>
          </w:p>
        </w:tc>
        <w:tc>
          <w:tcPr/>
          <w:p>
            <w:pPr>
              <w:pStyle w:val="Compact"/>
            </w:pPr>
            <w:r>
              <w:t xml:space="preserve">triagem_lotes</w:t>
            </w:r>
          </w:p>
        </w:tc>
        <w:tc>
          <w:tcPr/>
          <w:p>
            <w:pPr>
              <w:pStyle w:val="Compact"/>
            </w:pPr>
            <w:r>
              <w:t xml:space="preserve">lote_preparado, lote_rejeitado, pendencia_aberta, pendencia_fechada, triagem_consolidada</w:t>
            </w:r>
          </w:p>
        </w:tc>
        <w:tc>
          <w:tcPr/>
          <w:p>
            <w:pPr>
              <w:pStyle w:val="Compact"/>
            </w:pPr>
            <w:r>
              <w:t xml:space="preserve">31</w:t>
            </w:r>
          </w:p>
        </w:tc>
      </w:tr>
      <w:tr>
        <w:tc>
          <w:tcPr/>
          <w:p>
            <w:pPr>
              <w:pStyle w:val="Compact"/>
            </w:pPr>
            <w:r>
              <w:t xml:space="preserve">06_triagem_ta</w:t>
            </w:r>
          </w:p>
        </w:tc>
        <w:tc>
          <w:tcPr/>
          <w:p>
            <w:pPr>
              <w:pStyle w:val="Compact"/>
            </w:pPr>
            <w:r>
              <w:t xml:space="preserve">script</w:t>
            </w:r>
          </w:p>
        </w:tc>
        <w:tc>
          <w:tcPr/>
          <w:p>
            <w:pPr>
              <w:pStyle w:val="Compact"/>
            </w:pPr>
            <w:r>
              <w:t xml:space="preserve">validacao</w:t>
            </w:r>
          </w:p>
        </w:tc>
        <w:tc>
          <w:tcPr/>
          <w:p>
            <w:pPr>
              <w:pStyle w:val="Compact"/>
            </w:pPr>
            <w:r>
              <w:t xml:space="preserve">artefato_versionado, lote_preparado, pendencia_aberta, validacao_calculada</w:t>
            </w:r>
          </w:p>
        </w:tc>
        <w:tc>
          <w:tcPr/>
          <w:p>
            <w:pPr>
              <w:pStyle w:val="Compact"/>
            </w:pPr>
            <w:r>
              <w:t xml:space="preserve">7</w:t>
            </w:r>
          </w:p>
        </w:tc>
      </w:tr>
      <w:tr>
        <w:tc>
          <w:tcPr/>
          <w:p>
            <w:pPr>
              <w:pStyle w:val="Compact"/>
            </w:pPr>
            <w:r>
              <w:t xml:space="preserve">07_textos_elegibilidade</w:t>
            </w:r>
          </w:p>
        </w:tc>
        <w:tc>
          <w:tcPr/>
          <w:p>
            <w:pPr>
              <w:pStyle w:val="Compact"/>
            </w:pPr>
            <w:r>
              <w:t xml:space="preserve">humano</w:t>
            </w:r>
          </w:p>
        </w:tc>
        <w:tc>
          <w:tcPr/>
          <w:p>
            <w:pPr>
              <w:pStyle w:val="Compact"/>
            </w:pPr>
            <w:r>
              <w:t xml:space="preserve">revisor_humano_1</w:t>
            </w:r>
          </w:p>
        </w:tc>
        <w:tc>
          <w:tcPr/>
          <w:p>
            <w:pPr>
              <w:pStyle w:val="Compact"/>
            </w:pPr>
            <w:r>
              <w:t xml:space="preserve">decisao_override</w:t>
            </w:r>
          </w:p>
        </w:tc>
        <w:tc>
          <w:tcPr/>
          <w:p>
            <w:pPr>
              <w:pStyle w:val="Compact"/>
            </w:pPr>
            <w:r>
              <w:t xml:space="preserve">20</w:t>
            </w:r>
          </w:p>
        </w:tc>
      </w:tr>
      <w:tr>
        <w:tc>
          <w:tcPr/>
          <w:p>
            <w:pPr>
              <w:pStyle w:val="Compact"/>
            </w:pPr>
            <w:r>
              <w:t xml:space="preserve">07_textos_elegibilidade</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07_textos_elegibilidade</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07_textos_elegibilidade</w:t>
            </w:r>
          </w:p>
        </w:tc>
        <w:tc>
          <w:tcPr/>
          <w:p>
            <w:pPr>
              <w:pStyle w:val="Compact"/>
            </w:pPr>
            <w:r>
              <w:t xml:space="preserve">script</w:t>
            </w:r>
          </w:p>
        </w:tc>
        <w:tc>
          <w:tcPr/>
          <w:p>
            <w:pPr>
              <w:pStyle w:val="Compact"/>
            </w:pPr>
            <w:r>
              <w:t xml:space="preserve">rs.py bola-de-neve</w:t>
            </w:r>
          </w:p>
        </w:tc>
        <w:tc>
          <w:tcPr/>
          <w:p>
            <w:pPr>
              <w:pStyle w:val="Compact"/>
            </w:pPr>
            <w:r>
              <w:t xml:space="preserve">busca_registrada</w:t>
            </w:r>
          </w:p>
        </w:tc>
        <w:tc>
          <w:tcPr/>
          <w:p>
            <w:pPr>
              <w:pStyle w:val="Compact"/>
            </w:pPr>
            <w:r>
              <w:t xml:space="preserve">3</w:t>
            </w:r>
          </w:p>
        </w:tc>
      </w:tr>
      <w:tr>
        <w:tc>
          <w:tcPr/>
          <w:p>
            <w:pPr>
              <w:pStyle w:val="Compact"/>
            </w:pPr>
            <w:r>
              <w:t xml:space="preserve">07_textos_elegibilidade</w:t>
            </w:r>
          </w:p>
        </w:tc>
        <w:tc>
          <w:tcPr/>
          <w:p>
            <w:pPr>
              <w:pStyle w:val="Compact"/>
            </w:pPr>
            <w:r>
              <w:t xml:space="preserve">script</w:t>
            </w:r>
          </w:p>
        </w:tc>
        <w:tc>
          <w:tcPr/>
          <w:p>
            <w:pPr>
              <w:pStyle w:val="Compact"/>
            </w:pPr>
            <w:r>
              <w:t xml:space="preserve">rs.py textos</w:t>
            </w:r>
          </w:p>
        </w:tc>
        <w:tc>
          <w:tcPr/>
          <w:p>
            <w:pPr>
              <w:pStyle w:val="Compact"/>
            </w:pPr>
            <w:r>
              <w:t xml:space="preserve">ligacao_relatos, pendencia_aberta, pendencia_fechada, retratacoes_verificadas, textos_atualizados</w:t>
            </w:r>
          </w:p>
        </w:tc>
        <w:tc>
          <w:tcPr/>
          <w:p>
            <w:pPr>
              <w:pStyle w:val="Compact"/>
            </w:pPr>
            <w:r>
              <w:t xml:space="preserve">57</w:t>
            </w:r>
          </w:p>
        </w:tc>
      </w:tr>
      <w:tr>
        <w:tc>
          <w:tcPr/>
          <w:p>
            <w:pPr>
              <w:pStyle w:val="Compact"/>
            </w:pPr>
            <w:r>
              <w:t xml:space="preserve">07_textos_elegibilidade</w:t>
            </w:r>
          </w:p>
        </w:tc>
        <w:tc>
          <w:tcPr/>
          <w:p>
            <w:pPr>
              <w:pStyle w:val="Compact"/>
            </w:pPr>
            <w:r>
              <w:t xml:space="preserve">script</w:t>
            </w:r>
          </w:p>
        </w:tc>
        <w:tc>
          <w:tcPr/>
          <w:p>
            <w:pPr>
              <w:pStyle w:val="Compact"/>
            </w:pPr>
            <w:r>
              <w:t xml:space="preserve">triagem_lotes</w:t>
            </w:r>
          </w:p>
        </w:tc>
        <w:tc>
          <w:tcPr/>
          <w:p>
            <w:pPr>
              <w:pStyle w:val="Compact"/>
            </w:pPr>
            <w:r>
              <w:t xml:space="preserve">fila_gerada</w:t>
            </w:r>
          </w:p>
        </w:tc>
        <w:tc>
          <w:tcPr/>
          <w:p>
            <w:pPr>
              <w:pStyle w:val="Compact"/>
            </w:pPr>
            <w:r>
              <w:t xml:space="preserve">3</w:t>
            </w:r>
          </w:p>
        </w:tc>
      </w:tr>
      <w:tr>
        <w:tc>
          <w:tcPr/>
          <w:p>
            <w:pPr>
              <w:pStyle w:val="Compact"/>
            </w:pPr>
            <w:r>
              <w:t xml:space="preserve">08_piloto_extracao</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08_piloto_extracao</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08_piloto_extracao</w:t>
            </w:r>
          </w:p>
        </w:tc>
        <w:tc>
          <w:tcPr/>
          <w:p>
            <w:pPr>
              <w:pStyle w:val="Compact"/>
            </w:pPr>
            <w:r>
              <w:t xml:space="preserve">script</w:t>
            </w:r>
          </w:p>
        </w:tc>
        <w:tc>
          <w:tcPr/>
          <w:p>
            <w:pPr>
              <w:pStyle w:val="Compact"/>
            </w:pPr>
            <w:r>
              <w:t xml:space="preserve">script</w:t>
            </w:r>
          </w:p>
        </w:tc>
        <w:tc>
          <w:tcPr/>
          <w:p>
            <w:pPr>
              <w:pStyle w:val="Compact"/>
            </w:pPr>
            <w:r>
              <w:t xml:space="preserve">pendencia_aberta</w:t>
            </w:r>
          </w:p>
        </w:tc>
        <w:tc>
          <w:tcPr/>
          <w:p>
            <w:pPr>
              <w:pStyle w:val="Compact"/>
            </w:pPr>
            <w:r>
              <w:t xml:space="preserve">1</w:t>
            </w:r>
          </w:p>
        </w:tc>
      </w:tr>
      <w:tr>
        <w:tc>
          <w:tcPr/>
          <w:p>
            <w:pPr>
              <w:pStyle w:val="Compact"/>
            </w:pPr>
            <w:r>
              <w:t xml:space="preserve">09_extracao_rob</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09_extracao_rob</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09_extracao_rob</w:t>
            </w:r>
          </w:p>
        </w:tc>
        <w:tc>
          <w:tcPr/>
          <w:p>
            <w:pPr>
              <w:pStyle w:val="Compact"/>
            </w:pPr>
            <w:r>
              <w:t xml:space="preserve">script</w:t>
            </w:r>
          </w:p>
        </w:tc>
        <w:tc>
          <w:tcPr/>
          <w:p>
            <w:pPr>
              <w:pStyle w:val="Compact"/>
            </w:pPr>
            <w:r>
              <w:t xml:space="preserve">rs.py analise</w:t>
            </w:r>
          </w:p>
        </w:tc>
        <w:tc>
          <w:tcPr/>
          <w:p>
            <w:pPr>
              <w:pStyle w:val="Compact"/>
            </w:pPr>
            <w:r>
              <w:t xml:space="preserve">efeitos_verificados, extracao_consolidada, pendencia_aberta, pendencia_fechada</w:t>
            </w:r>
          </w:p>
        </w:tc>
        <w:tc>
          <w:tcPr/>
          <w:p>
            <w:pPr>
              <w:pStyle w:val="Compact"/>
            </w:pPr>
            <w:r>
              <w:t xml:space="preserve">21</w:t>
            </w:r>
          </w:p>
        </w:tc>
      </w:tr>
      <w:tr>
        <w:tc>
          <w:tcPr/>
          <w:p>
            <w:pPr>
              <w:pStyle w:val="Compact"/>
            </w:pPr>
            <w:r>
              <w:t xml:space="preserve">09_extracao_rob</w:t>
            </w:r>
          </w:p>
        </w:tc>
        <w:tc>
          <w:tcPr/>
          <w:p>
            <w:pPr>
              <w:pStyle w:val="Compact"/>
            </w:pPr>
            <w:r>
              <w:t xml:space="preserve">script</w:t>
            </w:r>
          </w:p>
        </w:tc>
        <w:tc>
          <w:tcPr/>
          <w:p>
            <w:pPr>
              <w:pStyle w:val="Compact"/>
            </w:pPr>
            <w:r>
              <w:t xml:space="preserve">rs.py qualidade</w:t>
            </w:r>
          </w:p>
        </w:tc>
        <w:tc>
          <w:tcPr/>
          <w:p>
            <w:pPr>
              <w:pStyle w:val="Compact"/>
            </w:pPr>
            <w:r>
              <w:t xml:space="preserve">fila_gerada, pendencia_aberta, pendencia_fechada, rob_consolidado</w:t>
            </w:r>
          </w:p>
        </w:tc>
        <w:tc>
          <w:tcPr/>
          <w:p>
            <w:pPr>
              <w:pStyle w:val="Compact"/>
            </w:pPr>
            <w:r>
              <w:t xml:space="preserve">12</w:t>
            </w:r>
          </w:p>
        </w:tc>
      </w:tr>
      <w:tr>
        <w:tc>
          <w:tcPr/>
          <w:p>
            <w:pPr>
              <w:pStyle w:val="Compact"/>
            </w:pPr>
            <w:r>
              <w:t xml:space="preserve">09_extracao_rob</w:t>
            </w:r>
          </w:p>
        </w:tc>
        <w:tc>
          <w:tcPr/>
          <w:p>
            <w:pPr>
              <w:pStyle w:val="Compact"/>
            </w:pPr>
            <w:r>
              <w:t xml:space="preserve">script</w:t>
            </w:r>
          </w:p>
        </w:tc>
        <w:tc>
          <w:tcPr/>
          <w:p>
            <w:pPr>
              <w:pStyle w:val="Compact"/>
            </w:pPr>
            <w:r>
              <w:t xml:space="preserve">script</w:t>
            </w:r>
          </w:p>
        </w:tc>
        <w:tc>
          <w:tcPr/>
          <w:p>
            <w:pPr>
              <w:pStyle w:val="Compact"/>
            </w:pPr>
            <w:r>
              <w:t xml:space="preserve">pendencia_aberta</w:t>
            </w:r>
          </w:p>
        </w:tc>
        <w:tc>
          <w:tcPr/>
          <w:p>
            <w:pPr>
              <w:pStyle w:val="Compact"/>
            </w:pPr>
            <w:r>
              <w:t xml:space="preserve">1</w:t>
            </w:r>
          </w:p>
        </w:tc>
      </w:tr>
      <w:tr>
        <w:tc>
          <w:tcPr/>
          <w:p>
            <w:pPr>
              <w:pStyle w:val="Compact"/>
            </w:pPr>
            <w:r>
              <w:t xml:space="preserve">10_sintese</w:t>
            </w:r>
          </w:p>
        </w:tc>
        <w:tc>
          <w:tcPr/>
          <w:p>
            <w:pPr>
              <w:pStyle w:val="Compact"/>
            </w:pPr>
            <w:r>
              <w:t xml:space="preserve">humano</w:t>
            </w:r>
          </w:p>
        </w:tc>
        <w:tc>
          <w:tcPr/>
          <w:p>
            <w:pPr>
              <w:pStyle w:val="Compact"/>
            </w:pPr>
            <w:r>
              <w:t xml:space="preserve">revisor_humano_1</w:t>
            </w:r>
          </w:p>
        </w:tc>
        <w:tc>
          <w:tcPr/>
          <w:p>
            <w:pPr>
              <w:pStyle w:val="Compact"/>
            </w:pPr>
            <w:r>
              <w:t xml:space="preserve">pendencia_fechada</w:t>
            </w:r>
          </w:p>
        </w:tc>
        <w:tc>
          <w:tcPr/>
          <w:p>
            <w:pPr>
              <w:pStyle w:val="Compact"/>
            </w:pPr>
            <w:r>
              <w:t xml:space="preserve">1</w:t>
            </w:r>
          </w:p>
        </w:tc>
      </w:tr>
      <w:tr>
        <w:tc>
          <w:tcPr/>
          <w:p>
            <w:pPr>
              <w:pStyle w:val="Compact"/>
            </w:pPr>
            <w:r>
              <w:t xml:space="preserve">10_sintese</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10_sintese</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10_sintese</w:t>
            </w:r>
          </w:p>
        </w:tc>
        <w:tc>
          <w:tcPr/>
          <w:p>
            <w:pPr>
              <w:pStyle w:val="Compact"/>
            </w:pPr>
            <w:r>
              <w:t xml:space="preserve">script</w:t>
            </w:r>
          </w:p>
        </w:tc>
        <w:tc>
          <w:tcPr/>
          <w:p>
            <w:pPr>
              <w:pStyle w:val="Compact"/>
            </w:pPr>
            <w:r>
              <w:t xml:space="preserve">rs.py analise</w:t>
            </w:r>
          </w:p>
        </w:tc>
        <w:tc>
          <w:tcPr/>
          <w:p>
            <w:pPr>
              <w:pStyle w:val="Compact"/>
            </w:pPr>
            <w:r>
              <w:t xml:space="preserve">analise_executada</w:t>
            </w:r>
          </w:p>
        </w:tc>
        <w:tc>
          <w:tcPr/>
          <w:p>
            <w:pPr>
              <w:pStyle w:val="Compact"/>
            </w:pPr>
            <w:r>
              <w:t xml:space="preserve">37</w:t>
            </w:r>
          </w:p>
        </w:tc>
      </w:tr>
      <w:tr>
        <w:tc>
          <w:tcPr/>
          <w:p>
            <w:pPr>
              <w:pStyle w:val="Compact"/>
            </w:pPr>
            <w:r>
              <w:t xml:space="preserve">10_sintese</w:t>
            </w:r>
          </w:p>
        </w:tc>
        <w:tc>
          <w:tcPr/>
          <w:p>
            <w:pPr>
              <w:pStyle w:val="Compact"/>
            </w:pPr>
            <w:r>
              <w:t xml:space="preserve">script</w:t>
            </w:r>
          </w:p>
        </w:tc>
        <w:tc>
          <w:tcPr/>
          <w:p>
            <w:pPr>
              <w:pStyle w:val="Compact"/>
            </w:pPr>
            <w:r>
              <w:t xml:space="preserve">rs.py caixa</w:t>
            </w:r>
          </w:p>
        </w:tc>
        <w:tc>
          <w:tcPr/>
          <w:p>
            <w:pPr>
              <w:pStyle w:val="Compact"/>
            </w:pPr>
            <w:r>
              <w:t xml:space="preserve">caixa_gerada, pendencia_aberta</w:t>
            </w:r>
          </w:p>
        </w:tc>
        <w:tc>
          <w:tcPr/>
          <w:p>
            <w:pPr>
              <w:pStyle w:val="Compact"/>
            </w:pPr>
            <w:r>
              <w:t xml:space="preserve">2</w:t>
            </w:r>
          </w:p>
        </w:tc>
      </w:tr>
      <w:tr>
        <w:tc>
          <w:tcPr/>
          <w:p>
            <w:pPr>
              <w:pStyle w:val="Compact"/>
            </w:pPr>
            <w:r>
              <w:t xml:space="preserve">10_sintese</w:t>
            </w:r>
          </w:p>
        </w:tc>
        <w:tc>
          <w:tcPr/>
          <w:p>
            <w:pPr>
              <w:pStyle w:val="Compact"/>
            </w:pPr>
            <w:r>
              <w:t xml:space="preserve">script</w:t>
            </w:r>
          </w:p>
        </w:tc>
        <w:tc>
          <w:tcPr/>
          <w:p>
            <w:pPr>
              <w:pStyle w:val="Compact"/>
            </w:pPr>
            <w:r>
              <w:t xml:space="preserve">script</w:t>
            </w:r>
          </w:p>
        </w:tc>
        <w:tc>
          <w:tcPr/>
          <w:p>
            <w:pPr>
              <w:pStyle w:val="Compact"/>
            </w:pPr>
            <w:r>
              <w:t xml:space="preserve">pendencia_aberta</w:t>
            </w:r>
          </w:p>
        </w:tc>
        <w:tc>
          <w:tcPr/>
          <w:p>
            <w:pPr>
              <w:pStyle w:val="Compact"/>
            </w:pPr>
            <w:r>
              <w:t xml:space="preserve">2</w:t>
            </w:r>
          </w:p>
        </w:tc>
      </w:tr>
      <w:tr>
        <w:tc>
          <w:tcPr/>
          <w:p>
            <w:pPr>
              <w:pStyle w:val="Compact"/>
            </w:pPr>
            <w:r>
              <w:t xml:space="preserve">11_relato</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11_relato</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11_relato</w:t>
            </w:r>
          </w:p>
        </w:tc>
        <w:tc>
          <w:tcPr/>
          <w:p>
            <w:pPr>
              <w:pStyle w:val="Compact"/>
            </w:pPr>
            <w:r>
              <w:t xml:space="preserve">script</w:t>
            </w:r>
          </w:p>
        </w:tc>
        <w:tc>
          <w:tcPr/>
          <w:p>
            <w:pPr>
              <w:pStyle w:val="Compact"/>
            </w:pPr>
            <w:r>
              <w:t xml:space="preserve">prisma</w:t>
            </w:r>
          </w:p>
        </w:tc>
        <w:tc>
          <w:tcPr/>
          <w:p>
            <w:pPr>
              <w:pStyle w:val="Compact"/>
            </w:pPr>
            <w:r>
              <w:t xml:space="preserve">erro, prisma_gerado</w:t>
            </w:r>
          </w:p>
        </w:tc>
        <w:tc>
          <w:tcPr/>
          <w:p>
            <w:pPr>
              <w:pStyle w:val="Compact"/>
            </w:pPr>
            <w:r>
              <w:t xml:space="preserve">4</w:t>
            </w:r>
          </w:p>
        </w:tc>
      </w:tr>
      <w:tr>
        <w:tc>
          <w:tcPr/>
          <w:p>
            <w:pPr>
              <w:pStyle w:val="Compact"/>
            </w:pPr>
            <w:r>
              <w:t xml:space="preserve">11_relato</w:t>
            </w:r>
          </w:p>
        </w:tc>
        <w:tc>
          <w:tcPr/>
          <w:p>
            <w:pPr>
              <w:pStyle w:val="Compact"/>
            </w:pPr>
            <w:r>
              <w:t xml:space="preserve">script</w:t>
            </w:r>
          </w:p>
        </w:tc>
        <w:tc>
          <w:tcPr/>
          <w:p>
            <w:pPr>
              <w:pStyle w:val="Compact"/>
            </w:pPr>
            <w:r>
              <w:t xml:space="preserve">rs.py handoff</w:t>
            </w:r>
          </w:p>
        </w:tc>
        <w:tc>
          <w:tcPr/>
          <w:p>
            <w:pPr>
              <w:pStyle w:val="Compact"/>
            </w:pPr>
            <w:r>
              <w:t xml:space="preserve">relatorio_gerado</w:t>
            </w:r>
          </w:p>
        </w:tc>
        <w:tc>
          <w:tcPr/>
          <w:p>
            <w:pPr>
              <w:pStyle w:val="Compact"/>
            </w:pPr>
            <w:r>
              <w:t xml:space="preserve">4</w:t>
            </w:r>
          </w:p>
        </w:tc>
      </w:tr>
    </w:tbl>
    <w:bookmarkEnd w:id="189"/>
    <w:bookmarkStart w:id="190" w:name="X9a509fd86dd1cfa15bca9bcc5487895d1307b8f"/>
    <w:p>
      <w:pPr>
        <w:pStyle w:val="Heading2"/>
      </w:pPr>
      <w:r>
        <w:t xml:space="preserve">3. Prompts, critérios e instrumentos arquivados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Arquivo ou referência</w:t>
            </w:r>
          </w:p>
        </w:tc>
        <w:tc>
          <w:tcPr/>
          <w:p>
            <w:pPr>
              <w:pStyle w:val="Compact"/>
            </w:pPr>
            <w:r>
              <w:t xml:space="preserve">sha256 (prefixo)</w:t>
            </w:r>
          </w:p>
        </w:tc>
        <w:tc>
          <w:tcPr/>
          <w:p>
            <w:pPr>
              <w:pStyle w:val="Compact"/>
            </w:pPr>
            <w:r>
              <w:t xml:space="preserve">Primeiro evento (seq)</w:t>
            </w:r>
          </w:p>
        </w:tc>
      </w:tr>
      <w:tr>
        <w:tc>
          <w:tcPr/>
          <w:p>
            <w:pPr>
              <w:pStyle w:val="Compact"/>
            </w:pPr>
            <w:r>
              <w:t xml:space="preserve">00-protocolo/ancoras_validacao.csv</w:t>
            </w:r>
          </w:p>
        </w:tc>
        <w:tc>
          <w:tcPr/>
          <w:p>
            <w:pPr>
              <w:pStyle w:val="Compact"/>
            </w:pPr>
            <w:r>
              <w:rPr>
                <w:rStyle w:val="VerbatimChar"/>
              </w:rPr>
              <w:t xml:space="preserve">731f41e2233ff11c</w:t>
            </w:r>
          </w:p>
        </w:tc>
        <w:tc>
          <w:tcPr/>
          <w:p>
            <w:pPr>
              <w:pStyle w:val="Compact"/>
            </w:pPr>
            <w:r>
              <w:t xml:space="preserve">20</w:t>
            </w:r>
          </w:p>
        </w:tc>
      </w:tr>
      <w:tr>
        <w:tc>
          <w:tcPr/>
          <w:p>
            <w:pPr>
              <w:pStyle w:val="Compact"/>
            </w:pPr>
            <w:r>
              <w:t xml:space="preserve">00-protocolo/codebook_elegibilidade.csv</w:t>
            </w:r>
          </w:p>
        </w:tc>
        <w:tc>
          <w:tcPr/>
          <w:p>
            <w:pPr>
              <w:pStyle w:val="Compact"/>
            </w:pPr>
            <w:r>
              <w:rPr>
                <w:rStyle w:val="VerbatimChar"/>
              </w:rPr>
              <w:t xml:space="preserve">65dddc46db76bb2c</w:t>
            </w:r>
          </w:p>
        </w:tc>
        <w:tc>
          <w:tcPr/>
          <w:p>
            <w:pPr>
              <w:pStyle w:val="Compact"/>
            </w:pPr>
            <w:r>
              <w:t xml:space="preserve">319</w:t>
            </w:r>
          </w:p>
        </w:tc>
      </w:tr>
      <w:tr>
        <w:tc>
          <w:tcPr/>
          <w:p>
            <w:pPr>
              <w:pStyle w:val="Compact"/>
            </w:pPr>
            <w:r>
              <w:t xml:space="preserve">00-protocolo/codebook_v0_efetividade.csv</w:t>
            </w:r>
          </w:p>
        </w:tc>
        <w:tc>
          <w:tcPr/>
          <w:p>
            <w:pPr>
              <w:pStyle w:val="Compact"/>
            </w:pPr>
            <w:r>
              <w:rPr>
                <w:rStyle w:val="VerbatimChar"/>
              </w:rPr>
              <w:t xml:space="preserve">47a0cc5ad53896ed</w:t>
            </w:r>
          </w:p>
        </w:tc>
        <w:tc>
          <w:tcPr/>
          <w:p>
            <w:pPr>
              <w:pStyle w:val="Compact"/>
            </w:pPr>
            <w:r>
              <w:t xml:space="preserve">718</w:t>
            </w:r>
          </w:p>
        </w:tc>
      </w:tr>
      <w:tr>
        <w:tc>
          <w:tcPr/>
          <w:p>
            <w:pPr>
              <w:pStyle w:val="Compact"/>
            </w:pPr>
            <w:r>
              <w:t xml:space="preserve">00-protocolo/exploracao_EX1.csv</w:t>
            </w:r>
          </w:p>
        </w:tc>
        <w:tc>
          <w:tcPr/>
          <w:p>
            <w:pPr>
              <w:pStyle w:val="Compact"/>
            </w:pPr>
            <w:r>
              <w:rPr>
                <w:rStyle w:val="VerbatimChar"/>
              </w:rPr>
              <w:t xml:space="preserve">0bab9d73a0d37d69</w:t>
            </w:r>
          </w:p>
        </w:tc>
        <w:tc>
          <w:tcPr/>
          <w:p>
            <w:pPr>
              <w:pStyle w:val="Compact"/>
            </w:pPr>
            <w:r>
              <w:t xml:space="preserve">3</w:t>
            </w:r>
          </w:p>
        </w:tc>
      </w:tr>
      <w:tr>
        <w:tc>
          <w:tcPr/>
          <w:p>
            <w:pPr>
              <w:pStyle w:val="Compact"/>
            </w:pPr>
            <w:r>
              <w:t xml:space="preserve">00-protocolo/exploracao_EX2.csv</w:t>
            </w:r>
          </w:p>
        </w:tc>
        <w:tc>
          <w:tcPr/>
          <w:p>
            <w:pPr>
              <w:pStyle w:val="Compact"/>
            </w:pPr>
            <w:r>
              <w:rPr>
                <w:rStyle w:val="VerbatimChar"/>
              </w:rPr>
              <w:t xml:space="preserve">a480ba19830ca555</w:t>
            </w:r>
          </w:p>
        </w:tc>
        <w:tc>
          <w:tcPr/>
          <w:p>
            <w:pPr>
              <w:pStyle w:val="Compact"/>
            </w:pPr>
            <w:r>
              <w:t xml:space="preserve">4</w:t>
            </w:r>
          </w:p>
        </w:tc>
      </w:tr>
      <w:tr>
        <w:tc>
          <w:tcPr/>
          <w:p>
            <w:pPr>
              <w:pStyle w:val="Compact"/>
            </w:pPr>
            <w:r>
              <w:t xml:space="preserve">00-protocolo/exploracao_EX3.csv</w:t>
            </w:r>
          </w:p>
        </w:tc>
        <w:tc>
          <w:tcPr/>
          <w:p>
            <w:pPr>
              <w:pStyle w:val="Compact"/>
            </w:pPr>
            <w:r>
              <w:rPr>
                <w:rStyle w:val="VerbatimChar"/>
              </w:rPr>
              <w:t xml:space="preserve">6f41b6d852c081e9</w:t>
            </w:r>
          </w:p>
        </w:tc>
        <w:tc>
          <w:tcPr/>
          <w:p>
            <w:pPr>
              <w:pStyle w:val="Compact"/>
            </w:pPr>
            <w:r>
              <w:t xml:space="preserve">6</w:t>
            </w:r>
          </w:p>
        </w:tc>
      </w:tr>
      <w:tr>
        <w:tc>
          <w:tcPr/>
          <w:p>
            <w:pPr>
              <w:pStyle w:val="Compact"/>
            </w:pPr>
            <w:r>
              <w:t xml:space="preserve">00-protocolo/exploracao_EX4.csv</w:t>
            </w:r>
          </w:p>
        </w:tc>
        <w:tc>
          <w:tcPr/>
          <w:p>
            <w:pPr>
              <w:pStyle w:val="Compact"/>
            </w:pPr>
            <w:r>
              <w:rPr>
                <w:rStyle w:val="VerbatimChar"/>
              </w:rPr>
              <w:t xml:space="preserve">b16d20b937705df6</w:t>
            </w:r>
          </w:p>
        </w:tc>
        <w:tc>
          <w:tcPr/>
          <w:p>
            <w:pPr>
              <w:pStyle w:val="Compact"/>
            </w:pPr>
            <w:r>
              <w:t xml:space="preserve">7</w:t>
            </w:r>
          </w:p>
        </w:tc>
      </w:tr>
      <w:tr>
        <w:tc>
          <w:tcPr/>
          <w:p>
            <w:pPr>
              <w:pStyle w:val="Compact"/>
            </w:pPr>
            <w:r>
              <w:t xml:space="preserve">00-protocolo/protocolo.md</w:t>
            </w:r>
          </w:p>
        </w:tc>
        <w:tc>
          <w:tcPr/>
          <w:p>
            <w:pPr>
              <w:pStyle w:val="Compact"/>
            </w:pPr>
            <w:r>
              <w:rPr>
                <w:rStyle w:val="VerbatimChar"/>
              </w:rPr>
              <w:t xml:space="preserve">88530b9042361ced</w:t>
            </w:r>
          </w:p>
        </w:tc>
        <w:tc>
          <w:tcPr/>
          <w:p>
            <w:pPr>
              <w:pStyle w:val="Compact"/>
            </w:pPr>
            <w:r>
              <w:t xml:space="preserve">552</w:t>
            </w:r>
          </w:p>
        </w:tc>
      </w:tr>
      <w:tr>
        <w:tc>
          <w:tcPr/>
          <w:p>
            <w:pPr>
              <w:pStyle w:val="Compact"/>
            </w:pPr>
            <w:r>
              <w:t xml:space="preserve">02-triagem/prompts/ta_v1.md</w:t>
            </w:r>
          </w:p>
        </w:tc>
        <w:tc>
          <w:tcPr/>
          <w:p>
            <w:pPr>
              <w:pStyle w:val="Compact"/>
            </w:pPr>
            <w:r>
              <w:rPr>
                <w:rStyle w:val="VerbatimChar"/>
              </w:rPr>
              <w:t xml:space="preserve">cd9cbfe00d4e4e45</w:t>
            </w:r>
          </w:p>
        </w:tc>
        <w:tc>
          <w:tcPr/>
          <w:p>
            <w:pPr>
              <w:pStyle w:val="Compact"/>
            </w:pPr>
            <w:r>
              <w:t xml:space="preserve">31</w:t>
            </w:r>
          </w:p>
        </w:tc>
      </w:tr>
      <w:tr>
        <w:tc>
          <w:tcPr/>
          <w:p>
            <w:pPr>
              <w:pStyle w:val="Compact"/>
            </w:pPr>
            <w:r>
              <w:t xml:space="preserve">04-qualidade/rob_epoc_concordancia.csv</w:t>
            </w:r>
          </w:p>
        </w:tc>
        <w:tc>
          <w:tcPr/>
          <w:p>
            <w:pPr>
              <w:pStyle w:val="Compact"/>
            </w:pPr>
            <w:r>
              <w:rPr>
                <w:rStyle w:val="VerbatimChar"/>
              </w:rPr>
              <w:t xml:space="preserve">85bbe6fa8f1a84dc</w:t>
            </w:r>
          </w:p>
        </w:tc>
        <w:tc>
          <w:tcPr/>
          <w:p>
            <w:pPr>
              <w:pStyle w:val="Compact"/>
            </w:pPr>
            <w:r>
              <w:t xml:space="preserve">739</w:t>
            </w:r>
          </w:p>
        </w:tc>
      </w:tr>
      <w:tr>
        <w:tc>
          <w:tcPr/>
          <w:p>
            <w:pPr>
              <w:pStyle w:val="Compact"/>
            </w:pPr>
            <w:r>
              <w:t xml:space="preserve">04-qualidade/rob_epoc_consenso.csv</w:t>
            </w:r>
          </w:p>
        </w:tc>
        <w:tc>
          <w:tcPr/>
          <w:p>
            <w:pPr>
              <w:pStyle w:val="Compact"/>
            </w:pPr>
            <w:r>
              <w:rPr>
                <w:rStyle w:val="VerbatimChar"/>
              </w:rPr>
              <w:t xml:space="preserve">d84678f651e80fe0</w:t>
            </w:r>
          </w:p>
        </w:tc>
        <w:tc>
          <w:tcPr/>
          <w:p>
            <w:pPr>
              <w:pStyle w:val="Compact"/>
            </w:pPr>
            <w:r>
              <w:t xml:space="preserve">749</w:t>
            </w:r>
          </w:p>
        </w:tc>
      </w:tr>
      <w:tr>
        <w:tc>
          <w:tcPr/>
          <w:p>
            <w:pPr>
              <w:pStyle w:val="Compact"/>
            </w:pPr>
            <w:r>
              <w:t xml:space="preserve">04-qualidade/rob_epoc_consenso.csv</w:t>
            </w:r>
          </w:p>
        </w:tc>
        <w:tc>
          <w:tcPr/>
          <w:p>
            <w:pPr>
              <w:pStyle w:val="Compact"/>
            </w:pPr>
            <w:r>
              <w:rPr>
                <w:rStyle w:val="VerbatimChar"/>
              </w:rPr>
              <w:t xml:space="preserve">e05d2a59fdd941b9</w:t>
            </w:r>
          </w:p>
        </w:tc>
        <w:tc>
          <w:tcPr/>
          <w:p>
            <w:pPr>
              <w:pStyle w:val="Compact"/>
            </w:pPr>
            <w:r>
              <w:t xml:space="preserve">739</w:t>
            </w:r>
          </w:p>
        </w:tc>
      </w:tr>
      <w:tr>
        <w:tc>
          <w:tcPr/>
          <w:p>
            <w:pPr>
              <w:pStyle w:val="Compact"/>
            </w:pPr>
            <w:r>
              <w:t xml:space="preserve">04-qualidade/rob_geral.csv</w:t>
            </w:r>
          </w:p>
        </w:tc>
        <w:tc>
          <w:tcPr/>
          <w:p>
            <w:pPr>
              <w:pStyle w:val="Compact"/>
            </w:pPr>
            <w:r>
              <w:rPr>
                <w:rStyle w:val="VerbatimChar"/>
              </w:rPr>
              <w:t xml:space="preserve">27378b9abc936385</w:t>
            </w:r>
          </w:p>
        </w:tc>
        <w:tc>
          <w:tcPr/>
          <w:p>
            <w:pPr>
              <w:pStyle w:val="Compact"/>
            </w:pPr>
            <w:r>
              <w:t xml:space="preserve">745</w:t>
            </w:r>
          </w:p>
        </w:tc>
      </w:tr>
      <w:tr>
        <w:tc>
          <w:tcPr/>
          <w:p>
            <w:pPr>
              <w:pStyle w:val="Compact"/>
            </w:pPr>
            <w:r>
              <w:t xml:space="preserve">04-qualidade/rob_geral.csv</w:t>
            </w:r>
          </w:p>
        </w:tc>
        <w:tc>
          <w:tcPr/>
          <w:p>
            <w:pPr>
              <w:pStyle w:val="Compact"/>
            </w:pPr>
            <w:r>
              <w:rPr>
                <w:rStyle w:val="VerbatimChar"/>
              </w:rPr>
              <w:t xml:space="preserve">88ff4d90d0b525db</w:t>
            </w:r>
          </w:p>
        </w:tc>
        <w:tc>
          <w:tcPr/>
          <w:p>
            <w:pPr>
              <w:pStyle w:val="Compact"/>
            </w:pPr>
            <w:r>
              <w:t xml:space="preserve">749</w:t>
            </w:r>
          </w:p>
        </w:tc>
      </w:tr>
      <w:tr>
        <w:tc>
          <w:tcPr/>
          <w:p>
            <w:pPr>
              <w:pStyle w:val="Compact"/>
            </w:pPr>
            <w:r>
              <w:t xml:space="preserve">04-qualidade/rob_geral.csv</w:t>
            </w:r>
          </w:p>
        </w:tc>
        <w:tc>
          <w:tcPr/>
          <w:p>
            <w:pPr>
              <w:pStyle w:val="Compact"/>
            </w:pPr>
            <w:r>
              <w:rPr>
                <w:rStyle w:val="VerbatimChar"/>
              </w:rPr>
              <w:t xml:space="preserve">e3832bc9649de3b2</w:t>
            </w:r>
          </w:p>
        </w:tc>
        <w:tc>
          <w:tcPr/>
          <w:p>
            <w:pPr>
              <w:pStyle w:val="Compact"/>
            </w:pPr>
            <w:r>
              <w:t xml:space="preserve">747</w:t>
            </w:r>
          </w:p>
        </w:tc>
      </w:tr>
      <w:tr>
        <w:tc>
          <w:tcPr/>
          <w:p>
            <w:pPr>
              <w:pStyle w:val="Compact"/>
            </w:pPr>
            <w:r>
              <w:t xml:space="preserve">04-qualidade/rob_rob2_concordancia.csv</w:t>
            </w:r>
          </w:p>
        </w:tc>
        <w:tc>
          <w:tcPr/>
          <w:p>
            <w:pPr>
              <w:pStyle w:val="Compact"/>
            </w:pPr>
            <w:r>
              <w:rPr>
                <w:rStyle w:val="VerbatimChar"/>
              </w:rPr>
              <w:t xml:space="preserve">313ae6c801888d70</w:t>
            </w:r>
          </w:p>
        </w:tc>
        <w:tc>
          <w:tcPr/>
          <w:p>
            <w:pPr>
              <w:pStyle w:val="Compact"/>
            </w:pPr>
            <w:r>
              <w:t xml:space="preserve">745</w:t>
            </w:r>
          </w:p>
        </w:tc>
      </w:tr>
      <w:tr>
        <w:tc>
          <w:tcPr/>
          <w:p>
            <w:pPr>
              <w:pStyle w:val="Compact"/>
            </w:pPr>
            <w:r>
              <w:t xml:space="preserve">04-qualidade/rob_rob2_concordancia.csv</w:t>
            </w:r>
          </w:p>
        </w:tc>
        <w:tc>
          <w:tcPr/>
          <w:p>
            <w:pPr>
              <w:pStyle w:val="Compact"/>
            </w:pPr>
            <w:r>
              <w:rPr>
                <w:rStyle w:val="VerbatimChar"/>
              </w:rPr>
              <w:t xml:space="preserve">ea5cfabab960fefb</w:t>
            </w:r>
          </w:p>
        </w:tc>
        <w:tc>
          <w:tcPr/>
          <w:p>
            <w:pPr>
              <w:pStyle w:val="Compact"/>
            </w:pPr>
            <w:r>
              <w:t xml:space="preserve">737</w:t>
            </w:r>
          </w:p>
        </w:tc>
      </w:tr>
      <w:tr>
        <w:tc>
          <w:tcPr/>
          <w:p>
            <w:pPr>
              <w:pStyle w:val="Compact"/>
            </w:pPr>
            <w:r>
              <w:t xml:space="preserve">04-qualidade/rob_rob2_consenso.csv</w:t>
            </w:r>
          </w:p>
        </w:tc>
        <w:tc>
          <w:tcPr/>
          <w:p>
            <w:pPr>
              <w:pStyle w:val="Compact"/>
            </w:pPr>
            <w:r>
              <w:rPr>
                <w:rStyle w:val="VerbatimChar"/>
              </w:rPr>
              <w:t xml:space="preserve">873b9106e5659c9b</w:t>
            </w:r>
          </w:p>
        </w:tc>
        <w:tc>
          <w:tcPr/>
          <w:p>
            <w:pPr>
              <w:pStyle w:val="Compact"/>
            </w:pPr>
            <w:r>
              <w:t xml:space="preserve">745</w:t>
            </w:r>
          </w:p>
        </w:tc>
      </w:tr>
      <w:tr>
        <w:tc>
          <w:tcPr/>
          <w:p>
            <w:pPr>
              <w:pStyle w:val="Compact"/>
            </w:pPr>
            <w:r>
              <w:t xml:space="preserve">04-qualidade/rob_rob2_consenso.csv</w:t>
            </w:r>
          </w:p>
        </w:tc>
        <w:tc>
          <w:tcPr/>
          <w:p>
            <w:pPr>
              <w:pStyle w:val="Compact"/>
            </w:pPr>
            <w:r>
              <w:rPr>
                <w:rStyle w:val="VerbatimChar"/>
              </w:rPr>
              <w:t xml:space="preserve">929b0734603102cc</w:t>
            </w:r>
          </w:p>
        </w:tc>
        <w:tc>
          <w:tcPr/>
          <w:p>
            <w:pPr>
              <w:pStyle w:val="Compact"/>
            </w:pPr>
            <w:r>
              <w:t xml:space="preserve">737</w:t>
            </w:r>
          </w:p>
        </w:tc>
      </w:tr>
      <w:tr>
        <w:tc>
          <w:tcPr/>
          <w:p>
            <w:pPr>
              <w:pStyle w:val="Compact"/>
            </w:pPr>
            <w:r>
              <w:t xml:space="preserve">04-qualidade/rob_robins_i_concordancia.csv</w:t>
            </w:r>
          </w:p>
        </w:tc>
        <w:tc>
          <w:tcPr/>
          <w:p>
            <w:pPr>
              <w:pStyle w:val="Compact"/>
            </w:pPr>
            <w:r>
              <w:rPr>
                <w:rStyle w:val="VerbatimChar"/>
              </w:rPr>
              <w:t xml:space="preserve">36d4b13bfcb47291</w:t>
            </w:r>
          </w:p>
        </w:tc>
        <w:tc>
          <w:tcPr/>
          <w:p>
            <w:pPr>
              <w:pStyle w:val="Compact"/>
            </w:pPr>
            <w:r>
              <w:t xml:space="preserve">735</w:t>
            </w:r>
          </w:p>
        </w:tc>
      </w:tr>
      <w:tr>
        <w:tc>
          <w:tcPr/>
          <w:p>
            <w:pPr>
              <w:pStyle w:val="Compact"/>
            </w:pPr>
            <w:r>
              <w:t xml:space="preserve">04-qualidade/rob_robins_i_concordancia.csv</w:t>
            </w:r>
          </w:p>
        </w:tc>
        <w:tc>
          <w:tcPr/>
          <w:p>
            <w:pPr>
              <w:pStyle w:val="Compact"/>
            </w:pPr>
            <w:r>
              <w:rPr>
                <w:rStyle w:val="VerbatimChar"/>
              </w:rPr>
              <w:t xml:space="preserve">4714c56d7c816f6c</w:t>
            </w:r>
          </w:p>
        </w:tc>
        <w:tc>
          <w:tcPr/>
          <w:p>
            <w:pPr>
              <w:pStyle w:val="Compact"/>
            </w:pPr>
            <w:r>
              <w:t xml:space="preserve">747</w:t>
            </w:r>
          </w:p>
        </w:tc>
      </w:tr>
      <w:tr>
        <w:tc>
          <w:tcPr/>
          <w:p>
            <w:pPr>
              <w:pStyle w:val="Compact"/>
            </w:pPr>
            <w:r>
              <w:t xml:space="preserve">04-qualidade/rob_robins_i_consenso.csv</w:t>
            </w:r>
          </w:p>
        </w:tc>
        <w:tc>
          <w:tcPr/>
          <w:p>
            <w:pPr>
              <w:pStyle w:val="Compact"/>
            </w:pPr>
            <w:r>
              <w:rPr>
                <w:rStyle w:val="VerbatimChar"/>
              </w:rPr>
              <w:t xml:space="preserve">3db4722042e1f5e4</w:t>
            </w:r>
          </w:p>
        </w:tc>
        <w:tc>
          <w:tcPr/>
          <w:p>
            <w:pPr>
              <w:pStyle w:val="Compact"/>
            </w:pPr>
            <w:r>
              <w:t xml:space="preserve">735</w:t>
            </w:r>
          </w:p>
        </w:tc>
      </w:tr>
      <w:tr>
        <w:tc>
          <w:tcPr/>
          <w:p>
            <w:pPr>
              <w:pStyle w:val="Compact"/>
            </w:pPr>
            <w:r>
              <w:t xml:space="preserve">04-qualidade/rob_robins_i_consenso.csv</w:t>
            </w:r>
          </w:p>
        </w:tc>
        <w:tc>
          <w:tcPr/>
          <w:p>
            <w:pPr>
              <w:pStyle w:val="Compact"/>
            </w:pPr>
            <w:r>
              <w:rPr>
                <w:rStyle w:val="VerbatimChar"/>
              </w:rPr>
              <w:t xml:space="preserve">529303335860418b</w:t>
            </w:r>
          </w:p>
        </w:tc>
        <w:tc>
          <w:tcPr/>
          <w:p>
            <w:pPr>
              <w:pStyle w:val="Compact"/>
            </w:pPr>
            <w:r>
              <w:t xml:space="preserve">747</w:t>
            </w:r>
          </w:p>
        </w:tc>
      </w:tr>
      <w:tr>
        <w:tc>
          <w:tcPr/>
          <w:p>
            <w:pPr>
              <w:pStyle w:val="Compact"/>
            </w:pPr>
            <w:r>
              <w:t xml:space="preserve">05-decomposicao/efeitos_extraidos.csv</w:t>
            </w:r>
          </w:p>
        </w:tc>
        <w:tc>
          <w:tcPr/>
          <w:p>
            <w:pPr>
              <w:pStyle w:val="Compact"/>
            </w:pPr>
            <w:r>
              <w:rPr>
                <w:rStyle w:val="VerbatimChar"/>
              </w:rPr>
              <w:t xml:space="preserve">2af2c34a6953dbab</w:t>
            </w:r>
          </w:p>
        </w:tc>
        <w:tc>
          <w:tcPr/>
          <w:p>
            <w:pPr>
              <w:pStyle w:val="Compact"/>
            </w:pPr>
            <w:r>
              <w:t xml:space="preserve">741</w:t>
            </w:r>
          </w:p>
        </w:tc>
      </w:tr>
      <w:tr>
        <w:tc>
          <w:tcPr/>
          <w:p>
            <w:pPr>
              <w:pStyle w:val="Compact"/>
            </w:pPr>
            <w:r>
              <w:t xml:space="preserve">05-decomposicao/efeitos_extraidos.csv</w:t>
            </w:r>
          </w:p>
        </w:tc>
        <w:tc>
          <w:tcPr/>
          <w:p>
            <w:pPr>
              <w:pStyle w:val="Compact"/>
            </w:pPr>
            <w:r>
              <w:rPr>
                <w:rStyle w:val="VerbatimChar"/>
              </w:rPr>
              <w:t xml:space="preserve">360ac9417c1aad38</w:t>
            </w:r>
          </w:p>
        </w:tc>
        <w:tc>
          <w:tcPr/>
          <w:p>
            <w:pPr>
              <w:pStyle w:val="Compact"/>
            </w:pPr>
            <w:r>
              <w:t xml:space="preserve">751</w:t>
            </w:r>
          </w:p>
        </w:tc>
      </w:tr>
      <w:tr>
        <w:tc>
          <w:tcPr/>
          <w:p>
            <w:pPr>
              <w:pStyle w:val="Compact"/>
            </w:pPr>
            <w:r>
              <w:t xml:space="preserve">05-decomposicao/efeitos_extraidos.csv</w:t>
            </w:r>
          </w:p>
        </w:tc>
        <w:tc>
          <w:tcPr/>
          <w:p>
            <w:pPr>
              <w:pStyle w:val="Compact"/>
            </w:pPr>
            <w:r>
              <w:rPr>
                <w:rStyle w:val="VerbatimChar"/>
              </w:rPr>
              <w:t xml:space="preserve">49459d80e51c24d6</w:t>
            </w:r>
          </w:p>
        </w:tc>
        <w:tc>
          <w:tcPr/>
          <w:p>
            <w:pPr>
              <w:pStyle w:val="Compact"/>
            </w:pPr>
            <w:r>
              <w:t xml:space="preserve">801</w:t>
            </w:r>
          </w:p>
        </w:tc>
      </w:tr>
      <w:tr>
        <w:tc>
          <w:tcPr/>
          <w:p>
            <w:pPr>
              <w:pStyle w:val="Compact"/>
            </w:pPr>
            <w:r>
              <w:t xml:space="preserve">05-decomposicao/efeitos_extraidos.csv</w:t>
            </w:r>
          </w:p>
        </w:tc>
        <w:tc>
          <w:tcPr/>
          <w:p>
            <w:pPr>
              <w:pStyle w:val="Compact"/>
            </w:pPr>
            <w:r>
              <w:rPr>
                <w:rStyle w:val="VerbatimChar"/>
              </w:rPr>
              <w:t xml:space="preserve">52c4fc0c7e1868e4</w:t>
            </w:r>
          </w:p>
        </w:tc>
        <w:tc>
          <w:tcPr/>
          <w:p>
            <w:pPr>
              <w:pStyle w:val="Compact"/>
            </w:pPr>
            <w:r>
              <w:t xml:space="preserve">727</w:t>
            </w:r>
          </w:p>
        </w:tc>
      </w:tr>
      <w:tr>
        <w:tc>
          <w:tcPr/>
          <w:p>
            <w:pPr>
              <w:pStyle w:val="Compact"/>
            </w:pPr>
            <w:r>
              <w:t xml:space="preserve">05-decomposicao/efeitos_extraidos.csv</w:t>
            </w:r>
          </w:p>
        </w:tc>
        <w:tc>
          <w:tcPr/>
          <w:p>
            <w:pPr>
              <w:pStyle w:val="Compact"/>
            </w:pPr>
            <w:r>
              <w:rPr>
                <w:rStyle w:val="VerbatimChar"/>
              </w:rPr>
              <w:t xml:space="preserve">8441cefc501c842d</w:t>
            </w:r>
          </w:p>
        </w:tc>
        <w:tc>
          <w:tcPr/>
          <w:p>
            <w:pPr>
              <w:pStyle w:val="Compact"/>
            </w:pPr>
            <w:r>
              <w:t xml:space="preserve">797</w:t>
            </w:r>
          </w:p>
        </w:tc>
      </w:tr>
      <w:tr>
        <w:tc>
          <w:tcPr/>
          <w:p>
            <w:pPr>
              <w:pStyle w:val="Compact"/>
            </w:pPr>
            <w:r>
              <w:t xml:space="preserve">05-decomposicao/efeitos_extraidos.csv</w:t>
            </w:r>
          </w:p>
        </w:tc>
        <w:tc>
          <w:tcPr/>
          <w:p>
            <w:pPr>
              <w:pStyle w:val="Compact"/>
            </w:pPr>
            <w:r>
              <w:rPr>
                <w:rStyle w:val="VerbatimChar"/>
              </w:rPr>
              <w:t xml:space="preserve">8634976d7f7dc686</w:t>
            </w:r>
          </w:p>
        </w:tc>
        <w:tc>
          <w:tcPr/>
          <w:p>
            <w:pPr>
              <w:pStyle w:val="Compact"/>
            </w:pPr>
            <w:r>
              <w:t xml:space="preserve">719</w:t>
            </w:r>
          </w:p>
        </w:tc>
      </w:tr>
      <w:tr>
        <w:tc>
          <w:tcPr/>
          <w:p>
            <w:pPr>
              <w:pStyle w:val="Compact"/>
            </w:pPr>
            <w:r>
              <w:t xml:space="preserve">05-decomposicao/efeitos_extraidos.csv</w:t>
            </w:r>
          </w:p>
        </w:tc>
        <w:tc>
          <w:tcPr/>
          <w:p>
            <w:pPr>
              <w:pStyle w:val="Compact"/>
            </w:pPr>
            <w:r>
              <w:rPr>
                <w:rStyle w:val="VerbatimChar"/>
              </w:rPr>
              <w:t xml:space="preserve">d1ad5e8ae22c8204</w:t>
            </w:r>
          </w:p>
        </w:tc>
        <w:tc>
          <w:tcPr/>
          <w:p>
            <w:pPr>
              <w:pStyle w:val="Compact"/>
            </w:pPr>
            <w:r>
              <w:t xml:space="preserve">768</w:t>
            </w:r>
          </w:p>
        </w:tc>
      </w:tr>
      <w:tr>
        <w:tc>
          <w:tcPr/>
          <w:p>
            <w:pPr>
              <w:pStyle w:val="Compact"/>
            </w:pPr>
            <w:r>
              <w:t xml:space="preserve">05-decomposicao/efeitos_para_sintese.csv</w:t>
            </w:r>
          </w:p>
        </w:tc>
        <w:tc>
          <w:tcPr/>
          <w:p>
            <w:pPr>
              <w:pStyle w:val="Compact"/>
            </w:pPr>
            <w:r>
              <w:rPr>
                <w:rStyle w:val="VerbatimChar"/>
              </w:rPr>
              <w:t xml:space="preserve">4fbbdc293dc82ebc</w:t>
            </w:r>
          </w:p>
        </w:tc>
        <w:tc>
          <w:tcPr/>
          <w:p>
            <w:pPr>
              <w:pStyle w:val="Compact"/>
            </w:pPr>
            <w:r>
              <w:t xml:space="preserve">755</w:t>
            </w:r>
          </w:p>
        </w:tc>
      </w:tr>
      <w:tr>
        <w:tc>
          <w:tcPr/>
          <w:p>
            <w:pPr>
              <w:pStyle w:val="Compact"/>
            </w:pPr>
            <w:r>
              <w:t xml:space="preserve">05-decomposicao/efeitos_para_sintese.csv</w:t>
            </w:r>
          </w:p>
        </w:tc>
        <w:tc>
          <w:tcPr/>
          <w:p>
            <w:pPr>
              <w:pStyle w:val="Compact"/>
            </w:pPr>
            <w:r>
              <w:rPr>
                <w:rStyle w:val="VerbatimChar"/>
              </w:rPr>
              <w:t xml:space="preserve">59a5beae4e717565</w:t>
            </w:r>
          </w:p>
        </w:tc>
        <w:tc>
          <w:tcPr/>
          <w:p>
            <w:pPr>
              <w:pStyle w:val="Compact"/>
            </w:pPr>
            <w:r>
              <w:t xml:space="preserve">770</w:t>
            </w:r>
          </w:p>
        </w:tc>
      </w:tr>
      <w:tr>
        <w:tc>
          <w:tcPr/>
          <w:p>
            <w:pPr>
              <w:pStyle w:val="Compact"/>
            </w:pPr>
            <w:r>
              <w:t xml:space="preserve">05-decomposicao/efeitos_para_sintese.csv</w:t>
            </w:r>
          </w:p>
        </w:tc>
        <w:tc>
          <w:tcPr/>
          <w:p>
            <w:pPr>
              <w:pStyle w:val="Compact"/>
            </w:pPr>
            <w:r>
              <w:rPr>
                <w:rStyle w:val="VerbatimChar"/>
              </w:rPr>
              <w:t xml:space="preserve">6a380ae3b2c18085</w:t>
            </w:r>
          </w:p>
        </w:tc>
        <w:tc>
          <w:tcPr/>
          <w:p>
            <w:pPr>
              <w:pStyle w:val="Compact"/>
            </w:pPr>
            <w:r>
              <w:t xml:space="preserve">803</w:t>
            </w:r>
          </w:p>
        </w:tc>
      </w:tr>
      <w:tr>
        <w:tc>
          <w:tcPr/>
          <w:p>
            <w:pPr>
              <w:pStyle w:val="Compact"/>
            </w:pPr>
            <w:r>
              <w:t xml:space="preserve">05-decomposicao/efeitos_preparacao_avisos.csv</w:t>
            </w:r>
          </w:p>
        </w:tc>
        <w:tc>
          <w:tcPr/>
          <w:p>
            <w:pPr>
              <w:pStyle w:val="Compact"/>
            </w:pPr>
            <w:r>
              <w:rPr>
                <w:rStyle w:val="VerbatimChar"/>
              </w:rPr>
              <w:t xml:space="preserve">24bfdbf2823d7d16</w:t>
            </w:r>
          </w:p>
        </w:tc>
        <w:tc>
          <w:tcPr/>
          <w:p>
            <w:pPr>
              <w:pStyle w:val="Compact"/>
            </w:pPr>
            <w:r>
              <w:t xml:space="preserve">741</w:t>
            </w:r>
          </w:p>
        </w:tc>
      </w:tr>
      <w:tr>
        <w:tc>
          <w:tcPr/>
          <w:p>
            <w:pPr>
              <w:pStyle w:val="Compact"/>
            </w:pPr>
            <w:r>
              <w:t xml:space="preserve">05-decomposicao/efeitos_preparacao_avisos.csv</w:t>
            </w:r>
          </w:p>
        </w:tc>
        <w:tc>
          <w:tcPr/>
          <w:p>
            <w:pPr>
              <w:pStyle w:val="Compact"/>
            </w:pPr>
            <w:r>
              <w:rPr>
                <w:rStyle w:val="VerbatimChar"/>
              </w:rPr>
              <w:t xml:space="preserve">4c8e64bb54a17994</w:t>
            </w:r>
          </w:p>
        </w:tc>
        <w:tc>
          <w:tcPr/>
          <w:p>
            <w:pPr>
              <w:pStyle w:val="Compact"/>
            </w:pPr>
            <w:r>
              <w:t xml:space="preserve">719</w:t>
            </w:r>
          </w:p>
        </w:tc>
      </w:tr>
      <w:tr>
        <w:tc>
          <w:tcPr/>
          <w:p>
            <w:pPr>
              <w:pStyle w:val="Compact"/>
            </w:pPr>
            <w:r>
              <w:t xml:space="preserve">05-decomposicao/efeitos_preparacao_avisos.csv</w:t>
            </w:r>
          </w:p>
        </w:tc>
        <w:tc>
          <w:tcPr/>
          <w:p>
            <w:pPr>
              <w:pStyle w:val="Compact"/>
            </w:pPr>
            <w:r>
              <w:rPr>
                <w:rStyle w:val="VerbatimChar"/>
              </w:rPr>
              <w:t xml:space="preserve">5650391bd3872236</w:t>
            </w:r>
          </w:p>
        </w:tc>
        <w:tc>
          <w:tcPr/>
          <w:p>
            <w:pPr>
              <w:pStyle w:val="Compact"/>
            </w:pPr>
            <w:r>
              <w:t xml:space="preserve">797</w:t>
            </w:r>
          </w:p>
        </w:tc>
      </w:tr>
      <w:tr>
        <w:tc>
          <w:tcPr/>
          <w:p>
            <w:pPr>
              <w:pStyle w:val="Compact"/>
            </w:pPr>
            <w:r>
              <w:t xml:space="preserve">05-decomposicao/efeitos_preparacao_avisos.csv</w:t>
            </w:r>
          </w:p>
        </w:tc>
        <w:tc>
          <w:tcPr/>
          <w:p>
            <w:pPr>
              <w:pStyle w:val="Compact"/>
            </w:pPr>
            <w:r>
              <w:rPr>
                <w:rStyle w:val="VerbatimChar"/>
              </w:rPr>
              <w:t xml:space="preserve">b9effdf49516a3a3</w:t>
            </w:r>
          </w:p>
        </w:tc>
        <w:tc>
          <w:tcPr/>
          <w:p>
            <w:pPr>
              <w:pStyle w:val="Compact"/>
            </w:pPr>
            <w:r>
              <w:t xml:space="preserve">727</w:t>
            </w:r>
          </w:p>
        </w:tc>
      </w:tr>
      <w:tr>
        <w:tc>
          <w:tcPr/>
          <w:p>
            <w:pPr>
              <w:pStyle w:val="Compact"/>
            </w:pPr>
            <w:r>
              <w:t xml:space="preserve">05-decomposicao/piloto_fichamentos_master.csv</w:t>
            </w:r>
          </w:p>
        </w:tc>
        <w:tc>
          <w:tcPr/>
          <w:p>
            <w:pPr>
              <w:pStyle w:val="Compact"/>
            </w:pPr>
            <w:r>
              <w:rPr>
                <w:rStyle w:val="VerbatimChar"/>
              </w:rPr>
              <w:t xml:space="preserve">fcd13c961915f578</w:t>
            </w:r>
          </w:p>
        </w:tc>
        <w:tc>
          <w:tcPr/>
          <w:p>
            <w:pPr>
              <w:pStyle w:val="Compact"/>
            </w:pPr>
            <w:r>
              <w:t xml:space="preserve">722</w:t>
            </w:r>
          </w:p>
        </w:tc>
      </w:tr>
      <w:tr>
        <w:tc>
          <w:tcPr/>
          <w:p>
            <w:pPr>
              <w:pStyle w:val="Compact"/>
            </w:pPr>
            <w:r>
              <w:t xml:space="preserve">05-decomposicao/verificacao_efeitos.csv</w:t>
            </w:r>
          </w:p>
        </w:tc>
        <w:tc>
          <w:tcPr/>
          <w:p>
            <w:pPr>
              <w:pStyle w:val="Compact"/>
            </w:pPr>
            <w:r>
              <w:rPr>
                <w:rStyle w:val="VerbatimChar"/>
              </w:rPr>
              <w:t xml:space="preserve">4de484f2729e68e4</w:t>
            </w:r>
          </w:p>
        </w:tc>
        <w:tc>
          <w:tcPr/>
          <w:p>
            <w:pPr>
              <w:pStyle w:val="Compact"/>
            </w:pPr>
            <w:r>
              <w:t xml:space="preserve">798</w:t>
            </w:r>
          </w:p>
        </w:tc>
      </w:tr>
      <w:tr>
        <w:tc>
          <w:tcPr/>
          <w:p>
            <w:pPr>
              <w:pStyle w:val="Compact"/>
            </w:pPr>
            <w:r>
              <w:t xml:space="preserve">05-decomposicao/verificacao_efeitos.csv</w:t>
            </w:r>
          </w:p>
        </w:tc>
        <w:tc>
          <w:tcPr/>
          <w:p>
            <w:pPr>
              <w:pStyle w:val="Compact"/>
            </w:pPr>
            <w:r>
              <w:rPr>
                <w:rStyle w:val="VerbatimChar"/>
              </w:rPr>
              <w:t xml:space="preserve">74e55594bbae85d8</w:t>
            </w:r>
          </w:p>
        </w:tc>
        <w:tc>
          <w:tcPr/>
          <w:p>
            <w:pPr>
              <w:pStyle w:val="Compact"/>
            </w:pPr>
            <w:r>
              <w:t xml:space="preserve">728</w:t>
            </w:r>
          </w:p>
        </w:tc>
      </w:tr>
      <w:tr>
        <w:tc>
          <w:tcPr/>
          <w:p>
            <w:pPr>
              <w:pStyle w:val="Compact"/>
            </w:pPr>
            <w:r>
              <w:t xml:space="preserve">05-decomposicao/verificacao_efeitos.csv</w:t>
            </w:r>
          </w:p>
        </w:tc>
        <w:tc>
          <w:tcPr/>
          <w:p>
            <w:pPr>
              <w:pStyle w:val="Compact"/>
            </w:pPr>
            <w:r>
              <w:rPr>
                <w:rStyle w:val="VerbatimChar"/>
              </w:rPr>
              <w:t xml:space="preserve">8f4850551295b114</w:t>
            </w:r>
          </w:p>
        </w:tc>
        <w:tc>
          <w:tcPr/>
          <w:p>
            <w:pPr>
              <w:pStyle w:val="Compact"/>
            </w:pPr>
            <w:r>
              <w:t xml:space="preserve">752</w:t>
            </w:r>
          </w:p>
        </w:tc>
      </w:tr>
      <w:tr>
        <w:tc>
          <w:tcPr/>
          <w:p>
            <w:pPr>
              <w:pStyle w:val="Compact"/>
            </w:pPr>
            <w:r>
              <w:t xml:space="preserve">05-decomposicao/verificacao_efeitos.csv</w:t>
            </w:r>
          </w:p>
        </w:tc>
        <w:tc>
          <w:tcPr/>
          <w:p>
            <w:pPr>
              <w:pStyle w:val="Compact"/>
            </w:pPr>
            <w:r>
              <w:rPr>
                <w:rStyle w:val="VerbatimChar"/>
              </w:rPr>
              <w:t xml:space="preserve">d8d3297ac36510a0</w:t>
            </w:r>
          </w:p>
        </w:tc>
        <w:tc>
          <w:tcPr/>
          <w:p>
            <w:pPr>
              <w:pStyle w:val="Compact"/>
            </w:pPr>
            <w:r>
              <w:t xml:space="preserve">802</w:t>
            </w:r>
          </w:p>
        </w:tc>
      </w:tr>
      <w:tr>
        <w:tc>
          <w:tcPr/>
          <w:p>
            <w:pPr>
              <w:pStyle w:val="Compact"/>
            </w:pPr>
            <w:r>
              <w:t xml:space="preserve">05-decomposicao/verificacao_efeitos.csv</w:t>
            </w:r>
          </w:p>
        </w:tc>
        <w:tc>
          <w:tcPr/>
          <w:p>
            <w:pPr>
              <w:pStyle w:val="Compact"/>
            </w:pPr>
            <w:r>
              <w:rPr>
                <w:rStyle w:val="VerbatimChar"/>
              </w:rPr>
              <w:t xml:space="preserve">e0a8519f89ceb95d</w:t>
            </w:r>
          </w:p>
        </w:tc>
        <w:tc>
          <w:tcPr/>
          <w:p>
            <w:pPr>
              <w:pStyle w:val="Compact"/>
            </w:pPr>
            <w:r>
              <w:t xml:space="preserve">742</w:t>
            </w:r>
          </w:p>
        </w:tc>
      </w:tr>
      <w:tr>
        <w:tc>
          <w:tcPr/>
          <w:p>
            <w:pPr>
              <w:pStyle w:val="Compact"/>
            </w:pPr>
            <w:r>
              <w:t xml:space="preserve">05-decomposicao/verificacao_efeitos.csv</w:t>
            </w:r>
          </w:p>
        </w:tc>
        <w:tc>
          <w:tcPr/>
          <w:p>
            <w:pPr>
              <w:pStyle w:val="Compact"/>
            </w:pPr>
            <w:r>
              <w:rPr>
                <w:rStyle w:val="VerbatimChar"/>
              </w:rPr>
              <w:t xml:space="preserve">e9765beb6c8f9b8a</w:t>
            </w:r>
          </w:p>
        </w:tc>
        <w:tc>
          <w:tcPr/>
          <w:p>
            <w:pPr>
              <w:pStyle w:val="Compact"/>
            </w:pPr>
            <w:r>
              <w:t xml:space="preserve">720</w:t>
            </w:r>
          </w:p>
        </w:tc>
      </w:tr>
      <w:tr>
        <w:tc>
          <w:tcPr/>
          <w:p>
            <w:pPr>
              <w:pStyle w:val="Compact"/>
            </w:pPr>
            <w:r>
              <w:t xml:space="preserve">criterios_sha (evento lote_preparado)</w:t>
            </w:r>
          </w:p>
        </w:tc>
        <w:tc>
          <w:tcPr/>
          <w:p>
            <w:pPr>
              <w:pStyle w:val="Compact"/>
            </w:pPr>
            <w:r>
              <w:rPr>
                <w:rStyle w:val="VerbatimChar"/>
              </w:rPr>
              <w:t xml:space="preserve">cd9cbfe00d4e4e45</w:t>
            </w:r>
          </w:p>
        </w:tc>
        <w:tc>
          <w:tcPr/>
          <w:p>
            <w:pPr>
              <w:pStyle w:val="Compact"/>
            </w:pPr>
            <w:r>
              <w:t xml:space="preserve">31</w:t>
            </w:r>
          </w:p>
        </w:tc>
      </w:tr>
      <w:tr>
        <w:tc>
          <w:tcPr/>
          <w:p>
            <w:pPr>
              <w:pStyle w:val="Compact"/>
            </w:pPr>
            <w:r>
              <w:t xml:space="preserve">prompt da rodada ta_v1 (A)</w:t>
            </w:r>
          </w:p>
        </w:tc>
        <w:tc>
          <w:tcPr/>
          <w:p>
            <w:pPr>
              <w:pStyle w:val="Compact"/>
            </w:pPr>
            <w:r>
              <w:rPr>
                <w:rStyle w:val="VerbatimChar"/>
              </w:rPr>
              <w:t xml:space="preserve">cd9cbfe00d4e4e45</w:t>
            </w:r>
          </w:p>
        </w:tc>
        <w:tc>
          <w:tcPr/>
          <w:p>
            <w:pPr>
              <w:pStyle w:val="Compact"/>
            </w:pPr>
            <w:r>
              <w:t xml:space="preserve">decisoes.jsonl</w:t>
            </w:r>
          </w:p>
        </w:tc>
      </w:tr>
      <w:tr>
        <w:tc>
          <w:tcPr/>
          <w:p>
            <w:pPr>
              <w:pStyle w:val="Compact"/>
            </w:pPr>
            <w:r>
              <w:t xml:space="preserve">prompt da rodada ta_v1 (B)</w:t>
            </w:r>
          </w:p>
        </w:tc>
        <w:tc>
          <w:tcPr/>
          <w:p>
            <w:pPr>
              <w:pStyle w:val="Compact"/>
            </w:pPr>
            <w:r>
              <w:rPr>
                <w:rStyle w:val="VerbatimChar"/>
              </w:rPr>
              <w:t xml:space="preserve">cd9cbfe00d4e4e45</w:t>
            </w:r>
          </w:p>
        </w:tc>
        <w:tc>
          <w:tcPr/>
          <w:p>
            <w:pPr>
              <w:pStyle w:val="Compact"/>
            </w:pPr>
            <w:r>
              <w:t xml:space="preserve">decisoes.jsonl</w:t>
            </w:r>
          </w:p>
        </w:tc>
      </w:tr>
      <w:tr>
        <w:tc>
          <w:tcPr/>
          <w:p>
            <w:pPr>
              <w:pStyle w:val="Compact"/>
            </w:pPr>
            <w:r>
              <w:t xml:space="preserve">prompt da rodada ta_v1_estab (A)</w:t>
            </w:r>
          </w:p>
        </w:tc>
        <w:tc>
          <w:tcPr/>
          <w:p>
            <w:pPr>
              <w:pStyle w:val="Compact"/>
            </w:pPr>
            <w:r>
              <w:rPr>
                <w:rStyle w:val="VerbatimChar"/>
              </w:rPr>
              <w:t xml:space="preserve">cd9cbfe00d4e4e45</w:t>
            </w:r>
          </w:p>
        </w:tc>
        <w:tc>
          <w:tcPr/>
          <w:p>
            <w:pPr>
              <w:pStyle w:val="Compact"/>
            </w:pPr>
            <w:r>
              <w:t xml:space="preserve">decisoes.jsonl</w:t>
            </w:r>
          </w:p>
        </w:tc>
      </w:tr>
      <w:tr>
        <w:tc>
          <w:tcPr/>
          <w:p>
            <w:pPr>
              <w:pStyle w:val="Compact"/>
            </w:pPr>
            <w:r>
              <w:t xml:space="preserve">prompt da rodada ta_v1_estab (B)</w:t>
            </w:r>
          </w:p>
        </w:tc>
        <w:tc>
          <w:tcPr/>
          <w:p>
            <w:pPr>
              <w:pStyle w:val="Compact"/>
            </w:pPr>
            <w:r>
              <w:rPr>
                <w:rStyle w:val="VerbatimChar"/>
              </w:rPr>
              <w:t xml:space="preserve">cd9cbfe00d4e4e45</w:t>
            </w:r>
          </w:p>
        </w:tc>
        <w:tc>
          <w:tcPr/>
          <w:p>
            <w:pPr>
              <w:pStyle w:val="Compact"/>
            </w:pPr>
            <w:r>
              <w:t xml:space="preserve">decisoes.jsonl</w:t>
            </w:r>
          </w:p>
        </w:tc>
      </w:tr>
      <w:tr>
        <w:tc>
          <w:tcPr/>
          <w:p>
            <w:pPr>
              <w:pStyle w:val="Compact"/>
            </w:pPr>
            <w:r>
              <w:t xml:space="preserve">prompt_sha (evento lote_mesclado)</w:t>
            </w:r>
          </w:p>
        </w:tc>
        <w:tc>
          <w:tcPr/>
          <w:p>
            <w:pPr>
              <w:pStyle w:val="Compact"/>
            </w:pPr>
            <w:r>
              <w:rPr>
                <w:rStyle w:val="VerbatimChar"/>
              </w:rPr>
              <w:t xml:space="preserve">cd9cbfe00d4e4e45</w:t>
            </w:r>
          </w:p>
        </w:tc>
        <w:tc>
          <w:tcPr/>
          <w:p>
            <w:pPr>
              <w:pStyle w:val="Compact"/>
            </w:pPr>
            <w:r>
              <w:t xml:space="preserve">36</w:t>
            </w:r>
          </w:p>
        </w:tc>
      </w:tr>
    </w:tbl>
    <w:p>
      <w:pPr>
        <w:pStyle w:val="BodyText"/>
      </w:pPr>
      <w:r>
        <w:t xml:space="preserve">Versões ativas no estado: criterios_ta = 02-triagem/prompts/ta_v1.md; filtros = filtros_v2; protocolo = v1; rodada_ta = ta_v1.</w:t>
      </w:r>
    </w:p>
    <w:bookmarkEnd w:id="190"/>
    <w:bookmarkStart w:id="192" w:name="validação-do-uso-de-ia"/>
    <w:p>
      <w:pPr>
        <w:pStyle w:val="Heading2"/>
      </w:pPr>
      <w:r>
        <w:t xml:space="preserve">4. Validação do uso de IA</w:t>
      </w:r>
    </w:p>
    <w:p>
      <w:pPr>
        <w:pStyle w:val="FirstParagraph"/>
      </w:pPr>
      <w:r>
        <w:t xml:space="preserve">Limiares de referência (references/ia-validacao.md da skill):</w:t>
      </w:r>
    </w:p>
    <w:p>
      <w:pPr>
        <w:pStyle w:val="Compact"/>
        <w:numPr>
          <w:ilvl w:val="0"/>
          <w:numId w:val="1014"/>
        </w:numPr>
      </w:pPr>
      <w:r>
        <w:t xml:space="preserve">Triagem T/A: recall &gt;= 0,95 com limite inferior do IC &gt;= 0,90; amostra com &gt;= 60 incluídos humanos</w:t>
      </w:r>
    </w:p>
    <w:p>
      <w:pPr>
        <w:pStyle w:val="Compact"/>
        <w:numPr>
          <w:ilvl w:val="0"/>
          <w:numId w:val="1014"/>
        </w:numPr>
      </w:pPr>
      <w:r>
        <w:t xml:space="preserve">Calibração humana: kappa &gt;= 0,6 e concordância &gt;= 75%</w:t>
      </w:r>
    </w:p>
    <w:p>
      <w:pPr>
        <w:pStyle w:val="Compact"/>
        <w:numPr>
          <w:ilvl w:val="0"/>
          <w:numId w:val="1014"/>
        </w:numPr>
      </w:pPr>
      <w:r>
        <w:t xml:space="preserve">Extração categórica: kappa ou PABAK &gt;= 0,7 e concordância &gt;= 80% por variável</w:t>
      </w:r>
    </w:p>
    <w:p>
      <w:pPr>
        <w:pStyle w:val="Compact"/>
        <w:numPr>
          <w:ilvl w:val="0"/>
          <w:numId w:val="1014"/>
        </w:numPr>
      </w:pPr>
      <w:r>
        <w:t xml:space="preserve">Dados numéricos de efeito: 100% verificados na página do PDF</w:t>
      </w:r>
    </w:p>
    <w:p>
      <w:pPr>
        <w:pStyle w:val="FirstParagraph"/>
      </w:pPr>
      <w:r>
        <w:rPr>
          <w:i/>
          <w:iCs/>
        </w:rPr>
        <w:t xml:space="preserve">Nenhuma validação com finalidade validação da rodada ativa (ta_v1).</w:t>
      </w:r>
    </w:p>
    <w:bookmarkStart w:id="191" w:name="elusão-e-estabilidade"/>
    <w:p>
      <w:pPr>
        <w:pStyle w:val="Heading3"/>
      </w:pPr>
      <w:r>
        <w:t xml:space="preserve">Elusão e estabilidade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Seq</w:t>
            </w:r>
          </w:p>
        </w:tc>
        <w:tc>
          <w:tcPr/>
          <w:p>
            <w:pPr>
              <w:pStyle w:val="Compact"/>
            </w:pPr>
            <w:r>
              <w:t xml:space="preserve">Data</w:t>
            </w:r>
          </w:p>
        </w:tc>
        <w:tc>
          <w:tcPr/>
          <w:p>
            <w:pPr>
              <w:pStyle w:val="Compact"/>
            </w:pPr>
            <w:r>
              <w:t xml:space="preserve">Finalidade</w:t>
            </w:r>
          </w:p>
        </w:tc>
        <w:tc>
          <w:tcPr/>
          <w:p>
            <w:pPr>
              <w:pStyle w:val="Compact"/>
            </w:pPr>
            <w:r>
              <w:t xml:space="preserve">Rodada</w:t>
            </w:r>
          </w:p>
        </w:tc>
        <w:tc>
          <w:tcPr/>
          <w:p>
            <w:pPr>
              <w:pStyle w:val="Compact"/>
            </w:pPr>
            <w:r>
              <w:t xml:space="preserve">Amostra ou reexecução</w:t>
            </w:r>
          </w:p>
        </w:tc>
        <w:tc>
          <w:tcPr/>
          <w:p>
            <w:pPr>
              <w:pStyle w:val="Compact"/>
            </w:pPr>
            <w:r>
              <w:t xml:space="preserve">Taxa de elusão</w:t>
            </w:r>
          </w:p>
        </w:tc>
        <w:tc>
          <w:tcPr/>
          <w:p>
            <w:pPr>
              <w:pStyle w:val="Compact"/>
            </w:pPr>
            <w:r>
              <w:t xml:space="preserve">Perdidos estimados</w:t>
            </w:r>
          </w:p>
        </w:tc>
        <w:tc>
          <w:tcPr/>
          <w:p>
            <w:pPr>
              <w:pStyle w:val="Compact"/>
            </w:pPr>
            <w:r>
              <w:t xml:space="preserve">N</w:t>
            </w:r>
          </w:p>
        </w:tc>
      </w:tr>
      <w:tr>
        <w:tc>
          <w:tcPr/>
          <w:p>
            <w:pPr>
              <w:pStyle w:val="Compact"/>
            </w:pPr>
            <w:r>
              <w:t xml:space="preserve">184</w:t>
            </w:r>
          </w:p>
        </w:tc>
        <w:tc>
          <w:tcPr/>
          <w:p>
            <w:pPr>
              <w:pStyle w:val="Compact"/>
            </w:pPr>
            <w:r>
              <w:t xml:space="preserve">2026-09-19</w:t>
            </w:r>
          </w:p>
        </w:tc>
        <w:tc>
          <w:tcPr/>
          <w:p>
            <w:pPr>
              <w:pStyle w:val="Compact"/>
            </w:pPr>
            <w:r>
              <w:t xml:space="preserve">estabilidade</w:t>
            </w:r>
          </w:p>
        </w:tc>
        <w:tc>
          <w:tcPr/>
          <w:p>
            <w:pPr>
              <w:pStyle w:val="Compact"/>
            </w:pPr>
            <w:r>
              <w:t xml:space="preserve">ta_v1</w:t>
            </w:r>
          </w:p>
        </w:tc>
        <w:tc>
          <w:tcPr/>
          <w:p>
            <w:pPr>
              <w:pStyle w:val="Compact"/>
            </w:pPr>
            <w:r>
              <w:t xml:space="preserve">ta_v1_estab</w:t>
            </w:r>
          </w:p>
        </w:tc>
        <w:tc>
          <w:tcPr/>
          <w:p>
            <w:pPr>
              <w:pStyle w:val="Compact"/>
            </w:pPr>
          </w:p>
        </w:tc>
        <w:tc>
          <w:tcPr/>
          <w:p>
            <w:pPr>
              <w:pStyle w:val="Compact"/>
            </w:pPr>
          </w:p>
        </w:tc>
        <w:tc>
          <w:tcPr/>
          <w:p>
            <w:pPr>
              <w:pStyle w:val="Compact"/>
            </w:pPr>
            <w:r>
              <w:t xml:space="preserve">158</w:t>
            </w:r>
          </w:p>
        </w:tc>
      </w:tr>
    </w:tbl>
    <w:p>
      <w:pPr>
        <w:pStyle w:val="BodyText"/>
      </w:pPr>
      <w:r>
        <w:t xml:space="preserve">Amostras de elusão registradas: 0.</w:t>
      </w:r>
    </w:p>
    <w:bookmarkEnd w:id="191"/>
    <w:bookmarkEnd w:id="192"/>
    <w:bookmarkStart w:id="193" w:name="portões-e-responsabilidade-humana"/>
    <w:p>
      <w:pPr>
        <w:pStyle w:val="Heading2"/>
      </w:pPr>
      <w:r>
        <w:t xml:space="preserve">5. Portões e responsabilidade humana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Portão</w:t>
            </w:r>
          </w:p>
        </w:tc>
        <w:tc>
          <w:tcPr/>
          <w:p>
            <w:pPr>
              <w:pStyle w:val="Compact"/>
            </w:pPr>
            <w:r>
              <w:t xml:space="preserve">Etapa</w:t>
            </w:r>
          </w:p>
        </w:tc>
        <w:tc>
          <w:tcPr/>
          <w:p>
            <w:pPr>
              <w:pStyle w:val="Compact"/>
            </w:pPr>
            <w:r>
              <w:t xml:space="preserve">Tipo de ator</w:t>
            </w:r>
          </w:p>
        </w:tc>
        <w:tc>
          <w:tcPr/>
          <w:p>
            <w:pPr>
              <w:pStyle w:val="Compact"/>
            </w:pPr>
            <w:r>
              <w:t xml:space="preserve">Aprovado por</w:t>
            </w:r>
          </w:p>
        </w:tc>
        <w:tc>
          <w:tcPr/>
          <w:p>
            <w:pPr>
              <w:pStyle w:val="Compact"/>
            </w:pPr>
            <w:r>
              <w:t xml:space="preserve">Data</w:t>
            </w:r>
          </w:p>
        </w:tc>
        <w:tc>
          <w:tcPr/>
          <w:p>
            <w:pPr>
              <w:pStyle w:val="Compact"/>
            </w:pPr>
            <w:r>
              <w:t xml:space="preserve">Motivo</w:t>
            </w:r>
          </w:p>
        </w:tc>
      </w:tr>
      <w:tr>
        <w:tc>
          <w:tcPr/>
          <w:p>
            <w:pPr>
              <w:pStyle w:val="Compact"/>
            </w:pPr>
            <w:r>
              <w:t xml:space="preserve">G1</w:t>
            </w:r>
          </w:p>
        </w:tc>
        <w:tc>
          <w:tcPr/>
          <w:p>
            <w:pPr>
              <w:pStyle w:val="Compact"/>
            </w:pPr>
            <w:r>
              <w:t xml:space="preserve">01_pergunta</w:t>
            </w:r>
          </w:p>
        </w:tc>
        <w:tc>
          <w:tcPr/>
          <w:p>
            <w:pPr>
              <w:pStyle w:val="Compact"/>
            </w:pPr>
            <w:r>
              <w:t xml:space="preserve">humano</w:t>
            </w:r>
          </w:p>
        </w:tc>
        <w:tc>
          <w:tcPr/>
          <w:p>
            <w:pPr>
              <w:pStyle w:val="Compact"/>
            </w:pPr>
            <w:r>
              <w:t xml:space="preserve">revisor_humano_1</w:t>
            </w:r>
          </w:p>
        </w:tc>
        <w:tc>
          <w:tcPr/>
          <w:p>
            <w:pPr>
              <w:pStyle w:val="Compact"/>
            </w:pPr>
            <w:r>
              <w:t xml:space="preserve">2026-09-19</w:t>
            </w:r>
          </w:p>
        </w:tc>
        <w:tc>
          <w:tcPr/>
          <w:p>
            <w:pPr>
              <w:pStyle w:val="Compact"/>
            </w:pPr>
          </w:p>
        </w:tc>
      </w:tr>
      <w:tr>
        <w:tc>
          <w:tcPr/>
          <w:p>
            <w:pPr>
              <w:pStyle w:val="Compact"/>
            </w:pPr>
            <w:r>
              <w:t xml:space="preserve">G2</w:t>
            </w:r>
          </w:p>
        </w:tc>
        <w:tc>
          <w:tcPr/>
          <w:p>
            <w:pPr>
              <w:pStyle w:val="Compact"/>
            </w:pPr>
            <w:r>
              <w:t xml:space="preserve">03_protocolo</w:t>
            </w:r>
          </w:p>
        </w:tc>
        <w:tc>
          <w:tcPr/>
          <w:p>
            <w:pPr>
              <w:pStyle w:val="Compact"/>
            </w:pPr>
            <w:r>
              <w:t xml:space="preserve">humano</w:t>
            </w:r>
          </w:p>
        </w:tc>
        <w:tc>
          <w:tcPr/>
          <w:p>
            <w:pPr>
              <w:pStyle w:val="Compact"/>
            </w:pPr>
            <w:r>
              <w:t xml:space="preserve">revisor_humano_1</w:t>
            </w:r>
          </w:p>
        </w:tc>
        <w:tc>
          <w:tcPr/>
          <w:p>
            <w:pPr>
              <w:pStyle w:val="Compact"/>
            </w:pPr>
            <w:r>
              <w:t xml:space="preserve">2026-09-19</w:t>
            </w:r>
          </w:p>
        </w:tc>
        <w:tc>
          <w:tcPr/>
          <w:p>
            <w:pPr>
              <w:pStyle w:val="Compact"/>
            </w:pPr>
          </w:p>
        </w:tc>
      </w:tr>
      <w:tr>
        <w:tc>
          <w:tcPr/>
          <w:p>
            <w:pPr>
              <w:pStyle w:val="Compact"/>
            </w:pPr>
            <w:r>
              <w:t xml:space="preserve">G3</w:t>
            </w:r>
          </w:p>
        </w:tc>
        <w:tc>
          <w:tcPr/>
          <w:p>
            <w:pPr>
              <w:pStyle w:val="Compact"/>
            </w:pPr>
            <w:r>
              <w:t xml:space="preserve">04_busca</w:t>
            </w:r>
          </w:p>
        </w:tc>
        <w:tc>
          <w:tcPr/>
          <w:p>
            <w:pPr>
              <w:pStyle w:val="Compact"/>
            </w:pPr>
            <w:r>
              <w:t xml:space="preserve">ia_coordenador</w:t>
            </w:r>
          </w:p>
        </w:tc>
        <w:tc>
          <w:tcPr/>
          <w:p>
            <w:pPr>
              <w:pStyle w:val="Compact"/>
            </w:pPr>
            <w:r>
              <w:t xml:space="preserve">autopiloto</w:t>
            </w:r>
          </w:p>
        </w:tc>
        <w:tc>
          <w:tcPr/>
          <w:p>
            <w:pPr>
              <w:pStyle w:val="Compact"/>
            </w:pPr>
            <w:r>
              <w:t xml:space="preserve">2026-09-19</w:t>
            </w:r>
          </w:p>
        </w:tc>
        <w:tc>
          <w:tcPr/>
          <w:p>
            <w:pPr>
              <w:pStyle w:val="Compact"/>
            </w:pPr>
          </w:p>
        </w:tc>
      </w:tr>
      <w:tr>
        <w:tc>
          <w:tcPr/>
          <w:p>
            <w:pPr>
              <w:pStyle w:val="Compact"/>
            </w:pPr>
            <w:r>
              <w:t xml:space="preserve">G4</w:t>
            </w:r>
          </w:p>
        </w:tc>
        <w:tc>
          <w:tcPr/>
          <w:p>
            <w:pPr>
              <w:pStyle w:val="Compact"/>
            </w:pPr>
            <w:r>
              <w:t xml:space="preserve">06_triagem_ta</w:t>
            </w:r>
          </w:p>
        </w:tc>
        <w:tc>
          <w:tcPr/>
          <w:p>
            <w:pPr>
              <w:pStyle w:val="Compact"/>
            </w:pPr>
            <w:r>
              <w:t xml:space="preserve">ia_coordenador</w:t>
            </w:r>
          </w:p>
        </w:tc>
        <w:tc>
          <w:tcPr/>
          <w:p>
            <w:pPr>
              <w:pStyle w:val="Compact"/>
            </w:pPr>
            <w:r>
              <w:t xml:space="preserve">autopiloto</w:t>
            </w:r>
          </w:p>
        </w:tc>
        <w:tc>
          <w:tcPr/>
          <w:p>
            <w:pPr>
              <w:pStyle w:val="Compact"/>
            </w:pPr>
            <w:r>
              <w:t xml:space="preserve">2026-09-19</w:t>
            </w:r>
          </w:p>
        </w:tc>
        <w:tc>
          <w:tcPr/>
          <w:p>
            <w:pPr>
              <w:pStyle w:val="Compact"/>
            </w:pPr>
          </w:p>
        </w:tc>
      </w:tr>
      <w:tr>
        <w:tc>
          <w:tcPr/>
          <w:p>
            <w:pPr>
              <w:pStyle w:val="Compact"/>
            </w:pPr>
            <w:r>
              <w:t xml:space="preserve">G5</w:t>
            </w:r>
          </w:p>
        </w:tc>
        <w:tc>
          <w:tcPr/>
          <w:p>
            <w:pPr>
              <w:pStyle w:val="Compact"/>
            </w:pPr>
            <w:r>
              <w:t xml:space="preserve">07_textos_elegibilidade</w:t>
            </w:r>
          </w:p>
        </w:tc>
        <w:tc>
          <w:tcPr/>
          <w:p>
            <w:pPr>
              <w:pStyle w:val="Compact"/>
            </w:pPr>
            <w:r>
              <w:t xml:space="preserve">ia_coordenador</w:t>
            </w:r>
          </w:p>
        </w:tc>
        <w:tc>
          <w:tcPr/>
          <w:p>
            <w:pPr>
              <w:pStyle w:val="Compact"/>
            </w:pPr>
            <w:r>
              <w:t xml:space="preserve">autopiloto</w:t>
            </w:r>
          </w:p>
        </w:tc>
        <w:tc>
          <w:tcPr/>
          <w:p>
            <w:pPr>
              <w:pStyle w:val="Compact"/>
            </w:pPr>
            <w:r>
              <w:t xml:space="preserve">2026-09-20</w:t>
            </w:r>
          </w:p>
        </w:tc>
        <w:tc>
          <w:tcPr/>
          <w:p>
            <w:pPr>
              <w:pStyle w:val="Compact"/>
            </w:pPr>
          </w:p>
        </w:tc>
      </w:tr>
      <w:tr>
        <w:tc>
          <w:tcPr/>
          <w:p>
            <w:pPr>
              <w:pStyle w:val="Compact"/>
            </w:pPr>
            <w:r>
              <w:t xml:space="preserve">G6</w:t>
            </w:r>
          </w:p>
        </w:tc>
        <w:tc>
          <w:tcPr/>
          <w:p>
            <w:pPr>
              <w:pStyle w:val="Compact"/>
            </w:pPr>
            <w:r>
              <w:t xml:space="preserve">08_piloto_extracao</w:t>
            </w:r>
          </w:p>
        </w:tc>
        <w:tc>
          <w:tcPr/>
          <w:p>
            <w:pPr>
              <w:pStyle w:val="Compact"/>
            </w:pPr>
            <w:r>
              <w:t xml:space="preserve">ia_coordenador</w:t>
            </w:r>
          </w:p>
        </w:tc>
        <w:tc>
          <w:tcPr/>
          <w:p>
            <w:pPr>
              <w:pStyle w:val="Compact"/>
            </w:pPr>
            <w:r>
              <w:t xml:space="preserve">autopiloto</w:t>
            </w:r>
          </w:p>
        </w:tc>
        <w:tc>
          <w:tcPr/>
          <w:p>
            <w:pPr>
              <w:pStyle w:val="Compact"/>
            </w:pPr>
            <w:r>
              <w:t xml:space="preserve">2026-09-20</w:t>
            </w:r>
          </w:p>
        </w:tc>
        <w:tc>
          <w:tcPr/>
          <w:p>
            <w:pPr>
              <w:pStyle w:val="Compact"/>
            </w:pPr>
          </w:p>
        </w:tc>
      </w:tr>
      <w:tr>
        <w:tc>
          <w:tcPr/>
          <w:p>
            <w:pPr>
              <w:pStyle w:val="Compact"/>
            </w:pPr>
            <w:r>
              <w:t xml:space="preserve">G7</w:t>
            </w:r>
          </w:p>
        </w:tc>
        <w:tc>
          <w:tcPr/>
          <w:p>
            <w:pPr>
              <w:pStyle w:val="Compact"/>
            </w:pPr>
            <w:r>
              <w:t xml:space="preserve">09_extracao_rob</w:t>
            </w:r>
          </w:p>
        </w:tc>
        <w:tc>
          <w:tcPr/>
          <w:p>
            <w:pPr>
              <w:pStyle w:val="Compact"/>
            </w:pPr>
            <w:r>
              <w:t xml:space="preserve">ia_coordenador</w:t>
            </w:r>
          </w:p>
        </w:tc>
        <w:tc>
          <w:tcPr/>
          <w:p>
            <w:pPr>
              <w:pStyle w:val="Compact"/>
            </w:pPr>
            <w:r>
              <w:t xml:space="preserve">autopiloto</w:t>
            </w:r>
          </w:p>
        </w:tc>
        <w:tc>
          <w:tcPr/>
          <w:p>
            <w:pPr>
              <w:pStyle w:val="Compact"/>
            </w:pPr>
            <w:r>
              <w:t xml:space="preserve">2026-09-23</w:t>
            </w:r>
          </w:p>
        </w:tc>
        <w:tc>
          <w:tcPr/>
          <w:p>
            <w:pPr>
              <w:pStyle w:val="Compact"/>
            </w:pPr>
          </w:p>
        </w:tc>
      </w:tr>
      <w:tr>
        <w:tc>
          <w:tcPr/>
          <w:p>
            <w:pPr>
              <w:pStyle w:val="Compact"/>
            </w:pPr>
            <w:r>
              <w:t xml:space="preserve">G8</w:t>
            </w:r>
          </w:p>
        </w:tc>
        <w:tc>
          <w:tcPr/>
          <w:p>
            <w:pPr>
              <w:pStyle w:val="Compact"/>
            </w:pPr>
            <w:r>
              <w:t xml:space="preserve">10_sintese</w:t>
            </w:r>
          </w:p>
        </w:tc>
        <w:tc>
          <w:tcPr/>
          <w:p>
            <w:pPr>
              <w:pStyle w:val="Compact"/>
            </w:pPr>
            <w:r>
              <w:t xml:space="preserve">ia_coordenador</w:t>
            </w:r>
          </w:p>
        </w:tc>
        <w:tc>
          <w:tcPr/>
          <w:p>
            <w:pPr>
              <w:pStyle w:val="Compact"/>
            </w:pPr>
            <w:r>
              <w:t xml:space="preserve">autopiloto</w:t>
            </w:r>
          </w:p>
        </w:tc>
        <w:tc>
          <w:tcPr/>
          <w:p>
            <w:pPr>
              <w:pStyle w:val="Compact"/>
            </w:pPr>
            <w:r>
              <w:t xml:space="preserve">2026-09-23</w:t>
            </w:r>
          </w:p>
        </w:tc>
        <w:tc>
          <w:tcPr/>
          <w:p>
            <w:pPr>
              <w:pStyle w:val="Compact"/>
            </w:pPr>
          </w:p>
        </w:tc>
      </w:tr>
      <w:tr>
        <w:tc>
          <w:tcPr/>
          <w:p>
            <w:pPr>
              <w:pStyle w:val="Compact"/>
            </w:pPr>
            <w:r>
              <w:t xml:space="preserve">G9</w:t>
            </w:r>
          </w:p>
        </w:tc>
        <w:tc>
          <w:tcPr/>
          <w:p>
            <w:pPr>
              <w:pStyle w:val="Compact"/>
            </w:pPr>
            <w:r>
              <w:t xml:space="preserve">11_relato</w:t>
            </w:r>
          </w:p>
        </w:tc>
        <w:tc>
          <w:tcPr/>
          <w:p>
            <w:pPr>
              <w:pStyle w:val="Compact"/>
            </w:pPr>
            <w:r>
              <w:t xml:space="preserve">ia_coordenador</w:t>
            </w:r>
          </w:p>
        </w:tc>
        <w:tc>
          <w:tcPr/>
          <w:p>
            <w:pPr>
              <w:pStyle w:val="Compact"/>
            </w:pPr>
            <w:r>
              <w:t xml:space="preserve">autopiloto</w:t>
            </w:r>
          </w:p>
        </w:tc>
        <w:tc>
          <w:tcPr/>
          <w:p>
            <w:pPr>
              <w:pStyle w:val="Compact"/>
            </w:pPr>
            <w:r>
              <w:t xml:space="preserve">2026-09-23</w:t>
            </w:r>
          </w:p>
        </w:tc>
        <w:tc>
          <w:tcPr/>
          <w:p>
            <w:pPr>
              <w:pStyle w:val="Compact"/>
            </w:pPr>
          </w:p>
        </w:tc>
      </w:tr>
    </w:tbl>
    <w:p>
      <w:pPr>
        <w:pStyle w:val="BodyText"/>
      </w:pPr>
      <w:r>
        <w:t xml:space="preserve">Custo de API registrado: não registrado.</w:t>
      </w:r>
    </w:p>
    <w:p>
      <w:pPr>
        <w:pStyle w:val="BodyText"/>
      </w:pPr>
      <w:r>
        <w:t xml:space="preserve">Nenhum evento do log traz custo ou uso de tokens de API. A triagem por subagentes do Claude Code não registra custo por chamada.</w:t>
      </w:r>
    </w:p>
    <w:bookmarkEnd w:id="193"/>
    <w:bookmarkStart w:id="194" w:name="pendências-abertas"/>
    <w:p>
      <w:pPr>
        <w:pStyle w:val="Heading2"/>
      </w:pPr>
      <w:r>
        <w:t xml:space="preserve">6. Pendências abertas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Tipo</w:t>
            </w:r>
          </w:p>
        </w:tc>
        <w:tc>
          <w:tcPr/>
          <w:p>
            <w:pPr>
              <w:pStyle w:val="Compact"/>
            </w:pPr>
            <w:r>
              <w:t xml:space="preserve">Etapa</w:t>
            </w:r>
          </w:p>
        </w:tc>
        <w:tc>
          <w:tcPr/>
          <w:p>
            <w:pPr>
              <w:pStyle w:val="Compact"/>
            </w:pPr>
            <w:r>
              <w:t xml:space="preserve">Portão</w:t>
            </w:r>
          </w:p>
        </w:tc>
        <w:tc>
          <w:tcPr/>
          <w:p>
            <w:pPr>
              <w:pStyle w:val="Compact"/>
            </w:pPr>
            <w:r>
              <w:t xml:space="preserve">Descrição</w:t>
            </w:r>
          </w:p>
        </w:tc>
        <w:tc>
          <w:tcPr/>
          <w:p>
            <w:pPr>
              <w:pStyle w:val="Compact"/>
            </w:pPr>
            <w:r>
              <w:t xml:space="preserve">N</w:t>
            </w:r>
          </w:p>
        </w:tc>
      </w:tr>
      <w:tr>
        <w:tc>
          <w:tcPr/>
          <w:p>
            <w:pPr>
              <w:pStyle w:val="Compact"/>
            </w:pPr>
            <w:r>
              <w:t xml:space="preserve">P001</w:t>
            </w:r>
          </w:p>
        </w:tc>
        <w:tc>
          <w:tcPr/>
          <w:p>
            <w:pPr>
              <w:pStyle w:val="Compact"/>
            </w:pPr>
            <w:r>
              <w:t xml:space="preserve">revisao_press</w:t>
            </w:r>
          </w:p>
        </w:tc>
        <w:tc>
          <w:tcPr/>
          <w:p>
            <w:pPr>
              <w:pStyle w:val="Compact"/>
            </w:pPr>
            <w:r>
              <w:t xml:space="preserve">04_busca</w:t>
            </w:r>
          </w:p>
        </w:tc>
        <w:tc>
          <w:tcPr/>
          <w:p>
            <w:pPr>
              <w:pStyle w:val="Compact"/>
            </w:pPr>
            <w:r>
              <w:t xml:space="preserve">G3</w:t>
            </w:r>
          </w:p>
        </w:tc>
        <w:tc>
          <w:tcPr/>
          <w:p>
            <w:pPr>
              <w:pStyle w:val="Compact"/>
            </w:pPr>
            <w:r>
              <w:t xml:space="preserve">PRESS 2015 da estratégia S-oa-en-v4 por revisor humano; houve só pré-revisão por subagente (atalho A4; 01-busca/prepress_S-oa-en-v3_ia.md)</w:t>
            </w:r>
          </w:p>
        </w:tc>
        <w:tc>
          <w:tcPr/>
          <w:p>
            <w:pPr>
              <w:pStyle w:val="Compact"/>
            </w:pPr>
          </w:p>
        </w:tc>
      </w:tr>
      <w:tr>
        <w:tc>
          <w:tcPr/>
          <w:p>
            <w:pPr>
              <w:pStyle w:val="Compact"/>
            </w:pPr>
            <w:r>
              <w:t xml:space="preserve">P004</w:t>
            </w:r>
          </w:p>
        </w:tc>
        <w:tc>
          <w:tcPr/>
          <w:p>
            <w:pPr>
              <w:pStyle w:val="Compact"/>
            </w:pPr>
            <w:r>
              <w:t xml:space="preserve">revisao_humana_portao</w:t>
            </w:r>
          </w:p>
        </w:tc>
        <w:tc>
          <w:tcPr/>
          <w:p>
            <w:pPr>
              <w:pStyle w:val="Compact"/>
            </w:pPr>
            <w:r>
              <w:t xml:space="preserve">04_busca</w:t>
            </w:r>
          </w:p>
        </w:tc>
        <w:tc>
          <w:tcPr/>
          <w:p>
            <w:pPr>
              <w:pStyle w:val="Compact"/>
            </w:pPr>
            <w:r>
              <w:t xml:space="preserve">G3</w:t>
            </w:r>
          </w:p>
        </w:tc>
        <w:tc>
          <w:tcPr/>
          <w:p>
            <w:pPr>
              <w:pStyle w:val="Compact"/>
            </w:pPr>
            <w:r>
              <w:t xml:space="preserve">confirmar a aprovação automática do G3: P001 aberta: PRESS 2015 da estratégia S-oa-en-v4 por revisor humano; houve só pré-revisão por subagente (atalho A4; 01-busca/prepress_S-oa-en-v3_ia.md)</w:t>
            </w:r>
          </w:p>
        </w:tc>
        <w:tc>
          <w:tcPr/>
          <w:p>
            <w:pPr>
              <w:pStyle w:val="Compact"/>
            </w:pPr>
          </w:p>
        </w:tc>
      </w:tr>
      <w:tr>
        <w:tc>
          <w:tcPr/>
          <w:p>
            <w:pPr>
              <w:pStyle w:val="Compact"/>
            </w:pPr>
            <w:r>
              <w:t xml:space="preserve">P006</w:t>
            </w:r>
          </w:p>
        </w:tc>
        <w:tc>
          <w:tcPr/>
          <w:p>
            <w:pPr>
              <w:pStyle w:val="Compact"/>
            </w:pPr>
            <w:r>
              <w:t xml:space="preserve">validacao_humana</w:t>
            </w:r>
          </w:p>
        </w:tc>
        <w:tc>
          <w:tcPr/>
          <w:p>
            <w:pPr>
              <w:pStyle w:val="Compact"/>
            </w:pPr>
            <w:r>
              <w:t xml:space="preserve">06_triagem_ta</w:t>
            </w:r>
          </w:p>
        </w:tc>
        <w:tc>
          <w:tcPr/>
          <w:p>
            <w:pPr>
              <w:pStyle w:val="Compact"/>
            </w:pPr>
            <w:r>
              <w:t xml:space="preserve">G4</w:t>
            </w:r>
          </w:p>
        </w:tc>
        <w:tc>
          <w:tcPr/>
          <w:p>
            <w:pPr>
              <w:pStyle w:val="Compact"/>
            </w:pPr>
            <w:r>
              <w:t xml:space="preserve">codificar em dupla, às cegas, a amostra amostra01 (141 registros)</w:t>
            </w:r>
          </w:p>
        </w:tc>
        <w:tc>
          <w:tcPr/>
          <w:p>
            <w:pPr>
              <w:pStyle w:val="Compact"/>
            </w:pPr>
            <w:r>
              <w:t xml:space="preserve">141</w:t>
            </w:r>
          </w:p>
        </w:tc>
      </w:tr>
      <w:tr>
        <w:tc>
          <w:tcPr/>
          <w:p>
            <w:pPr>
              <w:pStyle w:val="Compact"/>
            </w:pPr>
            <w:r>
              <w:t xml:space="preserve">P007</w:t>
            </w:r>
          </w:p>
        </w:tc>
        <w:tc>
          <w:tcPr/>
          <w:p>
            <w:pPr>
              <w:pStyle w:val="Compact"/>
            </w:pPr>
            <w:r>
              <w:t xml:space="preserve">validacao_humana</w:t>
            </w:r>
          </w:p>
        </w:tc>
        <w:tc>
          <w:tcPr/>
          <w:p>
            <w:pPr>
              <w:pStyle w:val="Compact"/>
            </w:pPr>
            <w:r>
              <w:t xml:space="preserve">06_triagem_ta</w:t>
            </w:r>
          </w:p>
        </w:tc>
        <w:tc>
          <w:tcPr/>
          <w:p>
            <w:pPr>
              <w:pStyle w:val="Compact"/>
            </w:pPr>
            <w:r>
              <w:t xml:space="preserve">G4</w:t>
            </w:r>
          </w:p>
        </w:tc>
        <w:tc>
          <w:tcPr/>
          <w:p>
            <w:pPr>
              <w:pStyle w:val="Compact"/>
            </w:pPr>
            <w:r>
              <w:t xml:space="preserve">codificar em dupla, às cegas, a amostra elusao01 (300 registros)</w:t>
            </w:r>
          </w:p>
        </w:tc>
        <w:tc>
          <w:tcPr/>
          <w:p>
            <w:pPr>
              <w:pStyle w:val="Compact"/>
            </w:pPr>
            <w:r>
              <w:t xml:space="preserve">300</w:t>
            </w:r>
          </w:p>
        </w:tc>
      </w:tr>
      <w:tr>
        <w:tc>
          <w:tcPr/>
          <w:p>
            <w:pPr>
              <w:pStyle w:val="Compact"/>
            </w:pPr>
            <w:r>
              <w:t xml:space="preserve">P008</w:t>
            </w:r>
          </w:p>
        </w:tc>
        <w:tc>
          <w:tcPr/>
          <w:p>
            <w:pPr>
              <w:pStyle w:val="Compact"/>
            </w:pPr>
            <w:r>
              <w:t xml:space="preserve">revisao_humana_portao</w:t>
            </w:r>
          </w:p>
        </w:tc>
        <w:tc>
          <w:tcPr/>
          <w:p>
            <w:pPr>
              <w:pStyle w:val="Compact"/>
            </w:pPr>
            <w:r>
              <w:t xml:space="preserve">06_triagem_ta</w:t>
            </w:r>
          </w:p>
        </w:tc>
        <w:tc>
          <w:tcPr/>
          <w:p>
            <w:pPr>
              <w:pStyle w:val="Compact"/>
            </w:pPr>
            <w:r>
              <w:t xml:space="preserve">G4</w:t>
            </w:r>
          </w:p>
        </w:tc>
        <w:tc>
          <w:tcPr/>
          <w:p>
            <w:pPr>
              <w:pStyle w:val="Compact"/>
            </w:pPr>
            <w:r>
              <w:t xml:space="preserve">confirmar a aprovação automática do G4: nenhuma validação humana (finalidade validacao) calculada para a rodada ativa ta_v1 (rs.py validar calcular); P005 aberta: resolver 47 divergências da triagem (ta_v1) com</w:t>
            </w:r>
            <w:r>
              <w:t xml:space="preserve"> </w:t>
            </w:r>
            <w:r>
              <w:rPr>
                <w:rStyle w:val="VerbatimChar"/>
              </w:rPr>
              <w:t xml:space="preserve">triagem override --fila 02-triagem/fila_humana_ta_v1.csv</w:t>
            </w:r>
            <w:r>
              <w:t xml:space="preserve">; P006 aberta: codificar em dupla, às cegas, a amostra amostra01 (141 registros); P007 aberta: codificar em dupla, às cegas, a amostra elusao01 (300 registros)</w:t>
            </w:r>
          </w:p>
        </w:tc>
        <w:tc>
          <w:tcPr/>
          <w:p>
            <w:pPr>
              <w:pStyle w:val="Compact"/>
            </w:pPr>
          </w:p>
        </w:tc>
      </w:tr>
      <w:tr>
        <w:tc>
          <w:tcPr/>
          <w:p>
            <w:pPr>
              <w:pStyle w:val="Compact"/>
            </w:pPr>
            <w:r>
              <w:t xml:space="preserve">P019</w:t>
            </w:r>
          </w:p>
        </w:tc>
        <w:tc>
          <w:tcPr/>
          <w:p>
            <w:pPr>
              <w:pStyle w:val="Compact"/>
            </w:pPr>
            <w:r>
              <w:t xml:space="preserve">dedup_candidatos</w:t>
            </w:r>
          </w:p>
        </w:tc>
        <w:tc>
          <w:tcPr/>
          <w:p>
            <w:pPr>
              <w:pStyle w:val="Compact"/>
            </w:pPr>
            <w:r>
              <w:t xml:space="preserve">05_organizacao</w:t>
            </w:r>
          </w:p>
        </w:tc>
        <w:tc>
          <w:tcPr/>
          <w:p>
            <w:pPr>
              <w:pStyle w:val="Compact"/>
            </w:pPr>
          </w:p>
        </w:tc>
        <w:tc>
          <w:tcPr/>
          <w:p>
            <w:pPr>
              <w:pStyle w:val="Compact"/>
            </w:pPr>
            <w:r>
              <w:t xml:space="preserve">145 pares candidatos de duplicata aguardando revisão (rs.py dedup –revisar 01-busca/dedup_pares.csv) [substitui P015]</w:t>
            </w:r>
          </w:p>
        </w:tc>
        <w:tc>
          <w:tcPr/>
          <w:p>
            <w:pPr>
              <w:pStyle w:val="Compact"/>
            </w:pPr>
            <w:r>
              <w:t xml:space="preserve">145</w:t>
            </w:r>
          </w:p>
        </w:tc>
      </w:tr>
      <w:tr>
        <w:tc>
          <w:tcPr/>
          <w:p>
            <w:pPr>
              <w:pStyle w:val="Compact"/>
            </w:pPr>
            <w:r>
              <w:t xml:space="preserve">P020</w:t>
            </w:r>
          </w:p>
        </w:tc>
        <w:tc>
          <w:tcPr/>
          <w:p>
            <w:pPr>
              <w:pStyle w:val="Compact"/>
            </w:pPr>
            <w:r>
              <w:t xml:space="preserve">fila_humana_triagem</w:t>
            </w:r>
          </w:p>
        </w:tc>
        <w:tc>
          <w:tcPr/>
          <w:p>
            <w:pPr>
              <w:pStyle w:val="Compact"/>
            </w:pPr>
            <w:r>
              <w:t xml:space="preserve">06_triagem_ta</w:t>
            </w:r>
          </w:p>
        </w:tc>
        <w:tc>
          <w:tcPr/>
          <w:p>
            <w:pPr>
              <w:pStyle w:val="Compact"/>
            </w:pPr>
            <w:r>
              <w:t xml:space="preserve">G4</w:t>
            </w:r>
          </w:p>
        </w:tc>
        <w:tc>
          <w:tcPr/>
          <w:p>
            <w:pPr>
              <w:pStyle w:val="Compact"/>
            </w:pPr>
            <w:r>
              <w:t xml:space="preserve">resolver 81 divergências da triagem (ta_v1) com</w:t>
            </w:r>
            <w:r>
              <w:t xml:space="preserve"> </w:t>
            </w:r>
            <w:r>
              <w:rPr>
                <w:rStyle w:val="VerbatimChar"/>
              </w:rPr>
              <w:t xml:space="preserve">triagem override --fila 02-triagem/fila_humana_ta_v1.csv</w:t>
            </w:r>
            <w:r>
              <w:t xml:space="preserve"> </w:t>
            </w:r>
            <w:r>
              <w:t xml:space="preserve">[substitui P016]</w:t>
            </w:r>
          </w:p>
        </w:tc>
        <w:tc>
          <w:tcPr/>
          <w:p>
            <w:pPr>
              <w:pStyle w:val="Compact"/>
            </w:pPr>
            <w:r>
              <w:t xml:space="preserve">81</w:t>
            </w:r>
          </w:p>
        </w:tc>
      </w:tr>
      <w:tr>
        <w:tc>
          <w:tcPr/>
          <w:p>
            <w:pPr>
              <w:pStyle w:val="Compact"/>
            </w:pPr>
            <w:r>
              <w:t xml:space="preserve">P023</w:t>
            </w:r>
          </w:p>
        </w:tc>
        <w:tc>
          <w:tcPr/>
          <w:p>
            <w:pPr>
              <w:pStyle w:val="Compact"/>
            </w:pPr>
            <w:r>
              <w:t xml:space="preserve">revisao_humana_portao</w:t>
            </w:r>
          </w:p>
        </w:tc>
        <w:tc>
          <w:tcPr/>
          <w:p>
            <w:pPr>
              <w:pStyle w:val="Compact"/>
            </w:pPr>
            <w:r>
              <w:t xml:space="preserve">07_textos_elegibilidade</w:t>
            </w:r>
          </w:p>
        </w:tc>
        <w:tc>
          <w:tcPr/>
          <w:p>
            <w:pPr>
              <w:pStyle w:val="Compact"/>
            </w:pPr>
            <w:r>
              <w:t xml:space="preserve">G5</w:t>
            </w:r>
          </w:p>
        </w:tc>
        <w:tc>
          <w:tcPr/>
          <w:p>
            <w:pPr>
              <w:pStyle w:val="Compact"/>
            </w:pPr>
            <w:r>
              <w:t xml:space="preserve">confirmar a aprovação automática do G5: P022 aberta: conferir 149 decisões de elegibilidade propostas a partir das fichas (humano decide com</w:t>
            </w:r>
            <w:r>
              <w:t xml:space="preserve"> </w:t>
            </w:r>
            <w:r>
              <w:rPr>
                <w:rStyle w:val="VerbatimChar"/>
              </w:rPr>
              <w:t xml:space="preserve">triagem override --etapa tc</w:t>
            </w:r>
            <w:r>
              <w:t xml:space="preserve">; incertos primeiro) [substitui P021]</w:t>
            </w:r>
          </w:p>
        </w:tc>
        <w:tc>
          <w:tcPr/>
          <w:p>
            <w:pPr>
              <w:pStyle w:val="Compact"/>
            </w:pPr>
          </w:p>
        </w:tc>
      </w:tr>
      <w:tr>
        <w:tc>
          <w:tcPr/>
          <w:p>
            <w:pPr>
              <w:pStyle w:val="Compact"/>
            </w:pPr>
            <w:r>
              <w:t xml:space="preserve">P025</w:t>
            </w:r>
          </w:p>
        </w:tc>
        <w:tc>
          <w:tcPr/>
          <w:p>
            <w:pPr>
              <w:pStyle w:val="Compact"/>
            </w:pPr>
            <w:r>
              <w:t xml:space="preserve">revisao_piloto</w:t>
            </w:r>
          </w:p>
        </w:tc>
        <w:tc>
          <w:tcPr/>
          <w:p>
            <w:pPr>
              <w:pStyle w:val="Compact"/>
            </w:pPr>
            <w:r>
              <w:t xml:space="preserve">08_piloto_extracao</w:t>
            </w:r>
          </w:p>
        </w:tc>
        <w:tc>
          <w:tcPr/>
          <w:p>
            <w:pPr>
              <w:pStyle w:val="Compact"/>
            </w:pPr>
            <w:r>
              <w:t xml:space="preserve">G6</w:t>
            </w:r>
          </w:p>
        </w:tc>
        <w:tc>
          <w:tcPr/>
          <w:p>
            <w:pPr>
              <w:pStyle w:val="Compact"/>
            </w:pPr>
            <w:r>
              <w:t xml:space="preserve">conferir fichas e efeitos do piloto contra os PDFs (revisão de coordenador de IA já feita e documentada em 05-decomposicao/piloto/revisao_coordenador.md; falta conferência humana)</w:t>
            </w:r>
          </w:p>
        </w:tc>
        <w:tc>
          <w:tcPr/>
          <w:p>
            <w:pPr>
              <w:pStyle w:val="Compact"/>
            </w:pPr>
            <w:r>
              <w:t xml:space="preserve">3</w:t>
            </w:r>
          </w:p>
        </w:tc>
      </w:tr>
      <w:tr>
        <w:tc>
          <w:tcPr/>
          <w:p>
            <w:pPr>
              <w:pStyle w:val="Compact"/>
            </w:pPr>
            <w:r>
              <w:t xml:space="preserve">P026</w:t>
            </w:r>
          </w:p>
        </w:tc>
        <w:tc>
          <w:tcPr/>
          <w:p>
            <w:pPr>
              <w:pStyle w:val="Compact"/>
            </w:pPr>
            <w:r>
              <w:t xml:space="preserve">revisao_humana_portao</w:t>
            </w:r>
          </w:p>
        </w:tc>
        <w:tc>
          <w:tcPr/>
          <w:p>
            <w:pPr>
              <w:pStyle w:val="Compact"/>
            </w:pPr>
            <w:r>
              <w:t xml:space="preserve">08_piloto_extracao</w:t>
            </w:r>
          </w:p>
        </w:tc>
        <w:tc>
          <w:tcPr/>
          <w:p>
            <w:pPr>
              <w:pStyle w:val="Compact"/>
            </w:pPr>
            <w:r>
              <w:t xml:space="preserve">G6</w:t>
            </w:r>
          </w:p>
        </w:tc>
        <w:tc>
          <w:tcPr/>
          <w:p>
            <w:pPr>
              <w:pStyle w:val="Compact"/>
            </w:pPr>
            <w:r>
              <w:t xml:space="preserve">confirmar a aprovação automática do G6: P025 aberta: conferir fichas e efeitos do piloto contra os PDFs (revisão de coordenador de IA já feita e documentada em 05-decomposicao/piloto/revisao_coordenador.md; falta conferência humana)</w:t>
            </w:r>
          </w:p>
        </w:tc>
        <w:tc>
          <w:tcPr/>
          <w:p>
            <w:pPr>
              <w:pStyle w:val="Compact"/>
            </w:pPr>
          </w:p>
        </w:tc>
      </w:tr>
      <w:tr>
        <w:tc>
          <w:tcPr/>
          <w:p>
            <w:pPr>
              <w:pStyle w:val="Compact"/>
            </w:pPr>
            <w:r>
              <w:t xml:space="preserve">P033</w:t>
            </w:r>
          </w:p>
        </w:tc>
        <w:tc>
          <w:tcPr/>
          <w:p>
            <w:pPr>
              <w:pStyle w:val="Compact"/>
            </w:pPr>
            <w:r>
              <w:t xml:space="preserve">revisao_humana_portao</w:t>
            </w:r>
          </w:p>
        </w:tc>
        <w:tc>
          <w:tcPr/>
          <w:p>
            <w:pPr>
              <w:pStyle w:val="Compact"/>
            </w:pPr>
            <w:r>
              <w:t xml:space="preserve">09_extracao_rob</w:t>
            </w:r>
          </w:p>
        </w:tc>
        <w:tc>
          <w:tcPr/>
          <w:p>
            <w:pPr>
              <w:pStyle w:val="Compact"/>
            </w:pPr>
            <w:r>
              <w:t xml:space="preserve">G7</w:t>
            </w:r>
          </w:p>
        </w:tc>
        <w:tc>
          <w:tcPr/>
          <w:p>
            <w:pPr>
              <w:pStyle w:val="Compact"/>
            </w:pPr>
            <w:r>
              <w:t xml:space="preserve">confirmar a aprovação automática do G7: 554 efeitos sem verificação humana na página do PDF (apto_g7 = 0; ex.: Agranov2017a-E01, Agranov2017a-E02, Agranov2017a-E03, Agranov2017a-E04, Agranov2017a-E05); RoB de rob2 (seq 745) com 23 de 23 resultados sem validação humana (todos_validados_humano diferente de true): a concordância entre avaliadores não humanos não valida; resolva por humano no consenso e consolide de novo; RoB de robins_i (seq 747) com 13 de 13 resultados sem validação humana (todos_validados_humano diferente de true): a concordância entre avaliadores não humanos não valida; resolva por humano no consenso e consolide de novo; RoB de epoc (seq 749) com 7 de 7 resultados sem validação humana (todos_validados_humano diferente de true): a concordância entre avaliadores não humanos não valida; resolva por humano no consenso e consolide de novo; P032 aberta: conferir 100% dos dados de efeito na página do PDF e marcar verificado_humano [substitui P027]</w:t>
            </w:r>
          </w:p>
        </w:tc>
        <w:tc>
          <w:tcPr/>
          <w:p>
            <w:pPr>
              <w:pStyle w:val="Compact"/>
            </w:pPr>
          </w:p>
        </w:tc>
      </w:tr>
      <w:tr>
        <w:tc>
          <w:tcPr/>
          <w:p>
            <w:pPr>
              <w:pStyle w:val="Compact"/>
            </w:pPr>
            <w:r>
              <w:t xml:space="preserve">P035</w:t>
            </w:r>
          </w:p>
        </w:tc>
        <w:tc>
          <w:tcPr/>
          <w:p>
            <w:pPr>
              <w:pStyle w:val="Compact"/>
            </w:pPr>
            <w:r>
              <w:t xml:space="preserve">revisao_humana_portao</w:t>
            </w:r>
          </w:p>
        </w:tc>
        <w:tc>
          <w:tcPr/>
          <w:p>
            <w:pPr>
              <w:pStyle w:val="Compact"/>
            </w:pPr>
            <w:r>
              <w:t xml:space="preserve">10_sintese</w:t>
            </w:r>
          </w:p>
        </w:tc>
        <w:tc>
          <w:tcPr/>
          <w:p>
            <w:pPr>
              <w:pStyle w:val="Compact"/>
            </w:pPr>
            <w:r>
              <w:t xml:space="preserve">G8</w:t>
            </w:r>
          </w:p>
        </w:tc>
        <w:tc>
          <w:tcPr/>
          <w:p>
            <w:pPr>
              <w:pStyle w:val="Compact"/>
            </w:pPr>
            <w:r>
              <w:t xml:space="preserve">confirmar a aprovação automática do G8: P034 aberta: GRADE das 7 células em 06-analise/certeza.csv rascunhado por subagente (claude-opus-5-5), validado_humano vazio; revisor humano deve confirmar ou alterar cada juízo (ver ponto sobre viés de publicação na célula 1)</w:t>
            </w:r>
          </w:p>
        </w:tc>
        <w:tc>
          <w:tcPr/>
          <w:p>
            <w:pPr>
              <w:pStyle w:val="Compact"/>
            </w:pPr>
          </w:p>
        </w:tc>
      </w:tr>
      <w:tr>
        <w:tc>
          <w:tcPr/>
          <w:p>
            <w:pPr>
              <w:pStyle w:val="Compact"/>
            </w:pPr>
            <w:r>
              <w:t xml:space="preserve">P036</w:t>
            </w:r>
          </w:p>
        </w:tc>
        <w:tc>
          <w:tcPr/>
          <w:p>
            <w:pPr>
              <w:pStyle w:val="Compact"/>
            </w:pPr>
            <w:r>
              <w:t xml:space="preserve">certeza_humana</w:t>
            </w:r>
          </w:p>
        </w:tc>
        <w:tc>
          <w:tcPr/>
          <w:p>
            <w:pPr>
              <w:pStyle w:val="Compact"/>
            </w:pPr>
            <w:r>
              <w:t xml:space="preserve">10_sintese</w:t>
            </w:r>
          </w:p>
        </w:tc>
        <w:tc>
          <w:tcPr/>
          <w:p>
            <w:pPr>
              <w:pStyle w:val="Compact"/>
            </w:pPr>
          </w:p>
        </w:tc>
        <w:tc>
          <w:tcPr/>
          <w:p>
            <w:pPr>
              <w:pStyle w:val="Compact"/>
            </w:pPr>
            <w:r>
              <w:t xml:space="preserve">GRADE refeito após a Emenda 5: 21 linhas em 06-analise/certeza.csv (17 células do protocolo + 4 do agrupamento amplo descritivo), rascunhadas por subagente (claude-opus-5-5) com validado_humano vazio; decidir em especial o rebaixamento por viés de publicação no agrupamento amplo de apoio randomizado (baixa × moderada)</w:t>
            </w:r>
          </w:p>
        </w:tc>
        <w:tc>
          <w:tcPr/>
          <w:p>
            <w:pPr>
              <w:pStyle w:val="Compact"/>
            </w:pPr>
          </w:p>
        </w:tc>
      </w:tr>
      <w:tr>
        <w:tc>
          <w:tcPr/>
          <w:p>
            <w:pPr>
              <w:pStyle w:val="Compact"/>
            </w:pPr>
            <w:r>
              <w:t xml:space="preserve">P037</w:t>
            </w:r>
          </w:p>
        </w:tc>
        <w:tc>
          <w:tcPr/>
          <w:p>
            <w:pPr>
              <w:pStyle w:val="Compact"/>
            </w:pPr>
            <w:r>
              <w:t xml:space="preserve">concordancia_extracao</w:t>
            </w:r>
          </w:p>
        </w:tc>
        <w:tc>
          <w:tcPr/>
          <w:p>
            <w:pPr>
              <w:pStyle w:val="Compact"/>
            </w:pPr>
            <w:r>
              <w:t xml:space="preserve">09_extracao_rob</w:t>
            </w:r>
          </w:p>
        </w:tc>
        <w:tc>
          <w:tcPr/>
          <w:p>
            <w:pPr>
              <w:pStyle w:val="Compact"/>
            </w:pPr>
          </w:p>
        </w:tc>
        <w:tc>
          <w:tcPr/>
          <w:p>
            <w:pPr>
              <w:pStyle w:val="Compact"/>
            </w:pPr>
            <w:r>
              <w:t xml:space="preserve">Recodificação cega (Sonnet) de 10 estudos: concordância de valores 58,5% (560 comparações), 37 variáveis sinalizadas, entre elas alvo_efeito (50%, κ 0,38), comparador_tipo (50%, κ 0,38), b2_estimando (60%, κ 0,15) e direção do principal (50%); humano deve arbitrar as divergências em 05-decomposicao/validacao_extracao/concordancia/concordancia.csv ou redefinir e recodificar</w:t>
            </w:r>
          </w:p>
        </w:tc>
        <w:tc>
          <w:tcPr/>
          <w:p>
            <w:pPr>
              <w:pStyle w:val="Compact"/>
            </w:pPr>
          </w:p>
        </w:tc>
      </w:tr>
      <w:tr>
        <w:tc>
          <w:tcPr/>
          <w:p>
            <w:pPr>
              <w:pStyle w:val="Compact"/>
            </w:pPr>
            <w:r>
              <w:t xml:space="preserve">P038</w:t>
            </w:r>
          </w:p>
        </w:tc>
        <w:tc>
          <w:tcPr/>
          <w:p>
            <w:pPr>
              <w:pStyle w:val="Compact"/>
            </w:pPr>
            <w:r>
              <w:t xml:space="preserve">revisao_humana_portao</w:t>
            </w:r>
          </w:p>
        </w:tc>
        <w:tc>
          <w:tcPr/>
          <w:p>
            <w:pPr>
              <w:pStyle w:val="Compact"/>
            </w:pPr>
            <w:r>
              <w:t xml:space="preserve">11_relato</w:t>
            </w:r>
          </w:p>
        </w:tc>
        <w:tc>
          <w:tcPr/>
          <w:p>
            <w:pPr>
              <w:pStyle w:val="Compact"/>
            </w:pPr>
            <w:r>
              <w:t xml:space="preserve">G9</w:t>
            </w:r>
          </w:p>
        </w:tc>
        <w:tc>
          <w:tcPr/>
          <w:p>
            <w:pPr>
              <w:pStyle w:val="Compact"/>
            </w:pPr>
            <w:r>
              <w:t xml:space="preserve">confirmar a aprovação automática do G9</w:t>
            </w:r>
          </w:p>
        </w:tc>
        <w:tc>
          <w:tcPr/>
          <w:p>
            <w:pPr>
              <w:pStyle w:val="Compact"/>
            </w:pPr>
          </w:p>
        </w:tc>
      </w:tr>
      <w:tr>
        <w:tc>
          <w:tcPr/>
          <w:p>
            <w:pPr>
              <w:pStyle w:val="Compact"/>
            </w:pPr>
            <w:r>
              <w:t xml:space="preserve">P039</w:t>
            </w:r>
          </w:p>
        </w:tc>
        <w:tc>
          <w:tcPr/>
          <w:p>
            <w:pPr>
              <w:pStyle w:val="Compact"/>
            </w:pPr>
            <w:r>
              <w:t xml:space="preserve">verificacao_humana_efeitos</w:t>
            </w:r>
          </w:p>
        </w:tc>
        <w:tc>
          <w:tcPr/>
          <w:p>
            <w:pPr>
              <w:pStyle w:val="Compact"/>
            </w:pPr>
            <w:r>
              <w:t xml:space="preserve">09_extracao_rob</w:t>
            </w:r>
          </w:p>
        </w:tc>
        <w:tc>
          <w:tcPr/>
          <w:p>
            <w:pPr>
              <w:pStyle w:val="Compact"/>
            </w:pPr>
            <w:r>
              <w:t xml:space="preserve">G7</w:t>
            </w:r>
          </w:p>
        </w:tc>
        <w:tc>
          <w:tcPr/>
          <w:p>
            <w:pPr>
              <w:pStyle w:val="Compact"/>
            </w:pPr>
            <w:r>
              <w:t xml:space="preserve">conferir 100% dos dados de efeito na página do PDF e marcar verificado_humano [substitui P032]</w:t>
            </w:r>
          </w:p>
        </w:tc>
        <w:tc>
          <w:tcPr/>
          <w:p>
            <w:pPr>
              <w:pStyle w:val="Compact"/>
            </w:pPr>
            <w:r>
              <w:t xml:space="preserve">560</w:t>
            </w:r>
          </w:p>
        </w:tc>
      </w:tr>
      <w:tr>
        <w:tc>
          <w:tcPr/>
          <w:p>
            <w:pPr>
              <w:pStyle w:val="Compact"/>
            </w:pPr>
            <w:r>
              <w:t xml:space="preserve">P041</w:t>
            </w:r>
          </w:p>
        </w:tc>
        <w:tc>
          <w:tcPr/>
          <w:p>
            <w:pPr>
              <w:pStyle w:val="Compact"/>
            </w:pPr>
            <w:r>
              <w:t xml:space="preserve">conferencia_elegibilidade_tc</w:t>
            </w:r>
          </w:p>
        </w:tc>
        <w:tc>
          <w:tcPr/>
          <w:p>
            <w:pPr>
              <w:pStyle w:val="Compact"/>
            </w:pPr>
            <w:r>
              <w:t xml:space="preserve">07_textos_elegibilidade</w:t>
            </w:r>
          </w:p>
        </w:tc>
        <w:tc>
          <w:tcPr/>
          <w:p>
            <w:pPr>
              <w:pStyle w:val="Compact"/>
            </w:pPr>
            <w:r>
              <w:t xml:space="preserve">G5</w:t>
            </w:r>
          </w:p>
        </w:tc>
        <w:tc>
          <w:tcPr/>
          <w:p>
            <w:pPr>
              <w:pStyle w:val="Compact"/>
            </w:pPr>
            <w:r>
              <w:t xml:space="preserve">conferir 165 decisões de elegibilidade propostas a partir das fichas (humano decide com</w:t>
            </w:r>
            <w:r>
              <w:t xml:space="preserve"> </w:t>
            </w:r>
            <w:r>
              <w:rPr>
                <w:rStyle w:val="VerbatimChar"/>
              </w:rPr>
              <w:t xml:space="preserve">triagem override --etapa tc</w:t>
            </w:r>
            <w:r>
              <w:t xml:space="preserve">; incertos primeiro) [substitui P040]</w:t>
            </w:r>
          </w:p>
        </w:tc>
        <w:tc>
          <w:tcPr/>
          <w:p>
            <w:pPr>
              <w:pStyle w:val="Compact"/>
            </w:pPr>
            <w:r>
              <w:t xml:space="preserve">165</w:t>
            </w:r>
          </w:p>
        </w:tc>
      </w:tr>
      <w:tr>
        <w:tc>
          <w:tcPr/>
          <w:p>
            <w:pPr>
              <w:pStyle w:val="Compact"/>
            </w:pPr>
            <w:r>
              <w:t xml:space="preserve">P042</w:t>
            </w:r>
          </w:p>
        </w:tc>
        <w:tc>
          <w:tcPr/>
          <w:p>
            <w:pPr>
              <w:pStyle w:val="Compact"/>
            </w:pPr>
            <w:r>
              <w:t xml:space="preserve">certeza_caixa</w:t>
            </w:r>
          </w:p>
        </w:tc>
        <w:tc>
          <w:tcPr/>
          <w:p>
            <w:pPr>
              <w:pStyle w:val="Compact"/>
            </w:pPr>
            <w:r>
              <w:t xml:space="preserve">10_sintese</w:t>
            </w:r>
          </w:p>
        </w:tc>
        <w:tc>
          <w:tcPr/>
          <w:p>
            <w:pPr>
              <w:pStyle w:val="Compact"/>
            </w:pPr>
            <w:r>
              <w:t xml:space="preserve">G8</w:t>
            </w:r>
          </w:p>
        </w:tc>
        <w:tc>
          <w:tcPr/>
          <w:p>
            <w:pPr>
              <w:pStyle w:val="Compact"/>
            </w:pPr>
            <w:r>
              <w:t xml:space="preserve">completar certeza (GRADE/CERQual) e enunciados das células pendentes</w:t>
            </w:r>
          </w:p>
        </w:tc>
        <w:tc>
          <w:tcPr/>
          <w:p>
            <w:pPr>
              <w:pStyle w:val="Compact"/>
            </w:pPr>
            <w:r>
              <w:t xml:space="preserve">22</w:t>
            </w:r>
          </w:p>
        </w:tc>
      </w:tr>
    </w:tbl>
    <w:bookmarkEnd w:id="194"/>
    <w:bookmarkStart w:id="195" w:name="declaração-de-responsabilidade"/>
    <w:p>
      <w:pPr>
        <w:pStyle w:val="Heading2"/>
      </w:pPr>
      <w:r>
        <w:t xml:space="preserve">7. Declaração de responsabilidade</w:t>
      </w:r>
    </w:p>
    <w:p>
      <w:pPr>
        <w:pStyle w:val="FirstParagraph"/>
      </w:pPr>
      <w:r>
        <w:t xml:space="preserve">As ferramentas de IA listadas foram usadas como apoio sob supervisão humana. Critérios, protocolo, juízos de risco de viés, de certeza (GRADE/CERQual), rótulos da caixa de ferramentas e conclusões são responsabilidade dos revisores humanos, que conferiram as saídas conforme os portões e as validações acima. Decisões de IA não validadas estão sinalizadas como pendências.</w:t>
      </w:r>
    </w:p>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9" Target="media/rId9.png" /><Relationship Type="http://schemas.openxmlformats.org/officeDocument/2006/relationships/image" Id="rId30" Target="media/rId30.png" /><Relationship Type="http://schemas.openxmlformats.org/officeDocument/2006/relationships/hyperlink" Id="rId171" Target="https://doi.org/10.1007/s10683-015-9443-2" TargetMode="External" /><Relationship Type="http://schemas.openxmlformats.org/officeDocument/2006/relationships/hyperlink" Id="rId173" Target="https://doi.org/10.1007/s11615-022-00417-3" TargetMode="External" /><Relationship Type="http://schemas.openxmlformats.org/officeDocument/2006/relationships/hyperlink" Id="rId159" Target="https://doi.org/10.1016/j.electstud.2023.102692" TargetMode="External" /><Relationship Type="http://schemas.openxmlformats.org/officeDocument/2006/relationships/hyperlink" Id="rId155" Target="https://doi.org/10.1016/j.euroecorev.2015.03.012" TargetMode="External" /><Relationship Type="http://schemas.openxmlformats.org/officeDocument/2006/relationships/hyperlink" Id="rId125" Target="https://doi.org/10.1017/ipo.2015.3" TargetMode="External" /><Relationship Type="http://schemas.openxmlformats.org/officeDocument/2006/relationships/hyperlink" Id="rId89" Target="https://doi.org/10.1017/pan.2020.50" TargetMode="External" /><Relationship Type="http://schemas.openxmlformats.org/officeDocument/2006/relationships/hyperlink" Id="rId83" Target="https://doi.org/10.1017/s000712342100034x" TargetMode="External" /><Relationship Type="http://schemas.openxmlformats.org/officeDocument/2006/relationships/hyperlink" Id="rId157" Target="https://doi.org/10.1057/9780230374959_11" TargetMode="External" /><Relationship Type="http://schemas.openxmlformats.org/officeDocument/2006/relationships/hyperlink" Id="rId152" Target="https://doi.org/10.1057/9781137016645_7" TargetMode="External" /><Relationship Type="http://schemas.openxmlformats.org/officeDocument/2006/relationships/hyperlink" Id="rId127" Target="https://doi.org/10.1057/s41269-018-0089-x" TargetMode="External" /><Relationship Type="http://schemas.openxmlformats.org/officeDocument/2006/relationships/hyperlink" Id="rId177" Target="https://doi.org/10.1086/708682" TargetMode="External" /><Relationship Type="http://schemas.openxmlformats.org/officeDocument/2006/relationships/hyperlink" Id="rId114" Target="https://doi.org/10.1093/ijpor/edaa008" TargetMode="External" /><Relationship Type="http://schemas.openxmlformats.org/officeDocument/2006/relationships/hyperlink" Id="rId121" Target="https://doi.org/10.1093/ijpor/edae041" TargetMode="External" /><Relationship Type="http://schemas.openxmlformats.org/officeDocument/2006/relationships/hyperlink" Id="rId148" Target="https://doi.org/10.1093/ijpor/edu041" TargetMode="External" /><Relationship Type="http://schemas.openxmlformats.org/officeDocument/2006/relationships/hyperlink" Id="rId164" Target="https://doi.org/10.1093/ijpor/edw018" TargetMode="External" /><Relationship Type="http://schemas.openxmlformats.org/officeDocument/2006/relationships/hyperlink" Id="rId93" Target="https://doi.org/10.1093/jeea/jvad038" TargetMode="External" /><Relationship Type="http://schemas.openxmlformats.org/officeDocument/2006/relationships/hyperlink" Id="rId75" Target="https://doi.org/10.1093/jeea/jvx023" TargetMode="External" /><Relationship Type="http://schemas.openxmlformats.org/officeDocument/2006/relationships/hyperlink" Id="rId144" Target="https://doi.org/10.1093/poq/nfv036" TargetMode="External" /><Relationship Type="http://schemas.openxmlformats.org/officeDocument/2006/relationships/hyperlink" Id="rId106" Target="https://doi.org/10.1111/1467-9477.12094" TargetMode="External" /><Relationship Type="http://schemas.openxmlformats.org/officeDocument/2006/relationships/hyperlink" Id="rId123" Target="https://doi.org/10.1111/ajps.12441" TargetMode="External" /><Relationship Type="http://schemas.openxmlformats.org/officeDocument/2006/relationships/hyperlink" Id="rId116" Target="https://doi.org/10.1111/ajps.12722" TargetMode="External" /><Relationship Type="http://schemas.openxmlformats.org/officeDocument/2006/relationships/hyperlink" Id="rId150" Target="https://doi.org/10.1111/j.1475-6765.2010.01986.x" TargetMode="External" /><Relationship Type="http://schemas.openxmlformats.org/officeDocument/2006/relationships/hyperlink" Id="rId136" Target="https://doi.org/10.1111/j.1540-5907.2010.00455.x" TargetMode="External" /><Relationship Type="http://schemas.openxmlformats.org/officeDocument/2006/relationships/hyperlink" Id="rId142" Target="https://doi.org/10.1111/jpet.12274" TargetMode="External" /><Relationship Type="http://schemas.openxmlformats.org/officeDocument/2006/relationships/hyperlink" Id="rId162" Target="https://doi.org/10.1177/1465116519837351" TargetMode="External" /><Relationship Type="http://schemas.openxmlformats.org/officeDocument/2006/relationships/hyperlink" Id="rId85" Target="https://doi.org/10.1177/1478929919870691" TargetMode="External" /><Relationship Type="http://schemas.openxmlformats.org/officeDocument/2006/relationships/hyperlink" Id="rId140" Target="https://doi.org/10.1184/r1/9338318.v1" TargetMode="External" /><Relationship Type="http://schemas.openxmlformats.org/officeDocument/2006/relationships/hyperlink" Id="rId132" Target="https://doi.org/10.1257/app.20180574" TargetMode="External" /><Relationship Type="http://schemas.openxmlformats.org/officeDocument/2006/relationships/hyperlink" Id="rId119" Target="https://doi.org/10.13140/rg.2.1.3580.3125" TargetMode="External" /><Relationship Type="http://schemas.openxmlformats.org/officeDocument/2006/relationships/hyperlink" Id="rId98" Target="https://doi.org/10.14201/rlop.29606" TargetMode="External" /><Relationship Type="http://schemas.openxmlformats.org/officeDocument/2006/relationships/hyperlink" Id="rId104" Target="https://doi.org/10.1515/wps-2016-0012" TargetMode="External" /><Relationship Type="http://schemas.openxmlformats.org/officeDocument/2006/relationships/hyperlink" Id="rId73" Target="https://doi.org/10.2139/ssrn.2029598" TargetMode="External" /><Relationship Type="http://schemas.openxmlformats.org/officeDocument/2006/relationships/hyperlink" Id="rId96" Target="https://doi.org/10.2139/ssrn.3332196" TargetMode="External" /><Relationship Type="http://schemas.openxmlformats.org/officeDocument/2006/relationships/hyperlink" Id="rId175" Target="https://doi.org/10.2139/ssrn.3448172" TargetMode="External" /><Relationship Type="http://schemas.openxmlformats.org/officeDocument/2006/relationships/hyperlink" Id="rId87" Target="https://doi.org/10.2139/ssrn.3644952" TargetMode="External" /><Relationship Type="http://schemas.openxmlformats.org/officeDocument/2006/relationships/hyperlink" Id="rId77" Target="https://doi.org/10.2139/ssrn.4265932" TargetMode="External" /><Relationship Type="http://schemas.openxmlformats.org/officeDocument/2006/relationships/hyperlink" Id="rId79" Target="https://doi.org/10.2139/ssrn.4803850" TargetMode="External" /><Relationship Type="http://schemas.openxmlformats.org/officeDocument/2006/relationships/hyperlink" Id="rId108" Target="https://doi.org/10.31219/osf.io/mwg7u" TargetMode="External" /><Relationship Type="http://schemas.openxmlformats.org/officeDocument/2006/relationships/hyperlink" Id="rId180" Target="https://doi.org/10.31219/osf.io/qpyna" TargetMode="External" /><Relationship Type="http://schemas.openxmlformats.org/officeDocument/2006/relationships/hyperlink" Id="rId81" Target="https://doi.org/10.33774/apsa-2021-5d090-v2" TargetMode="External" /><Relationship Type="http://schemas.openxmlformats.org/officeDocument/2006/relationships/hyperlink" Id="rId129" Target="https://doi.org/10.3386/w23071" TargetMode="External" /><Relationship Type="http://schemas.openxmlformats.org/officeDocument/2006/relationships/hyperlink" Id="rId91" Target="https://doi.org/10.3386/w23490" TargetMode="External" /><Relationship Type="http://schemas.openxmlformats.org/officeDocument/2006/relationships/hyperlink" Id="rId169" Target="https://doi.org/10.3390/g4040624" TargetMode="External" /><Relationship Type="http://schemas.openxmlformats.org/officeDocument/2006/relationships/hyperlink" Id="rId134" Target="https://doi.org/10.3917/reco.pr2.0188" TargetMode="External" /><Relationship Type="http://schemas.openxmlformats.org/officeDocument/2006/relationships/hyperlink" Id="rId138" Target="https://doi.org/10.4135/9781848607910.n48" TargetMode="External" /><Relationship Type="http://schemas.openxmlformats.org/officeDocument/2006/relationships/hyperlink" Id="rId110" Target="https://doi.org/10.48550/arxiv.1805.07606" TargetMode="External" /><Relationship Type="http://schemas.openxmlformats.org/officeDocument/2006/relationships/hyperlink" Id="rId146" Target="https://doi.org/10.5964/jspp.9241" TargetMode="External" /><Relationship Type="http://schemas.openxmlformats.org/officeDocument/2006/relationships/hyperlink" Id="rId166" Target="https://doi.org/10.65109/dngc7810" TargetMode="External" /><Relationship Type="http://schemas.openxmlformats.org/officeDocument/2006/relationships/hyperlink" Id="rId112" Target="https://doi.org/10.65109/srvt6467" TargetMode="External" /><Relationship Type="http://schemas.openxmlformats.org/officeDocument/2006/relationships/hyperlink" Id="rId102" Target="https://doi.org/10.7146/politica.v47i1.131474" TargetMode="External" /><Relationship Type="http://schemas.openxmlformats.org/officeDocument/2006/relationships/hyperlink" Id="rId100" Target="https://doi.org/10.7146/politica.v47i1.131475" TargetMode="External" /><Relationship Type="http://schemas.openxmlformats.org/officeDocument/2006/relationships/hyperlink" Id="rId71" Target="https://felipelmc.github.io/pesquisas-eleitorais-rs/" TargetMode="External" /></Relationships>
</file>

<file path=word/_rels/footnotes.xml.rels><?xml version="1.0" encoding="UTF-8"?><Relationships xmlns="http://schemas.openxmlformats.org/package/2006/relationships"><Relationship Type="http://schemas.openxmlformats.org/officeDocument/2006/relationships/hyperlink" Id="rId171" Target="https://doi.org/10.1007/s10683-015-9443-2" TargetMode="External" /><Relationship Type="http://schemas.openxmlformats.org/officeDocument/2006/relationships/hyperlink" Id="rId173" Target="https://doi.org/10.1007/s11615-022-00417-3" TargetMode="External" /><Relationship Type="http://schemas.openxmlformats.org/officeDocument/2006/relationships/hyperlink" Id="rId159" Target="https://doi.org/10.1016/j.electstud.2023.102692" TargetMode="External" /><Relationship Type="http://schemas.openxmlformats.org/officeDocument/2006/relationships/hyperlink" Id="rId155" Target="https://doi.org/10.1016/j.euroecorev.2015.03.012" TargetMode="External" /><Relationship Type="http://schemas.openxmlformats.org/officeDocument/2006/relationships/hyperlink" Id="rId125" Target="https://doi.org/10.1017/ipo.2015.3" TargetMode="External" /><Relationship Type="http://schemas.openxmlformats.org/officeDocument/2006/relationships/hyperlink" Id="rId89" Target="https://doi.org/10.1017/pan.2020.50" TargetMode="External" /><Relationship Type="http://schemas.openxmlformats.org/officeDocument/2006/relationships/hyperlink" Id="rId83" Target="https://doi.org/10.1017/s000712342100034x" TargetMode="External" /><Relationship Type="http://schemas.openxmlformats.org/officeDocument/2006/relationships/hyperlink" Id="rId157" Target="https://doi.org/10.1057/9780230374959_11" TargetMode="External" /><Relationship Type="http://schemas.openxmlformats.org/officeDocument/2006/relationships/hyperlink" Id="rId152" Target="https://doi.org/10.1057/9781137016645_7" TargetMode="External" /><Relationship Type="http://schemas.openxmlformats.org/officeDocument/2006/relationships/hyperlink" Id="rId127" Target="https://doi.org/10.1057/s41269-018-0089-x" TargetMode="External" /><Relationship Type="http://schemas.openxmlformats.org/officeDocument/2006/relationships/hyperlink" Id="rId177" Target="https://doi.org/10.1086/708682" TargetMode="External" /><Relationship Type="http://schemas.openxmlformats.org/officeDocument/2006/relationships/hyperlink" Id="rId114" Target="https://doi.org/10.1093/ijpor/edaa008" TargetMode="External" /><Relationship Type="http://schemas.openxmlformats.org/officeDocument/2006/relationships/hyperlink" Id="rId121" Target="https://doi.org/10.1093/ijpor/edae041" TargetMode="External" /><Relationship Type="http://schemas.openxmlformats.org/officeDocument/2006/relationships/hyperlink" Id="rId148" Target="https://doi.org/10.1093/ijpor/edu041" TargetMode="External" /><Relationship Type="http://schemas.openxmlformats.org/officeDocument/2006/relationships/hyperlink" Id="rId164" Target="https://doi.org/10.1093/ijpor/edw018" TargetMode="External" /><Relationship Type="http://schemas.openxmlformats.org/officeDocument/2006/relationships/hyperlink" Id="rId93" Target="https://doi.org/10.1093/jeea/jvad038" TargetMode="External" /><Relationship Type="http://schemas.openxmlformats.org/officeDocument/2006/relationships/hyperlink" Id="rId75" Target="https://doi.org/10.1093/jeea/jvx023" TargetMode="External" /><Relationship Type="http://schemas.openxmlformats.org/officeDocument/2006/relationships/hyperlink" Id="rId144" Target="https://doi.org/10.1093/poq/nfv036" TargetMode="External" /><Relationship Type="http://schemas.openxmlformats.org/officeDocument/2006/relationships/hyperlink" Id="rId106" Target="https://doi.org/10.1111/1467-9477.12094" TargetMode="External" /><Relationship Type="http://schemas.openxmlformats.org/officeDocument/2006/relationships/hyperlink" Id="rId123" Target="https://doi.org/10.1111/ajps.12441" TargetMode="External" /><Relationship Type="http://schemas.openxmlformats.org/officeDocument/2006/relationships/hyperlink" Id="rId116" Target="https://doi.org/10.1111/ajps.12722" TargetMode="External" /><Relationship Type="http://schemas.openxmlformats.org/officeDocument/2006/relationships/hyperlink" Id="rId150" Target="https://doi.org/10.1111/j.1475-6765.2010.01986.x" TargetMode="External" /><Relationship Type="http://schemas.openxmlformats.org/officeDocument/2006/relationships/hyperlink" Id="rId136" Target="https://doi.org/10.1111/j.1540-5907.2010.00455.x" TargetMode="External" /><Relationship Type="http://schemas.openxmlformats.org/officeDocument/2006/relationships/hyperlink" Id="rId142" Target="https://doi.org/10.1111/jpet.12274" TargetMode="External" /><Relationship Type="http://schemas.openxmlformats.org/officeDocument/2006/relationships/hyperlink" Id="rId162" Target="https://doi.org/10.1177/1465116519837351" TargetMode="External" /><Relationship Type="http://schemas.openxmlformats.org/officeDocument/2006/relationships/hyperlink" Id="rId85" Target="https://doi.org/10.1177/1478929919870691" TargetMode="External" /><Relationship Type="http://schemas.openxmlformats.org/officeDocument/2006/relationships/hyperlink" Id="rId140" Target="https://doi.org/10.1184/r1/9338318.v1" TargetMode="External" /><Relationship Type="http://schemas.openxmlformats.org/officeDocument/2006/relationships/hyperlink" Id="rId132" Target="https://doi.org/10.1257/app.20180574" TargetMode="External" /><Relationship Type="http://schemas.openxmlformats.org/officeDocument/2006/relationships/hyperlink" Id="rId119" Target="https://doi.org/10.13140/rg.2.1.3580.3125" TargetMode="External" /><Relationship Type="http://schemas.openxmlformats.org/officeDocument/2006/relationships/hyperlink" Id="rId98" Target="https://doi.org/10.14201/rlop.29606" TargetMode="External" /><Relationship Type="http://schemas.openxmlformats.org/officeDocument/2006/relationships/hyperlink" Id="rId104" Target="https://doi.org/10.1515/wps-2016-0012" TargetMode="External" /><Relationship Type="http://schemas.openxmlformats.org/officeDocument/2006/relationships/hyperlink" Id="rId73" Target="https://doi.org/10.2139/ssrn.2029598" TargetMode="External" /><Relationship Type="http://schemas.openxmlformats.org/officeDocument/2006/relationships/hyperlink" Id="rId96" Target="https://doi.org/10.2139/ssrn.3332196" TargetMode="External" /><Relationship Type="http://schemas.openxmlformats.org/officeDocument/2006/relationships/hyperlink" Id="rId175" Target="https://doi.org/10.2139/ssrn.3448172" TargetMode="External" /><Relationship Type="http://schemas.openxmlformats.org/officeDocument/2006/relationships/hyperlink" Id="rId87" Target="https://doi.org/10.2139/ssrn.3644952" TargetMode="External" /><Relationship Type="http://schemas.openxmlformats.org/officeDocument/2006/relationships/hyperlink" Id="rId77" Target="https://doi.org/10.2139/ssrn.4265932" TargetMode="External" /><Relationship Type="http://schemas.openxmlformats.org/officeDocument/2006/relationships/hyperlink" Id="rId79" Target="https://doi.org/10.2139/ssrn.4803850" TargetMode="External" /><Relationship Type="http://schemas.openxmlformats.org/officeDocument/2006/relationships/hyperlink" Id="rId108" Target="https://doi.org/10.31219/osf.io/mwg7u" TargetMode="External" /><Relationship Type="http://schemas.openxmlformats.org/officeDocument/2006/relationships/hyperlink" Id="rId180" Target="https://doi.org/10.31219/osf.io/qpyna" TargetMode="External" /><Relationship Type="http://schemas.openxmlformats.org/officeDocument/2006/relationships/hyperlink" Id="rId81" Target="https://doi.org/10.33774/apsa-2021-5d090-v2" TargetMode="External" /><Relationship Type="http://schemas.openxmlformats.org/officeDocument/2006/relationships/hyperlink" Id="rId129" Target="https://doi.org/10.3386/w23071" TargetMode="External" /><Relationship Type="http://schemas.openxmlformats.org/officeDocument/2006/relationships/hyperlink" Id="rId91" Target="https://doi.org/10.3386/w23490" TargetMode="External" /><Relationship Type="http://schemas.openxmlformats.org/officeDocument/2006/relationships/hyperlink" Id="rId169" Target="https://doi.org/10.3390/g4040624" TargetMode="External" /><Relationship Type="http://schemas.openxmlformats.org/officeDocument/2006/relationships/hyperlink" Id="rId134" Target="https://doi.org/10.3917/reco.pr2.0188" TargetMode="External" /><Relationship Type="http://schemas.openxmlformats.org/officeDocument/2006/relationships/hyperlink" Id="rId138" Target="https://doi.org/10.4135/9781848607910.n48" TargetMode="External" /><Relationship Type="http://schemas.openxmlformats.org/officeDocument/2006/relationships/hyperlink" Id="rId110" Target="https://doi.org/10.48550/arxiv.1805.07606" TargetMode="External" /><Relationship Type="http://schemas.openxmlformats.org/officeDocument/2006/relationships/hyperlink" Id="rId146" Target="https://doi.org/10.5964/jspp.9241" TargetMode="External" /><Relationship Type="http://schemas.openxmlformats.org/officeDocument/2006/relationships/hyperlink" Id="rId166" Target="https://doi.org/10.65109/dngc7810" TargetMode="External" /><Relationship Type="http://schemas.openxmlformats.org/officeDocument/2006/relationships/hyperlink" Id="rId112" Target="https://doi.org/10.65109/srvt6467" TargetMode="External" /><Relationship Type="http://schemas.openxmlformats.org/officeDocument/2006/relationships/hyperlink" Id="rId102" Target="https://doi.org/10.7146/politica.v47i1.131474" TargetMode="External" /><Relationship Type="http://schemas.openxmlformats.org/officeDocument/2006/relationships/hyperlink" Id="rId100" Target="https://doi.org/10.7146/politica.v47i1.131475" TargetMode="External" /><Relationship Type="http://schemas.openxmlformats.org/officeDocument/2006/relationships/hyperlink" Id="rId71" Target="https://felipelmc.github.io/pesquisas-eleitorais-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Efeitos da divulgação de pesquisas eleitorais sobre a intenção de voto e o comparecimento (bandwagon e underdog): revisão sistemática rápida sem meta-análise</dc:title>
  <dc:creator>Felipe Lamarca</dc:creator>
  <dc:language>pt-BR</dc:language>
  <cp:keywords/>
  <dcterms:created xsi:type="dcterms:W3CDTF">2026-09-24T03:56:50Z</dcterms:created>
  <dcterms:modified xsi:type="dcterms:W3CDTF">2026-09-24T03:56:50Z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ascunho">
    <vt:lpwstr>True</vt:lpwstr>
  </property>
  <property fmtid="{D5CDD505-2E9C-101B-9397-08002B2CF9AE}" pid="13" name="toc-title">
    <vt:lpwstr>Índice</vt:lpwstr>
  </property>
</Properties>
</file>