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73.png" ContentType="image/png"/>
  <Override PartName="/word/media/rId16.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Pesquisas eleitorais publicadas mudam o voto?</w:t>
      </w:r>
    </w:p>
    <w:p>
      <w:pPr>
        <w:pStyle w:val="Subtitle"/>
      </w:pPr>
      <w:r>
        <w:t xml:space="preserve">Revisão sistemática rápida no formato</w:t>
      </w:r>
      <w:r>
        <w:t xml:space="preserve"> </w:t>
      </w:r>
      <w:r>
        <w:rPr>
          <w:i/>
          <w:iCs/>
        </w:rPr>
        <w:t xml:space="preserve">O que funciona?</w:t>
      </w:r>
    </w:p>
    <w:p>
      <w:pPr>
        <w:pStyle w:val="Author"/>
      </w:pPr>
      <w:r>
        <w:t xml:space="preserve">Felipe Lamarca (MAPE/IESP-UERJ)</w:t>
      </w:r>
    </w:p>
    <w:p>
      <w:pPr>
        <w:pStyle w:val="Date"/>
      </w:pPr>
      <w:r>
        <w:t xml:space="preserve">Invalid Date</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RASCUNHO NÃO VALIDADO: 18 pendências humanas abertas</w:t>
            </w:r>
          </w:p>
        </w:tc>
      </w:tr>
      <w:tr>
        <w:trPr>
          <w:cantSplit/>
        </w:trPr>
        <w:tc>
          <w:tcPr>
            <w:tcMar>
              <w:top w:w="108" w:type="dxa"/>
              <w:bottom w:w="108" w:type="dxa"/>
            </w:tcMar>
          </w:tcPr>
          <w:p>
            <w:pPr>
              <w:pStyle w:val="BodyText"/>
            </w:pPr>
            <w:pPr>
              <w:spacing w:before="16" w:after="16"/>
            </w:pPr>
            <w:r>
              <w:t xml:space="preserve">Todas as etapas posteriores ao protocolo (triagem, elegibilidade, extração, risco de viés, síntese, certeza e redação) foram conduzidas por agentes de inteligência artificial, e há 18 pendências de validação humana em aberto (</w:t>
            </w:r>
            <w:r>
              <w:rPr>
                <w:rStyle w:val="VerbatimChar"/>
              </w:rPr>
              <w:t xml:space="preserve">07-relatorio/_pendencias_abertas.json</w:t>
            </w:r>
            <w:r>
              <w:t xml:space="preserve">). Por isso, os achados não devem ser citados como finais. O</w:t>
            </w:r>
            <w:r>
              <w:t xml:space="preserve"> </w:t>
            </w:r>
            <w:hyperlink w:anchor="sec-pendencias">
              <w:r>
                <w:rPr>
                  <w:rStyle w:val="Hyperlink"/>
                </w:rPr>
                <w:t xml:space="preserve">Apêndice A</w:t>
              </w:r>
            </w:hyperlink>
            <w:r>
              <w:t xml:space="preserve"> </w:t>
            </w:r>
            <w:r>
              <w:t xml:space="preserve">lista as pendências e o que falta em cada uma.</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Como ler este documento</w:t>
            </w:r>
          </w:p>
        </w:tc>
      </w:tr>
      <w:tr>
        <w:trPr>
          <w:cantSplit/>
        </w:trPr>
        <w:tc>
          <w:tcPr>
            <w:tcMar>
              <w:top w:w="108" w:type="dxa"/>
              <w:bottom w:w="108" w:type="dxa"/>
            </w:tcMar>
          </w:tcPr>
          <w:p>
            <w:pPr>
              <w:pStyle w:val="BodyText"/>
            </w:pPr>
            <w:pPr>
              <w:spacing w:before="16" w:after="16"/>
            </w:pPr>
            <w:r>
              <w:t xml:space="preserve">A revisão não estima o tamanho do efeito. Ela conta em que direção apontam os estudos e, por isso, a certeza da evidência (GRADE) qualifica a direção, e não a magnitude. Os rótulos da caixa de ferramentas (Positivo, Negativo, Misto, Nulo, Inconclusivo e Pendente) seguem a regra</w:t>
            </w:r>
            <w:r>
              <w:t xml:space="preserve"> </w:t>
            </w:r>
            <w:r>
              <w:rPr>
                <w:rStyle w:val="VerbatimChar"/>
              </w:rPr>
              <w:t xml:space="preserve">caixa-3</w:t>
            </w:r>
            <w:r>
              <w:t xml:space="preserve">, explicada na</w:t>
            </w:r>
            <w:r>
              <w:t xml:space="preserve"> </w:t>
            </w:r>
            <w:hyperlink w:anchor="sec-caixa">
              <w:r>
                <w:rPr>
                  <w:rStyle w:val="Hyperlink"/>
                </w:rPr>
                <w:t xml:space="preserve">Seção 7</w:t>
              </w:r>
            </w:hyperlink>
            <w:r>
              <w:t xml:space="preserve">.</w:t>
            </w:r>
          </w:p>
          <w:p/>
        </w:tc>
      </w:tr>
    </w:tbl>
    <w:bookmarkStart w:id="15" w:name="mensagens-principais"/>
    <w:p>
      <w:pPr>
        <w:pStyle w:val="Heading1"/>
      </w:pPr>
      <w:r>
        <w:t xml:space="preserve">Mensagens principais</w:t>
      </w:r>
    </w:p>
    <w:p>
      <w:pPr>
        <w:pStyle w:val="Compact"/>
        <w:numPr>
          <w:ilvl w:val="0"/>
          <w:numId w:val="1001"/>
        </w:numPr>
      </w:pPr>
      <w:r>
        <w:rPr>
          <w:b/>
          <w:bCs/>
        </w:rPr>
        <w:t xml:space="preserve">Apoio a quem aparece à frente.</w:t>
      </w:r>
      <w:r>
        <w:t xml:space="preserve"> </w:t>
      </w:r>
      <w:r>
        <w:t xml:space="preserve">Nas duas células com mais estudos, os 4 experimentos de cada uma foram na direção</w:t>
      </w:r>
      <w:r>
        <w:t xml:space="preserve"> </w:t>
      </w:r>
      <w:r>
        <w:rPr>
          <w:i/>
          <w:iCs/>
        </w:rPr>
        <w:t xml:space="preserve">bandwagon</w:t>
      </w:r>
      <w:r>
        <w:t xml:space="preserve">. Numa delas, os 4 comparam mostrar uma pesquisa com não mostrar; na outra, os 4 comparam o mesmo candidato mostrado à frente ou atrás. A evidência é muito incerta sobre se ver uma pesquisa aumenta o apoio a quem ela mostra à frente (8 experimentos em duas células, cada uma com certeza muito baixa; quase todos em laboratório ou com vinheta hipotética).</w:t>
      </w:r>
    </w:p>
    <w:p>
      <w:pPr>
        <w:pStyle w:val="Compact"/>
        <w:numPr>
          <w:ilvl w:val="0"/>
          <w:numId w:val="1001"/>
        </w:numPr>
      </w:pPr>
      <w:r>
        <w:rPr>
          <w:b/>
          <w:bCs/>
        </w:rPr>
        <w:t xml:space="preserve">Comparecimento.</w:t>
      </w:r>
      <w:r>
        <w:t xml:space="preserve"> </w:t>
      </w:r>
      <w:r>
        <w:t xml:space="preserve">Receber uma pesquisa que mostra disputa apertada, em vez de folgada, provavelmente não muda o comparecimento além de 2 pontos percentuais (1 experimento de campo; certeza moderada). Ter visto a divulgação de pesquisas pode aumentar a intenção de votar ou o comparecimento (2 estudos não randomizados; certeza baixa), e ver projeções que se afastam de 50:50 pode reduzir a decisão de votar (1 jogo</w:t>
      </w:r>
      <w:r>
        <w:t xml:space="preserve"> </w:t>
      </w:r>
      <w:r>
        <w:rPr>
          <w:i/>
          <w:iCs/>
        </w:rPr>
        <w:t xml:space="preserve">online</w:t>
      </w:r>
      <w:r>
        <w:t xml:space="preserve">; certeza baixa).</w:t>
      </w:r>
    </w:p>
    <w:p>
      <w:pPr>
        <w:pStyle w:val="Compact"/>
        <w:numPr>
          <w:ilvl w:val="0"/>
          <w:numId w:val="1001"/>
        </w:numPr>
      </w:pPr>
      <w:r>
        <w:rPr>
          <w:b/>
          <w:bCs/>
        </w:rPr>
        <w:t xml:space="preserve">Boca de urna.</w:t>
      </w:r>
      <w:r>
        <w:t xml:space="preserve"> </w:t>
      </w:r>
      <w:r>
        <w:t xml:space="preserve">A evidência é muito incerta sobre se divulgar boca de urna antes do fechamento das urnas muda o apoio ao líder (2 experimentos naturais, em direções opostas; certeza muito baixa) ou reduz o comparecimento (3 experimentos naturais em duas células; certeza muito baixa).</w:t>
      </w:r>
    </w:p>
    <w:p>
      <w:pPr>
        <w:pStyle w:val="Compact"/>
        <w:numPr>
          <w:ilvl w:val="0"/>
          <w:numId w:val="1001"/>
        </w:numPr>
      </w:pPr>
      <w:r>
        <w:rPr>
          <w:b/>
          <w:bCs/>
        </w:rPr>
        <w:t xml:space="preserve">Brasil.</w:t>
      </w:r>
      <w:r>
        <w:t xml:space="preserve"> </w:t>
      </w:r>
      <w:r>
        <w:t xml:space="preserve">O único estudo brasileiro</w:t>
      </w:r>
      <w:r>
        <w:t xml:space="preserve"> </w:t>
      </w:r>
      <w:r>
        <w:t xml:space="preserve">(Araujo e Gatto 2021)</w:t>
      </w:r>
      <w:r>
        <w:t xml:space="preserve"> </w:t>
      </w:r>
      <w:r>
        <w:t xml:space="preserve">trata da divulgação oficial da apuração parcial com a votação ainda em curso, e não de pesquisa eleitoral. A evidência é muito incerta sobre se essa divulgação aumenta a votação de quem aparece à frente (1 experimento natural; certeza muito baixa). Nenhum estudo incluído mede o efeito de pesquisas publicadas no Brasil.</w:t>
      </w:r>
    </w:p>
    <w:p>
      <w:pPr>
        <w:pStyle w:val="Compact"/>
        <w:numPr>
          <w:ilvl w:val="0"/>
          <w:numId w:val="1001"/>
        </w:numPr>
      </w:pPr>
      <w:r>
        <w:rPr>
          <w:b/>
          <w:bCs/>
        </w:rPr>
        <w:t xml:space="preserve">O que a evidência não permite dizer.</w:t>
      </w:r>
      <w:r>
        <w:t xml:space="preserve"> </w:t>
      </w:r>
      <w:r>
        <w:t xml:space="preserve">A evidência não diz de quanto é o efeito das pesquisas sobre o voto, e tampouco permite afirmar que elas não têm efeito. Sozinha, não sustenta nem a restrição nem a manutenção das regras atuais de divulgação.</w:t>
      </w:r>
    </w:p>
    <w:bookmarkEnd w:id="15"/>
    <w:bookmarkStart w:id="19" w:name="resumo-executivo"/>
    <w:p>
      <w:pPr>
        <w:pStyle w:val="Heading1"/>
      </w:pPr>
      <w:r>
        <w:t xml:space="preserve">Resumo executivo</w:t>
      </w:r>
    </w:p>
    <w:p>
      <w:pPr>
        <w:pStyle w:val="FirstParagraph"/>
      </w:pPr>
      <w:r>
        <w:t xml:space="preserve">Pesquisas eleitorais estão entre as informações mais difundidas de uma campanha e, no Brasil, voltam ao centro do debate a cada eleição em que o resultado das urnas se afasta das estimativas dos institutos. Com efeito, depois de 2022, projetos de lei propuseram punir institutos cujas pesquisas divergissem das urnas. A pergunta de fundo, raramente respondida com dados, é se ver uma pesquisa muda o voto. Esta revisão reúne a evidência causal publicada desde 2010 sobre ela. Em particular, interessa saber se a exposição a resultados de pesquisas altera a intenção ou a escolha de voto, em que direção (a favor de quem lidera, o efeito</w:t>
      </w:r>
      <w:r>
        <w:t xml:space="preserve"> </w:t>
      </w:r>
      <w:r>
        <w:rPr>
          <w:i/>
          <w:iCs/>
        </w:rPr>
        <w:t xml:space="preserve">bandwagon</w:t>
      </w:r>
      <w:r>
        <w:t xml:space="preserve">, ou de quem está atrás, o</w:t>
      </w:r>
      <w:r>
        <w:t xml:space="preserve"> </w:t>
      </w:r>
      <w:r>
        <w:rPr>
          <w:i/>
          <w:iCs/>
        </w:rPr>
        <w:t xml:space="preserve">underdog</w:t>
      </w:r>
      <w:r>
        <w:t xml:space="preserve">) e se altera o comparecimento.</w:t>
      </w:r>
    </w:p>
    <w:p>
      <w:pPr>
        <w:pStyle w:val="BodyText"/>
      </w:pPr>
      <w:r>
        <w:t xml:space="preserve">Buscamos no OpenAlex, em inglês, português e espanhol, e na Biblioteca Digital Brasileira de Teses e Dissertações, e seguimos as citações dos estudos incluídos. Ao todo, incluímos 41 estudos publicados de 2010 a 2024, a maioria dos Estados Unidos e da Europa. Há experimentos de</w:t>
      </w:r>
      <w:r>
        <w:t xml:space="preserve"> </w:t>
      </w:r>
      <w:r>
        <w:rPr>
          <w:i/>
          <w:iCs/>
        </w:rPr>
        <w:t xml:space="preserve">survey</w:t>
      </w:r>
      <w:r>
        <w:t xml:space="preserve"> </w:t>
      </w:r>
      <w:r>
        <w:t xml:space="preserve">e de laboratório, um experimento de campo, experimentos naturais e painéis. Como esses estudos comparam coisas diferentes (mostrar ou não uma pesquisa, mostrar o mesmo candidato à frente ou atrás, antes e depois de uma proibição), separamos a evidência em células, contamos para que lado apontam as estimativas e julgamos a certeza de cada célula pelo sistema GRADE.</w:t>
      </w:r>
    </w:p>
    <w:p>
      <w:pPr>
        <w:pStyle w:val="BodyText"/>
      </w:pPr>
      <w:r>
        <w:t xml:space="preserve">De forma antecipada, o achado mais recorrente é a direção</w:t>
      </w:r>
      <w:r>
        <w:t xml:space="preserve"> </w:t>
      </w:r>
      <w:r>
        <w:rPr>
          <w:i/>
          <w:iCs/>
        </w:rPr>
        <w:t xml:space="preserve">bandwagon</w:t>
      </w:r>
      <w:r>
        <w:t xml:space="preserve"> </w:t>
      </w:r>
      <w:r>
        <w:t xml:space="preserve">nos experimentos. Nas duas células com mais estudos, todos apontam para mais apoio a quem a pesquisa mostra à frente. São, no entanto, poucos experimentos, pequenos e quase todos de laboratório ou com candidatos hipotéticos, e a certeza é muito baixa. As duas meta-análises exploratórias têm estimativa positiva, mas intervalos de confiança que cruzam zero. Não sabemos o tamanho do efeito nem se ele aparece fora do laboratório.</w:t>
      </w:r>
    </w:p>
    <w:p>
      <w:pPr>
        <w:pStyle w:val="BodyText"/>
      </w:pPr>
      <w:r>
        <w:t xml:space="preserve">No comparecimento, o quadro é misto. O maior experimento de campo, nos Estados Unidos, indica que uma pesquisa de disputa apertada, frente a uma folgada, provavelmente não muda o comparecimento além de 2 pontos percentuais (certeza moderada). Em eleições reais, ter visto a divulgação de pesquisas pode aumentar a participação e, num jogo</w:t>
      </w:r>
      <w:r>
        <w:t xml:space="preserve"> </w:t>
      </w:r>
      <w:r>
        <w:rPr>
          <w:i/>
          <w:iCs/>
        </w:rPr>
        <w:t xml:space="preserve">online</w:t>
      </w:r>
      <w:r>
        <w:t xml:space="preserve">, ver projeções que mostram a eleição decidida pode reduzi-la (certeza baixa nos dois casos). Sobre a boca de urna, a evidência é muito incerta.</w:t>
      </w:r>
    </w:p>
    <w:p>
      <w:pPr>
        <w:pStyle w:val="BodyText"/>
      </w:pPr>
      <w:r>
        <w:t xml:space="preserve">No caso brasileiro, a principal mensagem é a lacuna. O único estudo brasileiro incluído trata da apuração parcial oficial divulgada em 2018 enquanto parte do eleitorado ainda votava, e não de pesquisa. Não há estudo sobre pesquisas publicadas no país, nem sobre como o voto obrigatório, os dois turnos ou a confiança nas pesquisas alteram o efeito. A decisão do STF de 2006 que derrubou o embargo de 15 dias se apoiou no direito à informação, e não em evidência sobre efeitos. Esta revisão não oferece base empírica para reverter essa escolha nem para afirmar que as pesquisas são inócuas.</w:t>
      </w:r>
    </w:p>
    <w:p>
      <w:pPr>
        <w:pStyle w:val="BodyText"/>
      </w:pPr>
      <w:r>
        <w:t xml:space="preserve">O documento é um rascunho. Todas as etapas posteriores ao protocolo foram conduzidas por agentes de inteligência artificial, sem validação humana, e há 18 pendências em aberto. A validação pode mudar a composição das células e, com ela, as mensagens acima.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O documento inteiro depende da P038, já que o autor ainda não leu nem confirmou o relato aprovado pelo autopiloto no portão G9. Todas as outras pendências (</w:t>
            </w:r>
            <w:hyperlink w:anchor="sec-pendencias">
              <w:r>
                <w:rPr>
                  <w:rStyle w:val="Hyperlink"/>
                </w:rPr>
                <w:t xml:space="preserve">Apêndice A</w:t>
              </w:r>
            </w:hyperlink>
            <w:r>
              <w:t xml:space="preserve">) afetam alguma parte do texto.</w:t>
            </w:r>
          </w:p>
          <w:p/>
        </w:tc>
      </w:tr>
    </w:tbl>
    <w:bookmarkEnd w:id="19"/>
    <w:bookmarkStart w:id="22" w:name="resumo-estruturado-e-abstract"/>
    <w:p>
      <w:pPr>
        <w:pStyle w:val="Heading1"/>
      </w:pPr>
      <w:r>
        <w:t xml:space="preserve">1. Resumo estruturado e</w:t>
      </w:r>
      <w:r>
        <w:t xml:space="preserve"> </w:t>
      </w:r>
      <w:r>
        <w:rPr>
          <w:i/>
          <w:iCs/>
        </w:rPr>
        <w:t xml:space="preserve">Abstract</w:t>
      </w:r>
    </w:p>
    <w:bookmarkStart w:id="20" w:name="resumo"/>
    <w:p>
      <w:pPr>
        <w:pStyle w:val="Heading2"/>
      </w:pPr>
      <w:r>
        <w:t xml:space="preserve">1.1 Resumo</w:t>
      </w:r>
    </w:p>
    <w:p>
      <w:pPr>
        <w:pStyle w:val="FirstParagraph"/>
      </w:pPr>
      <w:r>
        <w:rPr>
          <w:b/>
          <w:bCs/>
        </w:rPr>
        <w:t xml:space="preserve">Objetivos.</w:t>
      </w:r>
      <w:r>
        <w:t xml:space="preserve"> </w:t>
      </w:r>
      <w:r>
        <w:t xml:space="preserve">Avaliar se a exposição a resultados de pesquisas eleitorais publicadas altera a intenção ou a escolha de voto, em que direção (</w:t>
      </w:r>
      <w:r>
        <w:rPr>
          <w:i/>
          <w:iCs/>
        </w:rPr>
        <w:t xml:space="preserve">bandwagon</w:t>
      </w:r>
      <w:r>
        <w:t xml:space="preserve"> </w:t>
      </w:r>
      <w:r>
        <w:t xml:space="preserve">ou</w:t>
      </w:r>
      <w:r>
        <w:t xml:space="preserve"> </w:t>
      </w:r>
      <w:r>
        <w:rPr>
          <w:i/>
          <w:iCs/>
        </w:rPr>
        <w:t xml:space="preserve">underdog</w:t>
      </w:r>
      <w:r>
        <w:t xml:space="preserve">) e se altera o comparecimento.</w:t>
      </w:r>
    </w:p>
    <w:p>
      <w:pPr>
        <w:pStyle w:val="BodyText"/>
      </w:pPr>
      <w:r>
        <w:rPr>
          <w:b/>
          <w:bCs/>
        </w:rPr>
        <w:t xml:space="preserve">Métodos.</w:t>
      </w:r>
      <w:r>
        <w:t xml:space="preserve"> </w:t>
      </w:r>
      <w:r>
        <w:t xml:space="preserve">Revisão sistemática rápida, com protocolo congelado antes da busca. Incluímos experimentos, experimentos naturais, quase-experimentos e painéis publicados desde 2010, em qualquer idioma, sobre pesquisa pré-eleitoral, agregador ou projeção, boca de urna e, por emenda, apuração parcial oficial. Buscamos no OpenAlex e na BDTD em 19/09/2026, com busca por citação até 20/09/2026. Triagem, elegibilidade, extração, risco de viés (RoB 2, ROBINS-I V2, EPOC) e certeza (GRADE) foram feitas por subagentes de IA, sem validação humana. A síntese (SWiM) conta a direção das estimativas em células que separam formato, desfecho, comparador, alvo e desenho.</w:t>
      </w:r>
    </w:p>
    <w:p>
      <w:pPr>
        <w:pStyle w:val="BodyText"/>
      </w:pPr>
      <w:r>
        <w:rPr>
          <w:b/>
          <w:bCs/>
        </w:rPr>
        <w:t xml:space="preserve">Resultados.</w:t>
      </w:r>
      <w:r>
        <w:t xml:space="preserve"> </w:t>
      </w:r>
      <w:r>
        <w:t xml:space="preserve">Incluímos 41 estudos (55 relatos); 27 entram na síntese principal, em 18 células. Nas duas células mais povoadas, 4 de 4 experimentos foram na direção</w:t>
      </w:r>
      <w:r>
        <w:t xml:space="preserve"> </w:t>
      </w:r>
      <w:r>
        <w:rPr>
          <w:i/>
          <w:iCs/>
        </w:rPr>
        <w:t xml:space="preserve">bandwagon</w:t>
      </w:r>
      <w:r>
        <w:t xml:space="preserve"> </w:t>
      </w:r>
      <w:r>
        <w:t xml:space="preserve">(proporção 1,00; IC 95% 0,40 a 1,00; p = 0,125), mas a evidência é muito incerta sobre se ver uma pesquisa aumenta o apoio a quem aparece à frente (certeza muito baixa). Duas meta-análises exploratórias, com 3 estudos cada, deram g = 0,48 (IC 95% −1,51 a 2,47) e g = 0,62 (IC 95% −0,48 a 1,72). Receber pesquisa de disputa apertada, em vez de folgada, provavelmente não muda o comparecimento além de 2 pontos percentuais (1 experimento de campo; certeza moderada). Ter visto a divulgação de pesquisas pode aumentar a intenção de votar ou o comparecimento (2 estudos; certeza baixa), e ver projeções longe de 50:50 pode reduzir a decisão de votar (1 estudo; certeza baixa). A evidência sobre boca de urna é muito incerta. O único estudo brasileiro trata de apuração parcial oficial, não de pesquisa.</w:t>
      </w:r>
    </w:p>
    <w:p>
      <w:pPr>
        <w:pStyle w:val="BodyText"/>
      </w:pPr>
      <w:r>
        <w:rPr>
          <w:b/>
          <w:bCs/>
        </w:rPr>
        <w:t xml:space="preserve">Conclusões.</w:t>
      </w:r>
      <w:r>
        <w:t xml:space="preserve"> </w:t>
      </w:r>
      <w:r>
        <w:t xml:space="preserve">A direção dominante nos experimentos é</w:t>
      </w:r>
      <w:r>
        <w:t xml:space="preserve"> </w:t>
      </w:r>
      <w:r>
        <w:rPr>
          <w:i/>
          <w:iCs/>
        </w:rPr>
        <w:t xml:space="preserve">bandwagon</w:t>
      </w:r>
      <w:r>
        <w:t xml:space="preserve">, com certeza muito baixa e sem estimativa de magnitude. A evidência não permite dizer quanto as pesquisas mudam o voto nem que não o mudam, e não há estudo sobre pesquisas no Brasil.</w:t>
      </w:r>
    </w:p>
    <w:p>
      <w:pPr>
        <w:pStyle w:val="BodyText"/>
      </w:pPr>
      <w:r>
        <w:rPr>
          <w:b/>
          <w:bCs/>
        </w:rPr>
        <w:t xml:space="preserve">Registro e financiamento.</w:t>
      </w:r>
      <w:r>
        <w:t xml:space="preserve"> </w:t>
      </w:r>
      <w:r>
        <w:t xml:space="preserve">Não registrado; protocolo congelado com sha256 no</w:t>
      </w:r>
      <w:r>
        <w:t xml:space="preserve"> </w:t>
      </w:r>
      <w:r>
        <w:rPr>
          <w:i/>
          <w:iCs/>
        </w:rPr>
        <w:t xml:space="preserve">log</w:t>
      </w:r>
      <w:r>
        <w:t xml:space="preserve">. Sem financiamento. Rascunho com 18 pendências humanas abertas.</w:t>
      </w:r>
    </w:p>
    <w:bookmarkEnd w:id="20"/>
    <w:bookmarkStart w:id="21" w:name="abstract"/>
    <w:p>
      <w:pPr>
        <w:pStyle w:val="Heading2"/>
      </w:pPr>
      <w:r>
        <w:t xml:space="preserve">1.2</w:t>
      </w:r>
      <w:r>
        <w:t xml:space="preserve"> </w:t>
      </w:r>
      <w:r>
        <w:rPr>
          <w:i/>
          <w:iCs/>
        </w:rPr>
        <w:t xml:space="preserve">Abstract</w:t>
      </w:r>
    </w:p>
    <w:p>
      <w:pPr>
        <w:pStyle w:val="FirstParagraph"/>
      </w:pPr>
      <w:r>
        <w:rPr>
          <w:b/>
          <w:bCs/>
          <w:i/>
          <w:iCs/>
        </w:rPr>
        <w:t xml:space="preserve">Objectives.</w:t>
      </w:r>
      <w:r>
        <w:t xml:space="preserve"> </w:t>
      </w:r>
      <w:r>
        <w:rPr>
          <w:i/>
          <w:iCs/>
        </w:rPr>
        <w:t xml:space="preserve">To assess whether exposure to published election poll results changes vote intention or vote choice, in which direction (bandwagon or underdog), and whether it changes turnout.</w:t>
      </w:r>
    </w:p>
    <w:p>
      <w:pPr>
        <w:pStyle w:val="BodyText"/>
      </w:pPr>
      <w:r>
        <w:rPr>
          <w:b/>
          <w:bCs/>
          <w:i/>
          <w:iCs/>
        </w:rPr>
        <w:t xml:space="preserve">Methods.</w:t>
      </w:r>
      <w:r>
        <w:t xml:space="preserve"> </w:t>
      </w:r>
      <w:r>
        <w:rPr>
          <w:i/>
          <w:iCs/>
        </w:rPr>
        <w:t xml:space="preserve">Rapid systematic review with a protocol frozen before the search. We included experiments, natural experiments, quasi-experiments and panels published since 2010, in any language, on pre-election polls, aggregators or forecasts, exit polls and, by amendment, official partial vote counts. We searched OpenAlex and the Brazilian Digital Library of Theses and Dissertations on 19/09/2026, with citation searching up to 20/09/2026. Screening, eligibility, extraction, risk of bias (RoB 2, ROBINS-I V2, EPOC) and certainty (GRADE) were done by AI subagents without human validation. The synthesis (SWiM) counts effect directions in cells defined by format, outcome, comparator, target and design.</w:t>
      </w:r>
    </w:p>
    <w:p>
      <w:pPr>
        <w:pStyle w:val="BodyText"/>
      </w:pPr>
      <w:r>
        <w:rPr>
          <w:b/>
          <w:bCs/>
          <w:i/>
          <w:iCs/>
        </w:rPr>
        <w:t xml:space="preserve">Results.</w:t>
      </w:r>
      <w:r>
        <w:t xml:space="preserve"> </w:t>
      </w:r>
      <w:r>
        <w:rPr>
          <w:i/>
          <w:iCs/>
        </w:rPr>
        <w:t xml:space="preserve">We included 41 studies (55 reports); 27 entered the main synthesis, in 18 cells. In the two largest cells, 4 of 4 experiments pointed in the bandwagon direction (proportion 1.00; 95% CI 0.40 to 1.00; p = 0.125), but we are very uncertain whether seeing a poll increases support for whoever it shows ahead (very low certainty). Two exploratory meta-analyses, with 3 studies each, gave g = 0.48 (95% CI −1.51 to 2.47) and g = 0.62 (95% CI −0.48 to 1.72). Receiving a close rather than a lopsided poll probably does not change turnout by more than 2 percentage points (1 field experiment; moderate certainty). Having seen poll releases may increase turnout intention or turnout (2 studies; low certainty), and seeing forecasts far from 50:50 may reduce the decision to vote (1 study; low certainty). Evidence on exit polls is very uncertain. The only Brazilian study concerns official partial counts, not polls.</w:t>
      </w:r>
    </w:p>
    <w:p>
      <w:pPr>
        <w:pStyle w:val="BodyText"/>
      </w:pPr>
      <w:r>
        <w:rPr>
          <w:b/>
          <w:bCs/>
          <w:i/>
          <w:iCs/>
        </w:rPr>
        <w:t xml:space="preserve">Conclusions.</w:t>
      </w:r>
      <w:r>
        <w:t xml:space="preserve"> </w:t>
      </w:r>
      <w:r>
        <w:rPr>
          <w:i/>
          <w:iCs/>
        </w:rPr>
        <w:t xml:space="preserve">The dominant direction in experiments is bandwagon, with very low certainty and no estimate of magnitude. The evidence cannot tell how much polls change votes, nor that they do not, and there is no study of polls in Brazil.</w:t>
      </w:r>
    </w:p>
    <w:p>
      <w:pPr>
        <w:pStyle w:val="BodyText"/>
      </w:pPr>
      <w:r>
        <w:rPr>
          <w:b/>
          <w:bCs/>
          <w:i/>
          <w:iCs/>
        </w:rPr>
        <w:t xml:space="preserve">Registration and funding.</w:t>
      </w:r>
      <w:r>
        <w:t xml:space="preserve"> </w:t>
      </w:r>
      <w:r>
        <w:rPr>
          <w:i/>
          <w:iCs/>
        </w:rPr>
        <w:t xml:space="preserve">Not registered; protocol frozen with a sha256 hash in the log. No funding. Draft with 18 open human validation tasks.</w:t>
      </w:r>
    </w:p>
    <w:bookmarkEnd w:id="21"/>
    <w:bookmarkEnd w:id="22"/>
    <w:bookmarkStart w:id="33" w:name="contextualização"/>
    <w:p>
      <w:pPr>
        <w:pStyle w:val="Heading1"/>
      </w:pPr>
      <w:r>
        <w:t xml:space="preserve">2. Contextualização</w:t>
      </w:r>
    </w:p>
    <w:bookmarkStart w:id="25" w:name="o-problema-no-brasil"/>
    <w:p>
      <w:pPr>
        <w:pStyle w:val="Heading2"/>
      </w:pPr>
      <w:r>
        <w:t xml:space="preserve">2.1 O problema no Brasil</w:t>
      </w:r>
    </w:p>
    <w:p>
      <w:pPr>
        <w:pStyle w:val="FirstParagraph"/>
      </w:pPr>
      <w:r>
        <w:t xml:space="preserve">No Brasil, a Lei das Eleições obriga as entidades e empresas que realizam pesquisas eleitorais para conhecimento público a registrá-las na Justiça Eleitoral até cinco dias antes da divulgação, informando contratante, valor, metodologia, plano amostral, margem de erro e questionário. A divulgação sem registro é punida com multa, e a de pesquisa fraudulenta é crime</w:t>
      </w:r>
      <w:r>
        <w:t xml:space="preserve"> </w:t>
      </w:r>
      <w:r>
        <w:t xml:space="preserve">(Brasil. Presidência da República 1997)</w:t>
      </w:r>
      <w:r>
        <w:t xml:space="preserve">. A Resolução-TSE nº 23.600/2019 organiza o registro no sistema PesqEle, exige a assinatura do estatístico responsável e fixa a multa por divulgação sem registro entre R$ 53.205,00 e R$ 106.410,00</w:t>
      </w:r>
      <w:r>
        <w:t xml:space="preserve"> </w:t>
      </w:r>
      <w:r>
        <w:t xml:space="preserve">(Tribunal Superior Eleitoral 2019)</w:t>
      </w:r>
      <w:r>
        <w:t xml:space="preserve">.</w:t>
      </w:r>
    </w:p>
    <w:p>
      <w:pPr>
        <w:pStyle w:val="BodyText"/>
      </w:pPr>
      <w:r>
        <w:t xml:space="preserve">A regra atual não prevê período de silêncio. A minirreforma de 2006 (Lei nº 11.300/2006) incluiu na lei o art. 35-A, que vedava a divulgação de pesquisas do décimo quinto dia anterior até as 18 horas do dia da eleição. No mesmo ano, o Supremo Tribunal Federal julgou as ADIs 3.741, 3.742 e 3.743 e declarou o artigo inconstitucional, porque a vedação restringia o direito do eleitor à informação</w:t>
      </w:r>
      <w:r>
        <w:t xml:space="preserve"> </w:t>
      </w:r>
      <w:r>
        <w:t xml:space="preserve">(Supremo Tribunal Federal 2006)</w:t>
      </w:r>
      <w:r>
        <w:t xml:space="preserve">. O efeito das pesquisas sobre o voto não entrou nesse fundamento.</w:t>
      </w:r>
    </w:p>
    <w:p>
      <w:pPr>
        <w:pStyle w:val="BodyText"/>
      </w:pPr>
      <w:r>
        <w:t xml:space="preserve">O tema voltou à pauta depois do primeiro turno de 2022, quando o resultado das urnas se afastou das estimativas de vários institutos. Na Câmara, o PL nº 2.567/2022 propôs tipificar como crime a publicação de pesquisa que diverge do resultado apurado além da margem de erro</w:t>
      </w:r>
      <w:r>
        <w:t xml:space="preserve"> </w:t>
      </w:r>
      <w:r>
        <w:t xml:space="preserve">(Câmara dos Deputados 2022)</w:t>
      </w:r>
      <w:r>
        <w:t xml:space="preserve">. No Senado, o PL nº 2.558/2022 propôs punir as empresas nesse caso</w:t>
      </w:r>
      <w:r>
        <w:t xml:space="preserve"> </w:t>
      </w:r>
      <w:r>
        <w:t xml:space="preserve">(Senado Federal 2022)</w:t>
      </w:r>
      <w:r>
        <w:t xml:space="preserve">. Em 24/09/2026, o primeiro tramitava apensado ao PL nº 96/2011, pronto para pauta</w:t>
      </w:r>
      <w:r>
        <w:rPr>
          <w:rStyle w:val="FootnoteReference"/>
        </w:rPr>
        <w:footnoteReference w:id="23"/>
      </w:r>
      <w:r>
        <w:t xml:space="preserve"> </w:t>
      </w:r>
      <w:r>
        <w:t xml:space="preserve">e o segundo aguardava relator. Um requerimento de CPI sobre os institutos reuniu 30 assinaturas</w:t>
      </w:r>
      <w:r>
        <w:t xml:space="preserve"> </w:t>
      </w:r>
      <w:r>
        <w:t xml:space="preserve">(Agência Senado 2022)</w:t>
      </w:r>
      <w:r>
        <w:t xml:space="preserve">. O levantamento da ESOMAR e da WAPOR cita o Brasil entre os países em que lideranças cogitaram multar ou prender responsáveis por pesquisas que não batessem com as urnas. O mesmo levantamento mostra que a América Latina é a região com a maior proporção de países com embargo à divulgação, de sete dias na mediana</w:t>
      </w:r>
      <w:r>
        <w:t xml:space="preserve"> </w:t>
      </w:r>
      <w:r>
        <w:t xml:space="preserve">(Frankovic et al. 2023)</w:t>
      </w:r>
      <w:r>
        <w:t xml:space="preserve">.</w:t>
      </w:r>
    </w:p>
    <w:p>
      <w:pPr>
        <w:pStyle w:val="BodyText"/>
      </w:pPr>
      <w:r>
        <w:t xml:space="preserve">O debate sobre os</w:t>
      </w:r>
      <w:r>
        <w:t xml:space="preserve"> </w:t>
      </w:r>
      <w:r>
        <w:t xml:space="preserve">“erros das pesquisas”</w:t>
      </w:r>
      <w:r>
        <w:t xml:space="preserve"> </w:t>
      </w:r>
      <w:r>
        <w:t xml:space="preserve">mistura duas coisas. A primeira é a precisão.</w:t>
      </w:r>
      <w:r>
        <w:t xml:space="preserve"> </w:t>
      </w:r>
      <w:r>
        <w:t xml:space="preserve">Meireles e Russo (2022)</w:t>
      </w:r>
      <w:r>
        <w:t xml:space="preserve"> </w:t>
      </w:r>
      <w:r>
        <w:t xml:space="preserve">analisaram mais de 2 mil pesquisas registradas em cinco eleições brasileiras de 2012 a 2020 e mostram que a precisão melhora perto do dia da eleição e com amostras maiores, com desempenho comparável ao de outros países. A segunda é a mudança de opinião.</w:t>
      </w:r>
      <w:r>
        <w:t xml:space="preserve"> </w:t>
      </w:r>
      <w:r>
        <w:t xml:space="preserve">Pereira e Nunes (2024)</w:t>
      </w:r>
      <w:r>
        <w:t xml:space="preserve"> </w:t>
      </w:r>
      <w:r>
        <w:t xml:space="preserve">atribuem parte da distância entre pesquisas e urnas no primeiro turno de 2022 a mudanças reais de voto na reta final, por voto estratégico e pela decisão tardia de indecisos. Nos cenários de realocação, a diferença de cerca de 10 pontos percentuais cai para 7,4 a 7,9 pontos. Nenhuma das duas questões é a desta revisão, que pergunta se ver uma pesquisa muda o voto de quem a vê.</w:t>
      </w:r>
    </w:p>
    <w:bookmarkEnd w:id="25"/>
    <w:bookmarkStart w:id="26" w:name="conceitos"/>
    <w:p>
      <w:pPr>
        <w:pStyle w:val="Heading2"/>
      </w:pPr>
      <w:r>
        <w:t xml:space="preserve">2.2 Conceitos</w:t>
      </w:r>
    </w:p>
    <w:p>
      <w:pPr>
        <w:pStyle w:val="FirstParagraph"/>
      </w:pPr>
      <w:r>
        <w:t xml:space="preserve">Seguimos a distinção conceitual de</w:t>
      </w:r>
      <w:r>
        <w:t xml:space="preserve"> </w:t>
      </w:r>
      <w:r>
        <w:t xml:space="preserve">Barnfield (2020)</w:t>
      </w:r>
      <w:r>
        <w:t xml:space="preserve">. O efeito</w:t>
      </w:r>
      <w:r>
        <w:t xml:space="preserve"> </w:t>
      </w:r>
      <w:r>
        <w:rPr>
          <w:i/>
          <w:iCs/>
        </w:rPr>
        <w:t xml:space="preserve">bandwagon</w:t>
      </w:r>
      <w:r>
        <w:t xml:space="preserve"> </w:t>
      </w:r>
      <w:r>
        <w:t xml:space="preserve">é uma mudança, no nível individual, da escolha de voto ou da decisão de comparecer, na direção de quem está mais popular ou ganhando popularidade, motivada por essa popularidade. O</w:t>
      </w:r>
      <w:r>
        <w:t xml:space="preserve"> </w:t>
      </w:r>
      <w:r>
        <w:rPr>
          <w:i/>
          <w:iCs/>
        </w:rPr>
        <w:t xml:space="preserve">underdog</w:t>
      </w:r>
      <w:r>
        <w:t xml:space="preserve"> </w:t>
      </w:r>
      <w:r>
        <w:t xml:space="preserve">é o padrão oposto, a favor de quem está atrás. O voto estratégico pode produzir padrões parecidos por outro caminho. Nesse caso, o eleitor abandona uma opção sem chance para não desperdiçar o voto, sem que a popularidade em si o atraia. Barnfield separa ainda (i) o</w:t>
      </w:r>
      <w:r>
        <w:t xml:space="preserve"> </w:t>
      </w:r>
      <w:r>
        <w:rPr>
          <w:i/>
          <w:iCs/>
        </w:rPr>
        <w:t xml:space="preserve">bandwagon</w:t>
      </w:r>
      <w:r>
        <w:t xml:space="preserve"> </w:t>
      </w:r>
      <w:r>
        <w:t xml:space="preserve">estático, que responde ao nível de apoio num momento, do dinâmico, que responde à variação do apoio; e (ii) a conversão, que muda a preferência, da mobilização, que muda a propensão a votar.</w:t>
      </w:r>
    </w:p>
    <w:p>
      <w:pPr>
        <w:pStyle w:val="BodyText"/>
      </w:pPr>
      <w:r>
        <w:t xml:space="preserve">Na síntese, essas distinções viraram células separadas. O apoio a quem aparece à frente é o efeito sobre o candidato, partido ou opção de referendo que a pesquisa mostra na liderança. A viabilidade reúne os efeitos sobre o segundo colocado viável, o terceiro sem chance ou o partido perto da cláusula de barreira, que é onde aparece o voto estratégico. O</w:t>
      </w:r>
      <w:r>
        <w:t xml:space="preserve"> </w:t>
      </w:r>
      <w:r>
        <w:rPr>
          <w:i/>
          <w:iCs/>
        </w:rPr>
        <w:t xml:space="preserve">momentum</w:t>
      </w:r>
      <w:r>
        <w:t xml:space="preserve"> </w:t>
      </w:r>
      <w:r>
        <w:t xml:space="preserve">reúne os efeitos de uma pesquisa que mostra uma legenda ganhando apoio sem mostrar sua posição, algo próximo do</w:t>
      </w:r>
      <w:r>
        <w:t xml:space="preserve"> </w:t>
      </w:r>
      <w:r>
        <w:rPr>
          <w:i/>
          <w:iCs/>
        </w:rPr>
        <w:t xml:space="preserve">bandwagon</w:t>
      </w:r>
      <w:r>
        <w:t xml:space="preserve"> </w:t>
      </w:r>
      <w:r>
        <w:t xml:space="preserve">dinâmico. A mobilização é o efeito sobre o comparecimento e, quando ele cai, falamos de desmobilização.</w:t>
      </w:r>
    </w:p>
    <w:bookmarkEnd w:id="26"/>
    <w:bookmarkStart w:id="28" w:name="pergunta-e-picoc"/>
    <w:p>
      <w:pPr>
        <w:pStyle w:val="Heading2"/>
      </w:pPr>
      <w:r>
        <w:t xml:space="preserve">2.3 Pergunta e PICOC</w:t>
      </w:r>
    </w:p>
    <w:p>
      <w:pPr>
        <w:pStyle w:val="FirstParagraph"/>
      </w:pPr>
      <w:r>
        <w:t xml:space="preserve">No formato X → Y, a pergunta principal é se a exposição a resultados de pesquisas eleitorais publicadas (X) altera a intenção ou a escolha de voto do eleitorado (Y), em comparação com a não exposição ou com a exposição a outro resultado, e em que direção. As perguntas secundárias tratam do comparecimento, dos mecanismos, dos moderadores e da diferença entre Brasil e América Latina e as demais regiões. Trata-se de uma avaliação</w:t>
      </w:r>
      <w:r>
        <w:t xml:space="preserve"> </w:t>
      </w:r>
      <w:r>
        <w:rPr>
          <w:i/>
          <w:iCs/>
        </w:rPr>
        <w:t xml:space="preserve">ex post</w:t>
      </w:r>
      <w:r>
        <w:t xml:space="preserve"> </w:t>
      </w:r>
      <w:r>
        <w:t xml:space="preserve">de um fenômeno, e não de um programa.</w:t>
      </w:r>
    </w:p>
    <w:tbl>
      <w:tblPr>
        <w:tblStyle w:val="Table"/>
        <w:tblW w:type="pct" w:w="5000"/>
        <w:tblLayout w:type="fixed"/>
        <w:tblLook w:firstRow="0" w:lastRow="0" w:firstColumn="0" w:lastColumn="0" w:noHBand="0" w:noVBand="0" w:val="0000"/>
      </w:tblPr>
      <w:tblGrid>
        <w:gridCol w:w="7920"/>
      </w:tblGrid>
      <w:tr>
        <w:tc>
          <w:tcPr/>
          <w:bookmarkStart w:id="27" w:name="tbl-picoc"/>
          <w:p>
            <w:pPr>
              <w:jc w:val="center"/>
            </w:pPr>
            <w:pPr>
              <w:jc w:val="left"/>
              <w:spacing w:before="200"/>
              <w:pStyle w:val="ImageCaption"/>
            </w:pPr>
            <w:r>
              <w:t xml:space="preserve">Tabela 1: Pergunta no formato PICOC (</w:t>
            </w:r>
            <w:r>
              <w:rPr>
                <w:rStyle w:val="VerbatimChar"/>
              </w:rPr>
              <w:t xml:space="preserve">00-protocolo/pergunta.md</w:t>
            </w:r>
            <w:r>
              <w:t xml:space="preserve"> </w:t>
            </w:r>
            <w:r>
              <w:t xml:space="preserve">e protocolo, seção 2).</w:t>
            </w:r>
          </w:p>
          <w:tbl>
            <w:tblPr>
              <w:tblStyle w:val="Table"/>
              <w:tblW w:type="pct" w:w="5000"/>
              <w:tblLayout w:type="fixed"/>
              <w:tblLook w:firstRow="1" w:lastRow="0" w:firstColumn="0" w:lastColumn="0" w:noHBand="0" w:noVBand="0" w:val="0020"/>
            </w:tblPr>
            <w:tblGrid>
              <w:gridCol w:w="1425"/>
              <w:gridCol w:w="6494"/>
            </w:tblGrid>
            <w:tr>
              <w:trPr>
                <w:tblHeader w:val="on"/>
              </w:trPr>
              <w:tc>
                <w:tcPr/>
                <w:p>
                  <w:pPr>
                    <w:pStyle w:val="Compact"/>
                    <w:jc w:val="center"/>
                  </w:pPr>
                  <w:r>
                    <w:t xml:space="preserve">Elemento</w:t>
                  </w:r>
                </w:p>
              </w:tc>
              <w:tc>
                <w:tcPr/>
                <w:p>
                  <w:pPr>
                    <w:pStyle w:val="Compact"/>
                    <w:jc w:val="center"/>
                  </w:pPr>
                  <w:r>
                    <w:t xml:space="preserve">Definição</w:t>
                  </w:r>
                </w:p>
              </w:tc>
            </w:tr>
            <w:tr>
              <w:tc>
                <w:tcPr/>
                <w:p>
                  <w:pPr>
                    <w:pStyle w:val="Compact"/>
                    <w:jc w:val="center"/>
                  </w:pPr>
                  <w:r>
                    <w:t xml:space="preserve">População (P)</w:t>
                  </w:r>
                </w:p>
              </w:tc>
              <w:tc>
                <w:tcPr/>
                <w:p>
                  <w:pPr>
                    <w:pStyle w:val="Compact"/>
                    <w:jc w:val="center"/>
                  </w:pPr>
                  <w:r>
                    <w:t xml:space="preserve">Eleitores ou participantes que escolhem entre candidatos, partidos ou opções de referendo, em eleição real, hipotética ou de laboratório (inclusive com preferências induzidas), em qualquer país; unidades eleitorais agregadas</w:t>
                  </w:r>
                </w:p>
              </w:tc>
            </w:tr>
            <w:tr>
              <w:tc>
                <w:tcPr/>
                <w:p>
                  <w:pPr>
                    <w:pStyle w:val="Compact"/>
                    <w:jc w:val="center"/>
                  </w:pPr>
                  <w:r>
                    <w:t xml:space="preserve">Exposição (I)</w:t>
                  </w:r>
                </w:p>
              </w:tc>
              <w:tc>
                <w:tcPr/>
                <w:p>
                  <w:pPr>
                    <w:pStyle w:val="Compact"/>
                    <w:jc w:val="center"/>
                  </w:pPr>
                  <w:r>
                    <w:t xml:space="preserve">Contato com resultado de pesquisa eleitoral, em três formatos: pesquisa pré-eleitoral, agregador ou projeção e boca de urna divulgada antes do fechamento das urnas; pela Emenda 1, também a divulgação oficial de apuração parcial durante a votação. Vale a exposição manipulada, a variação natural identificada e a exposição medida no indivíduo</w:t>
                  </w:r>
                </w:p>
              </w:tc>
            </w:tr>
            <w:tr>
              <w:tc>
                <w:tcPr/>
                <w:p>
                  <w:pPr>
                    <w:pStyle w:val="Compact"/>
                    <w:jc w:val="center"/>
                  </w:pPr>
                  <w:r>
                    <w:t xml:space="preserve">Comparador (C)</w:t>
                  </w:r>
                </w:p>
              </w:tc>
              <w:tc>
                <w:tcPr/>
                <w:p>
                  <w:pPr>
                    <w:pStyle w:val="Compact"/>
                    <w:jc w:val="center"/>
                  </w:pPr>
                  <w:r>
                    <w:t xml:space="preserve">Nenhuma pesquisa; o mesmo candidato mostrado atrás; outro resultado de pesquisa; antes e depois de uma proibição; unidades não expostas</w:t>
                  </w:r>
                </w:p>
              </w:tc>
            </w:tr>
            <w:tr>
              <w:tc>
                <w:tcPr/>
                <w:p>
                  <w:pPr>
                    <w:pStyle w:val="Compact"/>
                    <w:jc w:val="center"/>
                  </w:pPr>
                  <w:r>
                    <w:t xml:space="preserve">Desfechos (O)</w:t>
                  </w:r>
                </w:p>
              </w:tc>
              <w:tc>
                <w:tcPr/>
                <w:p>
                  <w:pPr>
                    <w:pStyle w:val="Compact"/>
                    <w:jc w:val="center"/>
                  </w:pPr>
                  <w:r>
                    <w:t xml:space="preserve">Apoio a quem a pesquisa mostra à frente (intenção de voto, escolha declarada ou incentivada, votação agregada), com sinal positivo para</w:t>
                  </w:r>
                  <w:r>
                    <w:t xml:space="preserve"> </w:t>
                  </w:r>
                  <w:r>
                    <w:rPr>
                      <w:i/>
                      <w:iCs/>
                    </w:rPr>
                    <w:t xml:space="preserve">bandwagon</w:t>
                  </w:r>
                  <w:r>
                    <w:t xml:space="preserve">; comparecimento (declarado, validado, agregado ou intenção), com sinal negativo para desmobilização</w:t>
                  </w:r>
                </w:p>
              </w:tc>
            </w:tr>
            <w:tr>
              <w:tc>
                <w:tcPr/>
                <w:p>
                  <w:pPr>
                    <w:pStyle w:val="Compact"/>
                    <w:jc w:val="center"/>
                  </w:pPr>
                  <w:r>
                    <w:t xml:space="preserve">Contexto (Co)</w:t>
                  </w:r>
                </w:p>
              </w:tc>
              <w:tc>
                <w:tcPr/>
                <w:p>
                  <w:pPr>
                    <w:pStyle w:val="Compact"/>
                    <w:jc w:val="center"/>
                  </w:pPr>
                  <w:r>
                    <w:t xml:space="preserve">Estudos primários publicados desde 2010, em qualquer idioma; Brasil e América Latina marcados para a análise regional</w:t>
                  </w:r>
                </w:p>
              </w:tc>
            </w:tr>
          </w:tbl>
          <w:bookmarkEnd w:id="27"/>
          <w:p/>
        </w:tc>
      </w:tr>
    </w:tbl>
    <w:bookmarkEnd w:id="28"/>
    <w:bookmarkStart w:id="31" w:name="X1af0422fff66017d85631c16fc9325d9db1fd13"/>
    <w:p>
      <w:pPr>
        <w:pStyle w:val="Heading2"/>
      </w:pPr>
      <w:r>
        <w:t xml:space="preserve">2.4 Revisões anteriores e o que esta acrescenta</w:t>
      </w:r>
    </w:p>
    <w:p>
      <w:pPr>
        <w:pStyle w:val="FirstParagraph"/>
      </w:pPr>
      <w:r>
        <w:t xml:space="preserve">A última síntese formal que encontramos é a de</w:t>
      </w:r>
      <w:r>
        <w:t xml:space="preserve"> </w:t>
      </w:r>
      <w:r>
        <w:t xml:space="preserve">Hardmeier (2008)</w:t>
      </w:r>
      <w:r>
        <w:t xml:space="preserve">, um capítulo que a checagem do protocolo classificou como síntese com meta-análise. Como o texto não é aberto, não pudemos verificar seu período de busca nem suas conclusões específicas.</w:t>
      </w:r>
      <w:r>
        <w:t xml:space="preserve"> </w:t>
      </w:r>
      <w:r>
        <w:t xml:space="preserve">Moy e Rinke (2012)</w:t>
      </w:r>
      <w:r>
        <w:t xml:space="preserve"> </w:t>
      </w:r>
      <w:r>
        <w:t xml:space="preserve">fizeram uma revisão narrativa, sem protocolo nem busca sistemática, e</w:t>
      </w:r>
      <w:r>
        <w:t xml:space="preserve"> </w:t>
      </w:r>
      <w:r>
        <w:t xml:space="preserve">Barnfield (2020)</w:t>
      </w:r>
      <w:r>
        <w:t xml:space="preserve">, uma revisão conceitual. Na checagem de 19/09/2026 (OpenAlex, OSF Registries e BDTD), não achamos síntese posterior a 2008 sobre o efeito de pesquisas publicadas no voto, nem revisão registrada em andamento. Esta revisão atualiza a evidência com protocolo, busca documentada, risco de viés por desenho e certeza por célula, e acrescenta uma leitura dirigida ao Brasil. O formato segue as revisões</w:t>
      </w:r>
      <w:r>
        <w:t xml:space="preserve"> </w:t>
      </w:r>
      <w:r>
        <w:rPr>
          <w:i/>
          <w:iCs/>
        </w:rPr>
        <w:t xml:space="preserve">O que funciona?</w:t>
      </w:r>
      <w:r>
        <w:t xml:space="preserve"> </w:t>
      </w:r>
      <w:r>
        <w:t xml:space="preserve">do MAPE</w:t>
      </w:r>
      <w:r>
        <w:rPr>
          <w:rStyle w:val="FootnoteReference"/>
        </w:rPr>
        <w:footnoteReference w:id="29"/>
      </w:r>
      <w:r>
        <w:t xml:space="preserve">, adaptado para uma exposição que não é política pública, e a estrutura das revisões da Campbell Collaboration e do PRISMA 2020.</w:t>
      </w:r>
    </w:p>
    <w:bookmarkEnd w:id="31"/>
    <w:bookmarkStart w:id="32" w:name="teoria-da-mudança"/>
    <w:p>
      <w:pPr>
        <w:pStyle w:val="Heading2"/>
      </w:pPr>
      <w:r>
        <w:t xml:space="preserve">2.5 Teoria da mudança</w:t>
      </w:r>
    </w:p>
    <w:p>
      <w:pPr>
        <w:pStyle w:val="FirstParagraph"/>
      </w:pPr>
      <w:r>
        <w:t xml:space="preserve">A teoria da exposição do protocolo (</w:t>
      </w:r>
      <w:r>
        <w:rPr>
          <w:rStyle w:val="VerbatimChar"/>
        </w:rPr>
        <w:t xml:space="preserve">00-protocolo/teoria_programa.md</w:t>
      </w:r>
      <w:r>
        <w:t xml:space="preserve"> </w:t>
      </w:r>
      <w:r>
        <w:t xml:space="preserve">e o DAG</w:t>
      </w:r>
      <w:r>
        <w:t xml:space="preserve"> </w:t>
      </w:r>
      <w:r>
        <w:rPr>
          <w:rStyle w:val="VerbatimChar"/>
        </w:rPr>
        <w:t xml:space="preserve">dag_v1.mmd</w:t>
      </w:r>
      <w:r>
        <w:t xml:space="preserve">) parte do eleitor que vê a pesquisa e atualiza a expectativa de quem vence, isto é, a percepção de viabilidade. Dali saem canais rivais. O cálculo estratégico, a heurística de consenso (</w:t>
      </w:r>
      <w:r>
        <w:t xml:space="preserve">“se muitos apoiam, deve ser bom”</w:t>
      </w:r>
      <w:r>
        <w:t xml:space="preserve">) e a conformidade levam ao</w:t>
      </w:r>
      <w:r>
        <w:t xml:space="preserve"> </w:t>
      </w:r>
      <w:r>
        <w:rPr>
          <w:i/>
          <w:iCs/>
        </w:rPr>
        <w:t xml:space="preserve">bandwagon</w:t>
      </w:r>
      <w:r>
        <w:t xml:space="preserve">. A simpatia pelo azarão e a preocupação com equidade levam ao</w:t>
      </w:r>
      <w:r>
        <w:t xml:space="preserve"> </w:t>
      </w:r>
      <w:r>
        <w:rPr>
          <w:i/>
          <w:iCs/>
        </w:rPr>
        <w:t xml:space="preserve">underdog</w:t>
      </w:r>
      <w:r>
        <w:t xml:space="preserve">. As emoções de campanha têm direção ambígua. Há ainda um canal não intencional, a complacência, que pode reduzir o comparecimento de quem acha a eleição decidida, e atores interessados podem divulgar pesquisas enviesadas para induzir o efeito. Nos desenhos observacionais, o apoio latente da população move ao mesmo tempo a pesquisa e o voto, e o interesse político move a exposição e o voto. São esses os confundidores que o risco de viés precisa examinar. Como os canais têm sinais opostos, um efeito médio perto de zero não significa que ninguém mude de voto.</w:t>
      </w:r>
    </w:p>
    <w:bookmarkEnd w:id="32"/>
    <w:bookmarkEnd w:id="33"/>
    <w:bookmarkStart w:id="50" w:name="sec-efeito"/>
    <w:p>
      <w:pPr>
        <w:pStyle w:val="Heading1"/>
      </w:pPr>
      <w:r>
        <w:t xml:space="preserve">3. Efeito: a exposição a pesquisas muda o voto e o comparecimento?</w:t>
      </w:r>
    </w:p>
    <w:p>
      <w:pPr>
        <w:pStyle w:val="FirstParagraph"/>
      </w:pPr>
      <w:r>
        <w:t xml:space="preserve">De saída, dos 41 estudos incluídos, 40 têm efeitos extraídos (560 no total) e 37 têm ao menos um efeito principal. A síntese principal reúne 27 estudos em 18 células com estudo. Ficaram fora dela 3 estudos em risco de viés crítico</w:t>
      </w:r>
      <w:r>
        <w:t xml:space="preserve"> </w:t>
      </w:r>
      <w:r>
        <w:t xml:space="preserve">(Gasperoni e Mantovani 2015; Kaplan 2019; Unkelbach et al. 2022)</w:t>
      </w:r>
      <w:r>
        <w:t xml:space="preserve"> </w:t>
      </w:r>
      <w:r>
        <w:t xml:space="preserve">e 7 cujos efeitos principais não estimam o contraste da exposição ou aguardam conferência</w:t>
      </w:r>
      <w:r>
        <w:t xml:space="preserve"> </w:t>
      </w:r>
      <w:r>
        <w:t xml:space="preserve">(Alabrese e Fetzer 2024; Bursztyn et al. 2023; Gandhi e Ong 2019; Geers et al. 2018; Lago et al. 2015; Meffert e Gschwend 2011; Urminsky e Shen 2019)</w:t>
      </w:r>
      <w:r>
        <w:t xml:space="preserve">, que entram só nas sensibilidades e na leitura de mecanismos. O contexto é real em 25 dos 41 estudos, com preferências induzidas em 9 e hipotético em 7. A</w:t>
      </w:r>
      <w:r>
        <w:t xml:space="preserve"> </w:t>
      </w:r>
      <w:hyperlink w:anchor="tbl-swim">
        <w:r>
          <w:rPr>
            <w:rStyle w:val="Hyperlink"/>
          </w:rPr>
          <w:t xml:space="preserve">Tabela 2</w:t>
        </w:r>
      </w:hyperlink>
      <w:r>
        <w:t xml:space="preserve"> </w:t>
      </w:r>
      <w:r>
        <w:t xml:space="preserve">resume as células. Note que a proporção conta os estudos na direção positiva entre os que têm direção definida.</w:t>
      </w:r>
    </w:p>
    <w:tbl>
      <w:tblPr>
        <w:tblStyle w:val="Table"/>
        <w:tblW w:type="pct" w:w="5000"/>
        <w:tblLayout w:type="fixed"/>
        <w:tblLook w:firstRow="0" w:lastRow="0" w:firstColumn="0" w:lastColumn="0" w:noHBand="0" w:noVBand="0" w:val="0000"/>
      </w:tblPr>
      <w:tblGrid>
        <w:gridCol w:w="7920"/>
      </w:tblGrid>
      <w:tr>
        <w:tc>
          <w:tcPr/>
          <w:bookmarkStart w:id="34" w:name="tbl-swim"/>
          <w:p>
            <w:pPr>
              <w:jc w:val="center"/>
            </w:pPr>
            <w:pPr>
              <w:jc w:val="left"/>
              <w:spacing w:before="200"/>
              <w:pStyle w:val="ImageCaption"/>
            </w:pPr>
            <w:r>
              <w:t xml:space="preserve">Tabela 2: SWiM principal por célula do protocolo (</w:t>
            </w:r>
            <w:r>
              <w:rPr>
                <w:rStyle w:val="VerbatimChar"/>
              </w:rPr>
              <w:t xml:space="preserve">06-analise/swim_principal/swim_resumo.json</w:t>
            </w:r>
            <w:r>
              <w:t xml:space="preserve">, sem risco crítico). Proporção = estudos na direção positiva entre os estudos com direção definida (nulos e mistos fora do denominador), com IC 95% de Clopper-Pearson; p do teste de sinal binomial exato bilateral. Certeza de</w:t>
            </w:r>
            <w:r>
              <w:t xml:space="preserve"> </w:t>
            </w:r>
            <w:r>
              <w:rPr>
                <w:rStyle w:val="VerbatimChar"/>
              </w:rPr>
              <w:t xml:space="preserve">06-analise/certeza.csv</w:t>
            </w:r>
            <w:r>
              <w:t xml:space="preserve">, sobre a direção, rascunho de IA não validado.</w:t>
            </w:r>
          </w:p>
          <w:tbl>
            <w:tblPr>
              <w:tblStyle w:val="Table"/>
              <w:tblW w:type="pct" w:w="5000"/>
              <w:tblLayout w:type="fixed"/>
              <w:tblLook w:firstRow="1" w:lastRow="0" w:firstColumn="0" w:lastColumn="0" w:noHBand="0" w:noVBand="0" w:val="0020"/>
            </w:tblPr>
            <w:tblGrid>
              <w:gridCol w:w="871"/>
              <w:gridCol w:w="950"/>
              <w:gridCol w:w="871"/>
              <w:gridCol w:w="712"/>
              <w:gridCol w:w="1584"/>
              <w:gridCol w:w="1108"/>
              <w:gridCol w:w="871"/>
              <w:gridCol w:w="396"/>
              <w:gridCol w:w="554"/>
            </w:tblGrid>
            <w:tr>
              <w:trPr>
                <w:tblHeader w:val="on"/>
              </w:trPr>
              <w:tc>
                <w:tcPr/>
                <w:p>
                  <w:pPr>
                    <w:pStyle w:val="Compact"/>
                    <w:jc w:val="center"/>
                  </w:pPr>
                  <w:r>
                    <w:t xml:space="preserve">Exposição</w:t>
                  </w:r>
                </w:p>
              </w:tc>
              <w:tc>
                <w:tcPr/>
                <w:p>
                  <w:pPr>
                    <w:pStyle w:val="Compact"/>
                    <w:jc w:val="center"/>
                  </w:pPr>
                  <w:r>
                    <w:t xml:space="preserve">Desfecho (célula de 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c>
                <w:tcPr/>
                <w:p>
                  <w:pPr>
                    <w:pStyle w:val="Compact"/>
                    <w:jc w:val="center"/>
                  </w:pPr>
                  <w:r>
                    <w:t xml:space="preserve">Certeza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mesmo candidato atrás</w:t>
                  </w:r>
                </w:p>
              </w:tc>
              <w:tc>
                <w:tcPr/>
                <w:p>
                  <w:pPr>
                    <w:pStyle w:val="Compact"/>
                    <w:jc w:val="center"/>
                  </w:pPr>
                  <w:r>
                    <w:t xml:space="preserve">randomizado</w:t>
                  </w:r>
                </w:p>
              </w:tc>
              <w:tc>
                <w:tcPr/>
                <w:p>
                  <w:pPr>
                    <w:pStyle w:val="Compact"/>
                    <w:jc w:val="center"/>
                  </w:pPr>
                  <w:r>
                    <w:t xml:space="preserve">Tal et al. (2015)</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Witsman (2016)</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Feltovich e Giovannoni (2022)</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Boukouras et al. (2020)</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Schlegel et al. (2023)</w:t>
                  </w:r>
                  <w:r>
                    <w:t xml:space="preserve">;</w:t>
                  </w:r>
                  <w:r>
                    <w:t xml:space="preserve"> </w:t>
                  </w:r>
                  <w:r>
                    <w:t xml:space="preserve">Fredén et al.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Cornejo (2023)</w:t>
                  </w:r>
                </w:p>
              </w:tc>
              <w:tc>
                <w:tcPr/>
                <w:p>
                  <w:pPr>
                    <w:pStyle w:val="Compact"/>
                    <w:jc w:val="center"/>
                  </w:pPr>
                  <w:r>
                    <w:t xml:space="preserve">1 viabilidade;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w:t>
                  </w:r>
                </w:p>
              </w:tc>
              <w:tc>
                <w:tcPr/>
                <w:p>
                  <w:pPr>
                    <w:pStyle w:val="Compact"/>
                    <w:jc w:val="center"/>
                  </w:pPr>
                  <w:r>
                    <w:t xml:space="preserve">randomizado</w:t>
                  </w:r>
                </w:p>
              </w:tc>
              <w:tc>
                <w:tcPr/>
                <w:p>
                  <w:pPr>
                    <w:pStyle w:val="Compact"/>
                    <w:jc w:val="center"/>
                  </w:pPr>
                  <w:r>
                    <w:t xml:space="preserve">Meer et al. (2015)</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Dahlgaard et al. (2016)</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Gerber et al. (2020)</w:t>
                  </w:r>
                </w:p>
              </w:tc>
              <w:tc>
                <w:tcPr/>
                <w:p>
                  <w:pPr>
                    <w:pStyle w:val="Compact"/>
                    <w:jc w:val="center"/>
                  </w:pPr>
                  <w:r>
                    <w:t xml:space="preserve">0 mobilização; 0 desmobilização; 1 nulo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moderada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Klor e Winter (2017)</w:t>
                  </w:r>
                </w:p>
              </w:tc>
              <w:tc>
                <w:tcPr/>
                <w:p>
                  <w:pPr>
                    <w:pStyle w:val="Compact"/>
                    <w:jc w:val="center"/>
                  </w:pPr>
                  <w:r>
                    <w:t xml:space="preserve">1 mobilização; 0 desmobilização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Erlich (2023)</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p>
              </w:tc>
              <w:tc>
                <w:tcPr/>
                <w:p>
                  <w:pPr>
                    <w:pStyle w:val="Compact"/>
                    <w:jc w:val="center"/>
                  </w:pPr>
                  <w:r>
                    <w:t xml:space="preserve">2 mobilização; 0 desmobilização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baixa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Westwood et al. (2020)</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baixa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nenhum (fora, risco crítico:</w:t>
                  </w:r>
                  <w:r>
                    <w:t xml:space="preserve"> </w:t>
                  </w:r>
                  <w:r>
                    <w:t xml:space="preserve">Kaplan (2019)</w:t>
                  </w:r>
                  <w:r>
                    <w:t xml:space="preserve">)</w:t>
                  </w:r>
                </w:p>
              </w:tc>
              <w:tc>
                <w:tcPr/>
                <w:p>
                  <w:pPr>
                    <w:pStyle w:val="Compact"/>
                    <w:jc w:val="center"/>
                  </w:pPr>
                  <w:r>
                    <w:t xml:space="preserve">nenhum estudo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não julgada (célula vazia)</w:t>
                  </w:r>
                </w:p>
              </w:tc>
            </w:tr>
            <w:tr>
              <w:tc>
                <w:tcPr/>
                <w:p>
                  <w:pPr>
                    <w:pStyle w:val="Compact"/>
                    <w:jc w:val="center"/>
                  </w:pPr>
                  <w:r>
                    <w:t xml:space="preserve">boca de urna</w:t>
                  </w:r>
                </w:p>
              </w:tc>
              <w:tc>
                <w:tcPr/>
                <w:p>
                  <w:pPr>
                    <w:pStyle w:val="Compact"/>
                    <w:jc w:val="center"/>
                  </w:pPr>
                  <w:r>
                    <w:t xml:space="preserve">apoio (principal)</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0,50 (0,01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0 mobilização; 1 desmobilização; 1 misto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Grillo e Raiber (2024)</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outro</w:t>
                  </w:r>
                </w:p>
              </w:tc>
              <w:tc>
                <w:tcPr/>
                <w:p>
                  <w:pPr>
                    <w:pStyle w:val="Compact"/>
                    <w:jc w:val="center"/>
                  </w:pPr>
                  <w:r>
                    <w:t xml:space="preserve">apoio (principal)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Araujo e Gatto (2021)</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bl>
          <w:bookmarkEnd w:id="34"/>
          <w:p/>
        </w:tc>
      </w:tr>
    </w:tbl>
    <w:bookmarkStart w:id="43" w:name="sec-apoio"/>
    <w:p>
      <w:pPr>
        <w:pStyle w:val="Heading2"/>
      </w:pPr>
      <w:r>
        <w:t xml:space="preserve">3.1 Apoio a quem aparece à frente</w:t>
      </w:r>
    </w:p>
    <w:p>
      <w:pPr>
        <w:pStyle w:val="FirstParagraph"/>
      </w:pPr>
      <w:r>
        <w:rPr>
          <w:b/>
          <w:bCs/>
        </w:rPr>
        <w:t xml:space="preserve">Mostrar uma pesquisa, frente a não mostrar.</w:t>
      </w:r>
      <w:r>
        <w:t xml:space="preserve"> </w:t>
      </w:r>
      <w:r>
        <w:t xml:space="preserve">Quatro experimentos</w:t>
      </w:r>
      <w:r>
        <w:t xml:space="preserve"> </w:t>
      </w:r>
      <w:r>
        <w:t xml:space="preserve">(Agranov et al. 2017; Farjam 2020; Timotei 2013; Tyszler e Schram 2015)</w:t>
      </w:r>
      <w:r>
        <w:t xml:space="preserve">, todos com algumas preocupações de risco de viés, foram na direção</w:t>
      </w:r>
      <w:r>
        <w:t xml:space="preserve"> </w:t>
      </w:r>
      <w:r>
        <w:rPr>
          <w:i/>
          <w:iCs/>
        </w:rPr>
        <w:t xml:space="preserve">bandwagon</w:t>
      </w:r>
      <w:r>
        <w:t xml:space="preserve"> </w:t>
      </w:r>
      <w:r>
        <w:t xml:space="preserve">(proporção 1,00; IC 95% 0,40 a 1,00; teste de sinal p = 0,125). Três usaram laboratório com preferências induzidas ou vinheta hipotética, e só</w:t>
      </w:r>
      <w:r>
        <w:t xml:space="preserve"> </w:t>
      </w:r>
      <w:r>
        <w:t xml:space="preserve">Farjam (2020)</w:t>
      </w:r>
      <w:r>
        <w:t xml:space="preserve"> </w:t>
      </w:r>
      <w:r>
        <w:t xml:space="preserve">usou partidos e organizações reais. Em</w:t>
      </w:r>
      <w:r>
        <w:t xml:space="preserve"> </w:t>
      </w:r>
      <w:r>
        <w:t xml:space="preserve">Agranov et al. (2017)</w:t>
      </w:r>
      <w:r>
        <w:t xml:space="preserve"> </w:t>
      </w:r>
      <w:r>
        <w:t xml:space="preserve">e</w:t>
      </w:r>
      <w:r>
        <w:t xml:space="preserve"> </w:t>
      </w:r>
      <w:r>
        <w:t xml:space="preserve">Tyszler e Schram (2015)</w:t>
      </w:r>
      <w:r>
        <w:t xml:space="preserve">, o desfecho é o resultado da eleição do grupo, e não o voto individual. A evidência é muito incerta sobre se mostrar uma pesquisa, frente a não mostrar, aumenta o apoio a quem ela mostra à frente (certeza muito baixa).</w:t>
      </w:r>
    </w:p>
    <w:p>
      <w:pPr>
        <w:pStyle w:val="BodyText"/>
      </w:pPr>
      <w:r>
        <w:t xml:space="preserve">A meta-análise exploratória dessa célula reuniu os três estudos com g calculado</w:t>
      </w:r>
      <w:r>
        <w:t xml:space="preserve"> </w:t>
      </w:r>
      <w:r>
        <w:t xml:space="preserve">(Agranov et al. 2017; Timotei 2013; Tyszler e Schram 2015)</w:t>
      </w:r>
      <w:r>
        <w:t xml:space="preserve">, com 4 efeitos, por um modelo CHE (REML) com variância robusta (CR2). O resultado foi g = 0,48 (IC 95% −1,51 a 2,47; p = 0,263), com 1,25 grau de liberdade. Como esse valor fica abaixo de 4, a inferência robusta não é confiável. O IC cruza zero e o limiar de relevância (δ = 0,0573). Com 3 estudos, τ² = 0,04 e I² = 15% não são interpretáveis. Outros valores de ρ e um ICC de 0,20 não mudaram a leitura. No</w:t>
      </w:r>
      <w:r>
        <w:t xml:space="preserve"> </w:t>
      </w:r>
      <w:r>
        <w:rPr>
          <w:i/>
          <w:iCs/>
        </w:rPr>
        <w:t xml:space="preserve">leave-one-out</w:t>
      </w:r>
      <w:r>
        <w:t xml:space="preserve">, a estimativa variou de 0,19 a 0,69, e o IC só deixou de cruzar zero sem</w:t>
      </w:r>
      <w:r>
        <w:t xml:space="preserve"> </w:t>
      </w:r>
      <w:r>
        <w:t xml:space="preserve">Timotei (2013)</w:t>
      </w:r>
      <w:r>
        <w:t xml:space="preserve"> </w:t>
      </w:r>
      <w:r>
        <w:t xml:space="preserve">(0,40 a 0,98). Os dois efeitos de</w:t>
      </w:r>
      <w:r>
        <w:t xml:space="preserve"> </w:t>
      </w:r>
      <w:r>
        <w:t xml:space="preserve">Tyszler e Schram (2015)</w:t>
      </w:r>
      <w:r>
        <w:t xml:space="preserve"> </w:t>
      </w:r>
      <w:r>
        <w:t xml:space="preserve">foram lidos de figura. A meta é exploratória, e sua certeza é a da célula (muito baixa).</w:t>
      </w:r>
    </w:p>
    <w:tbl>
      <w:tblPr>
        <w:tblStyle w:val="Table"/>
        <w:tblW w:type="pct" w:w="5000"/>
        <w:tblLayout w:type="fixed"/>
        <w:tblLook w:firstRow="0" w:lastRow="0" w:firstColumn="0" w:lastColumn="0" w:noHBand="0" w:noVBand="0" w:val="0000"/>
      </w:tblPr>
      <w:tblGrid>
        <w:gridCol w:w="7920"/>
      </w:tblGrid>
      <w:tr>
        <w:tc>
          <w:tcPr/>
          <w:bookmarkStart w:id="38" w:name="fig-forest-sem-pesquisa"/>
          <w:p>
            <w:pPr>
              <w:pStyle w:val="Compact"/>
              <w:jc w:val="center"/>
            </w:pPr>
            <w:r>
              <w:drawing>
                <wp:inline>
                  <wp:extent cx="5334000" cy="2667000"/>
                  <wp:effectExtent b="0" l="0" r="0" t="0"/>
                  <wp:docPr descr="" title="" id="36" name="Picture"/>
                  <a:graphic>
                    <a:graphicData uri="http://schemas.openxmlformats.org/drawingml/2006/picture">
                      <pic:pic>
                        <pic:nvPicPr>
                          <pic:cNvPr descr="../06-analise/meta_exploratoria/figuras/forest_01_pesquisa_pre_eleitoral_apoio_ao_lider_sem_pesquisa_randomiza.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Meta-análise exploratória (3 estudos, 4 efeitos): pesquisa pré-eleitoral × sem pesquisa × apoio a quem aparece à frente, randomizados.</w:t>
            </w:r>
          </w:p>
          <w:bookmarkEnd w:id="38"/>
        </w:tc>
      </w:tr>
    </w:tbl>
    <w:p>
      <w:pPr>
        <w:pStyle w:val="BodyText"/>
      </w:pPr>
      <w:r>
        <w:rPr>
          <w:b/>
          <w:bCs/>
        </w:rPr>
        <w:t xml:space="preserve">O mesmo candidato mostrado à frente ou atrás.</w:t>
      </w:r>
      <w:r>
        <w:t xml:space="preserve"> </w:t>
      </w:r>
      <w:r>
        <w:t xml:space="preserve">Outros quatro experimentos</w:t>
      </w:r>
      <w:r>
        <w:t xml:space="preserve"> </w:t>
      </w:r>
      <w:r>
        <w:t xml:space="preserve">(Tal et al. 2015; Lammers et al. 2022; Fichnová e Wojciechowski 2015; Witsman 2016)</w:t>
      </w:r>
      <w:r>
        <w:t xml:space="preserve">, todos em risco de viés alto e todos em laboratório com preferências induzidas ou vinheta hipotética, também foram na direção</w:t>
      </w:r>
      <w:r>
        <w:t xml:space="preserve"> </w:t>
      </w:r>
      <w:r>
        <w:rPr>
          <w:i/>
          <w:iCs/>
        </w:rPr>
        <w:t xml:space="preserve">bandwagon</w:t>
      </w:r>
      <w:r>
        <w:t xml:space="preserve"> </w:t>
      </w:r>
      <w:r>
        <w:t xml:space="preserve">(proporção 1,00; IC 95% 0,40 a 1,00; p = 0,125). Dentro de</w:t>
      </w:r>
      <w:r>
        <w:t xml:space="preserve"> </w:t>
      </w:r>
      <w:r>
        <w:t xml:space="preserve">Lammers et al. (2022)</w:t>
      </w:r>
      <w:r>
        <w:t xml:space="preserve">, os sinais se opõem conforme o modo de raciocínio induzido, com g = 1,25 e 1,03 no modo heurístico e −0,39 e 0,06 no modo moral. O estudo recebeu a direção</w:t>
      </w:r>
      <w:r>
        <w:t xml:space="preserve"> </w:t>
      </w:r>
      <w:r>
        <w:rPr>
          <w:i/>
          <w:iCs/>
        </w:rPr>
        <w:t xml:space="preserve">bandwagon</w:t>
      </w:r>
      <w:r>
        <w:t xml:space="preserve"> </w:t>
      </w:r>
      <w:r>
        <w:t xml:space="preserve">pela regra de 70% dos efeitos. A evidência é muito incerta sobre se ver o candidato à frente numa pesquisa, em vez de atrás, aumenta o apoio a ele (certeza muito baixa).</w:t>
      </w:r>
    </w:p>
    <w:p>
      <w:pPr>
        <w:pStyle w:val="BodyText"/>
      </w:pPr>
      <w:r>
        <w:t xml:space="preserve">A meta-análise exploratória dessa célula reuniu 3 estudos e 6 efeitos</w:t>
      </w:r>
      <w:r>
        <w:t xml:space="preserve"> </w:t>
      </w:r>
      <w:r>
        <w:t xml:space="preserve">(Fichnová e Wojciechowski 2015; Lammers et al. 2022; Witsman 2016)</w:t>
      </w:r>
      <w:r>
        <w:t xml:space="preserve">, pelo mesmo modelo, com δ = 0,044. O resultado foi g = 0,62 (IC 95% −0,48 a 1,72; p = 0,111), com 1,46 grau de liberdade e IC que cruza zero e ±δ. A comparabilidade é limitada, porque os desfechos são o posto num</w:t>
      </w:r>
      <w:r>
        <w:t xml:space="preserve"> </w:t>
      </w:r>
      <w:r>
        <w:rPr>
          <w:i/>
          <w:iCs/>
        </w:rPr>
        <w:t xml:space="preserve">ranking</w:t>
      </w:r>
      <w:r>
        <w:t xml:space="preserve"> </w:t>
      </w:r>
      <w:r>
        <w:t xml:space="preserve">de 7 candidatos, a probabilidade autodeclarada numa escala de 1 a 7 e a proporção de voto. Com 3 estudos, I² = 94% não é interpretável. No</w:t>
      </w:r>
      <w:r>
        <w:t xml:space="preserve"> </w:t>
      </w:r>
      <w:r>
        <w:rPr>
          <w:i/>
          <w:iCs/>
        </w:rPr>
        <w:t xml:space="preserve">leave-one-out</w:t>
      </w:r>
      <w:r>
        <w:t xml:space="preserve">, a estimativa variou de 0,55 a 0,90, e o IC só deixou de cruzar zero sem</w:t>
      </w:r>
      <w:r>
        <w:t xml:space="preserve"> </w:t>
      </w:r>
      <w:r>
        <w:t xml:space="preserve">Lammers et al. (2022)</w:t>
      </w:r>
      <w:r>
        <w:t xml:space="preserve"> </w:t>
      </w:r>
      <w:r>
        <w:t xml:space="preserve">(0,85 a 0,94). Não foi possível rodar a sensibilidade sem risco alto, já que todos os efeitos estão em risco alto. Também esta meta é exploratória e fica com a certeza da célula (muito baixa).</w:t>
      </w:r>
    </w:p>
    <w:tbl>
      <w:tblPr>
        <w:tblStyle w:val="Table"/>
        <w:tblW w:type="pct" w:w="5000"/>
        <w:tblLayout w:type="fixed"/>
        <w:tblLook w:firstRow="0" w:lastRow="0" w:firstColumn="0" w:lastColumn="0" w:noHBand="0" w:noVBand="0" w:val="0000"/>
      </w:tblPr>
      <w:tblGrid>
        <w:gridCol w:w="7920"/>
      </w:tblGrid>
      <w:tr>
        <w:tc>
          <w:tcPr/>
          <w:bookmarkStart w:id="42" w:name="fig-forest-mesmo-candidato"/>
          <w:p>
            <w:pPr>
              <w:pStyle w:val="Compact"/>
              <w:jc w:val="center"/>
            </w:pPr>
            <w:r>
              <w:drawing>
                <wp:inline>
                  <wp:extent cx="5334000" cy="2867025"/>
                  <wp:effectExtent b="0" l="0" r="0" t="0"/>
                  <wp:docPr descr="" title="" id="40" name="Picture"/>
                  <a:graphic>
                    <a:graphicData uri="http://schemas.openxmlformats.org/drawingml/2006/picture">
                      <pic:pic>
                        <pic:nvPicPr>
                          <pic:cNvPr descr="../06-analise/meta_mesmo_candidato/figuras/forest_01_pesquisa_pre_eleitoral_apoio_ao_lider_mesmo_candidato_atras_.png" id="41" name="Picture"/>
                          <pic:cNvPicPr>
                            <a:picLocks noChangeArrowheads="1" noChangeAspect="1"/>
                          </pic:cNvPicPr>
                        </pic:nvPicPr>
                        <pic:blipFill>
                          <a:blip r:embed="rId39"/>
                          <a:stretch>
                            <a:fillRect/>
                          </a:stretch>
                        </pic:blipFill>
                        <pic:spPr bwMode="auto">
                          <a:xfrm>
                            <a:off x="0" y="0"/>
                            <a:ext cx="5334000" cy="2867025"/>
                          </a:xfrm>
                          <a:prstGeom prst="rect">
                            <a:avLst/>
                          </a:prstGeom>
                          <a:noFill/>
                          <a:ln w="9525">
                            <a:noFill/>
                            <a:headEnd/>
                            <a:tailEnd/>
                          </a:ln>
                        </pic:spPr>
                      </pic:pic>
                    </a:graphicData>
                  </a:graphic>
                </wp:inline>
              </w:drawing>
            </w:r>
          </w:p>
          <w:p>
            <w:pPr>
              <w:jc w:val="center"/>
            </w:pPr>
            <w:pPr>
              <w:jc w:val="left"/>
              <w:spacing w:before="200"/>
              <w:pStyle w:val="ImageCaption"/>
            </w:pPr>
            <w:r>
              <w:t xml:space="preserve">Figura 2: Meta-análise exploratória (3 estudos, 6 efeitos): pesquisa pré-eleitoral × mesmo candidato atrás × apoio a quem aparece à frente, randomizados.</w:t>
            </w:r>
          </w:p>
          <w:bookmarkEnd w:id="42"/>
        </w:tc>
      </w:tr>
    </w:tbl>
    <w:p>
      <w:pPr>
        <w:pStyle w:val="BodyText"/>
      </w:pPr>
      <w:r>
        <w:rPr>
          <w:b/>
          <w:bCs/>
        </w:rPr>
        <w:t xml:space="preserve">Outro resultado de pesquisa.</w:t>
      </w:r>
      <w:r>
        <w:t xml:space="preserve"> </w:t>
      </w:r>
      <w:r>
        <w:t xml:space="preserve">Um experimento de laboratório</w:t>
      </w:r>
      <w:r>
        <w:t xml:space="preserve"> </w:t>
      </w:r>
      <w:r>
        <w:t xml:space="preserve">(Boukouras et al. 2020)</w:t>
      </w:r>
      <w:r>
        <w:t xml:space="preserve">, com 3 de 3 efeitos positivos, foi na direção</w:t>
      </w:r>
      <w:r>
        <w:t xml:space="preserve"> </w:t>
      </w:r>
      <w:r>
        <w:rPr>
          <w:i/>
          <w:iCs/>
        </w:rPr>
        <w:t xml:space="preserve">bandwagon</w:t>
      </w:r>
      <w:r>
        <w:t xml:space="preserve">. A evidência é muito incerta sobre se revelar um conjunto diferente de pesquisas da mesma eleição aumenta a vitória do candidato à frente (certeza muito baixa). Na classe não randomizada, um estudo de laboratório</w:t>
      </w:r>
      <w:r>
        <w:t xml:space="preserve"> </w:t>
      </w:r>
      <w:r>
        <w:t xml:space="preserve">(Feltovich e Giovannoni 2022)</w:t>
      </w:r>
      <w:r>
        <w:t xml:space="preserve">, em risco grave, também foi na direção</w:t>
      </w:r>
      <w:r>
        <w:t xml:space="preserve"> </w:t>
      </w:r>
      <w:r>
        <w:rPr>
          <w:i/>
          <w:iCs/>
        </w:rPr>
        <w:t xml:space="preserve">bandwagon</w:t>
      </w:r>
      <w:r>
        <w:t xml:space="preserve">, e a evidência é muito incerta sobre se ver uma prévia com maior parcela do incumbente aumenta o voto nele (certeza muito baixa).</w:t>
      </w:r>
    </w:p>
    <w:p>
      <w:pPr>
        <w:pStyle w:val="BodyText"/>
      </w:pPr>
      <w:r>
        <w:rPr>
          <w:b/>
          <w:bCs/>
        </w:rPr>
        <w:t xml:space="preserve">Boca de urna e apuração parcial.</w:t>
      </w:r>
      <w:r>
        <w:t xml:space="preserve"> </w:t>
      </w:r>
      <w:r>
        <w:t xml:space="preserve">Nos dois experimentos naturais sobre proibição de boca de urna, ambos em risco alto,</w:t>
      </w:r>
      <w:r>
        <w:t xml:space="preserve"> </w:t>
      </w:r>
      <w:r>
        <w:t xml:space="preserve">Morton et al. (2015)</w:t>
      </w:r>
      <w:r>
        <w:t xml:space="preserve"> </w:t>
      </w:r>
      <w:r>
        <w:t xml:space="preserve">foi na direção</w:t>
      </w:r>
      <w:r>
        <w:t xml:space="preserve"> </w:t>
      </w:r>
      <w:r>
        <w:rPr>
          <w:i/>
          <w:iCs/>
        </w:rPr>
        <w:t xml:space="preserve">bandwagon</w:t>
      </w:r>
      <w:r>
        <w:t xml:space="preserve"> </w:t>
      </w:r>
      <w:r>
        <w:t xml:space="preserve">e</w:t>
      </w:r>
      <w:r>
        <w:t xml:space="preserve"> </w:t>
      </w:r>
      <w:r>
        <w:t xml:space="preserve">Chatterjee e Kamal (2019)</w:t>
      </w:r>
      <w:r>
        <w:t xml:space="preserve"> </w:t>
      </w:r>
      <w:r>
        <w:t xml:space="preserve">na direção</w:t>
      </w:r>
      <w:r>
        <w:t xml:space="preserve"> </w:t>
      </w:r>
      <w:r>
        <w:rPr>
          <w:i/>
          <w:iCs/>
        </w:rPr>
        <w:t xml:space="preserve">underdog</w:t>
      </w:r>
      <w:r>
        <w:t xml:space="preserve"> </w:t>
      </w:r>
      <w:r>
        <w:t xml:space="preserve">(proporção 0,50; IC 95% 0,01 a 0,99; p = 1). A evidência é muito incerta sobre se a divulgação de boca de urna antes do fechamento das urnas aumenta ou reduz o apoio ao líder (certeza muito baixa). Já no Brasil, as urnas que continuaram recebendo votos depois da divulgação da apuração parcial deram mais votos ao candidato mostrado à frente nos dois turnos de 2018 (+5,69 e +11,76 pontos percentuais)</w:t>
      </w:r>
      <w:r>
        <w:t xml:space="preserve"> </w:t>
      </w:r>
      <w:r>
        <w:t xml:space="preserve">(Araujo e Gatto 2021)</w:t>
      </w:r>
      <w:r>
        <w:t xml:space="preserve">. O estudo está em risco grave, e a evidência é muito incerta sobre se essa divulgação aumenta a votação do líder (certeza muito baixa).</w:t>
      </w:r>
    </w:p>
    <w:p>
      <w:pPr>
        <w:pStyle w:val="BodyText"/>
      </w:pPr>
      <w:r>
        <w:rPr>
          <w:b/>
          <w:bCs/>
        </w:rPr>
        <w:t xml:space="preserve">Leitura conjunta, descritiva.</w:t>
      </w:r>
      <w:r>
        <w:t xml:space="preserve"> </w:t>
      </w:r>
      <w:r>
        <w:t xml:space="preserve">Juntando formatos e comparadores, num agrupamento decidido depois de ver os dados, 9 de 9 experimentos foram na direção</w:t>
      </w:r>
      <w:r>
        <w:t xml:space="preserve"> </w:t>
      </w:r>
      <w:r>
        <w:rPr>
          <w:i/>
          <w:iCs/>
        </w:rPr>
        <w:t xml:space="preserve">bandwagon</w:t>
      </w:r>
      <w:r>
        <w:t xml:space="preserve"> </w:t>
      </w:r>
      <w:r>
        <w:t xml:space="preserve">(proporção 1,00; IC 95% 0,66 a 1,00; p = 0,004). Só um deles</w:t>
      </w:r>
      <w:r>
        <w:t xml:space="preserve"> </w:t>
      </w:r>
      <w:r>
        <w:t xml:space="preserve">(Farjam 2020)</w:t>
      </w:r>
      <w:r>
        <w:t xml:space="preserve"> </w:t>
      </w:r>
      <w:r>
        <w:t xml:space="preserve">tem contexto real. A evidência é muito incerta sobre se a exposição a pesquisas aumenta o apoio a quem aparece à frente (certeza muito baixa). O rascunho do GRADE rebaixou esse corpo por viés de publicação, porque todos os estudos são pequenos e positivos e a busca foi limitada. Sem esse rebaixamento, um juízo ainda aberto, a certeza seria baixa.</w:t>
      </w:r>
    </w:p>
    <w:bookmarkEnd w:id="43"/>
    <w:bookmarkStart w:id="44" w:name="viabilidade-e-voto-estratégico"/>
    <w:p>
      <w:pPr>
        <w:pStyle w:val="Heading2"/>
      </w:pPr>
      <w:r>
        <w:t xml:space="preserve">3.2 Viabilidade e voto estratégico</w:t>
      </w:r>
    </w:p>
    <w:p>
      <w:pPr>
        <w:pStyle w:val="FirstParagraph"/>
      </w:pPr>
      <w:r>
        <w:t xml:space="preserve">Passemos, agora, aos efeitos sobre opções que a pesquisa mostra como viáveis ou inviáveis, que formam uma célula própria. Com outro resultado de pesquisa como comparador,</w:t>
      </w:r>
      <w:r>
        <w:t xml:space="preserve"> </w:t>
      </w:r>
      <w:r>
        <w:t xml:space="preserve">Schlegel et al. (2023)</w:t>
      </w:r>
      <w:r>
        <w:t xml:space="preserve"> </w:t>
      </w:r>
      <w:r>
        <w:t xml:space="preserve">foi na direção da deserção para a opção viável (+11 e +17 pontos percentuais). Já</w:t>
      </w:r>
      <w:r>
        <w:t xml:space="preserve"> </w:t>
      </w:r>
      <w:r>
        <w:t xml:space="preserve">Fredén et al. (2024)</w:t>
      </w:r>
      <w:r>
        <w:t xml:space="preserve"> </w:t>
      </w:r>
      <w:r>
        <w:t xml:space="preserve">foi misto. Mostrar uma legenda pequena abaixo da cláusula de 4% aumentou o voto nela (g = −0,41 na convenção da célula), o que os autores leem como voto de seguro. A evidência é muito incerta sobre se pesquisas que mostram quais opções são viáveis levam eleitores a desertar para a opção viável (2 experimentos; certeza muito baixa). Com nenhuma pesquisa como comparador,</w:t>
      </w:r>
      <w:r>
        <w:t xml:space="preserve"> </w:t>
      </w:r>
      <w:r>
        <w:t xml:space="preserve">Cornejo (2023)</w:t>
      </w:r>
      <w:r>
        <w:t xml:space="preserve">, no México, foi na direção de viabilidade (g = 0,19, EP 0,105). A evidência é muito incerta sobre se ver uma pesquisa que mostra um candidato de oposição como segundo colocado viável aumenta o apoio a ele (1 experimento; certeza muito baixa). Os efeitos de viabilidade de</w:t>
      </w:r>
      <w:r>
        <w:t xml:space="preserve"> </w:t>
      </w:r>
      <w:r>
        <w:t xml:space="preserve">Lago et al. (2015)</w:t>
      </w:r>
      <w:r>
        <w:t xml:space="preserve"> </w:t>
      </w:r>
      <w:r>
        <w:t xml:space="preserve">e</w:t>
      </w:r>
      <w:r>
        <w:t xml:space="preserve"> </w:t>
      </w:r>
      <w:r>
        <w:t xml:space="preserve">Alabrese e Fetzer (2024)</w:t>
      </w:r>
      <w:r>
        <w:t xml:space="preserve"> </w:t>
      </w:r>
      <w:r>
        <w:t xml:space="preserve">ficaram fora da contagem, porque são interações com moderadores contínuos.</w:t>
      </w:r>
    </w:p>
    <w:bookmarkEnd w:id="44"/>
    <w:bookmarkStart w:id="45" w:name="momentum"/>
    <w:p>
      <w:pPr>
        <w:pStyle w:val="Heading2"/>
      </w:pPr>
      <w:r>
        <w:t xml:space="preserve">3.3</w:t>
      </w:r>
      <w:r>
        <w:t xml:space="preserve"> </w:t>
      </w:r>
      <w:r>
        <w:rPr>
          <w:i/>
          <w:iCs/>
        </w:rPr>
        <w:t xml:space="preserve">Momentum</w:t>
      </w:r>
    </w:p>
    <w:p>
      <w:pPr>
        <w:pStyle w:val="FirstParagraph"/>
      </w:pPr>
      <w:r>
        <w:t xml:space="preserve">Três estudos em risco não crítico foram a favor do partido que a pesquisa mostra ganhando apoio. São eles</w:t>
      </w:r>
      <w:r>
        <w:t xml:space="preserve"> </w:t>
      </w:r>
      <w:r>
        <w:t xml:space="preserve">Dahlgaard et al. (2016)</w:t>
      </w:r>
      <w:r>
        <w:t xml:space="preserve">, frente a nenhuma pesquisa (+3,40 pontos percentuais; g = 0,12, EP 0,080), e</w:t>
      </w:r>
      <w:r>
        <w:t xml:space="preserve"> </w:t>
      </w:r>
      <w:r>
        <w:t xml:space="preserve">Meer et al. (2015)</w:t>
      </w:r>
      <w:r>
        <w:t xml:space="preserve"> </w:t>
      </w:r>
      <w:r>
        <w:t xml:space="preserve">(g = 0,13, EP 0,072), ambos com IC do g que cruza zero, além de</w:t>
      </w:r>
      <w:r>
        <w:t xml:space="preserve"> </w:t>
      </w:r>
      <w:r>
        <w:t xml:space="preserve">Stolwijk et al. (2016)</w:t>
      </w:r>
      <w:r>
        <w:t xml:space="preserve">, painel com a valência da cobertura de pesquisas, em risco grave. Cada um está numa célula diferente, e nas três a evidência é muito incerta sobre se uma pesquisa que mostra um partido ganhando apoio aumenta o voto nele (1 estudo por célula; certeza muito baixa).</w:t>
      </w:r>
    </w:p>
    <w:bookmarkEnd w:id="45"/>
    <w:bookmarkStart w:id="46" w:name="comparecimento"/>
    <w:p>
      <w:pPr>
        <w:pStyle w:val="Heading2"/>
      </w:pPr>
      <w:r>
        <w:t xml:space="preserve">3.4 Comparecimento</w:t>
      </w:r>
    </w:p>
    <w:p>
      <w:pPr>
        <w:pStyle w:val="FirstParagraph"/>
      </w:pPr>
      <w:r>
        <w:rPr>
          <w:b/>
          <w:bCs/>
        </w:rPr>
        <w:t xml:space="preserve">Pesquisa apertada frente a folgada.</w:t>
      </w:r>
      <w:r>
        <w:t xml:space="preserve"> </w:t>
      </w:r>
      <w:r>
        <w:t xml:space="preserve">No experimento de campo de</w:t>
      </w:r>
      <w:r>
        <w:t xml:space="preserve"> </w:t>
      </w:r>
      <w:r>
        <w:t xml:space="preserve">Gerber et al. (2020)</w:t>
      </w:r>
      <w:r>
        <w:t xml:space="preserve">, eleitores receberam cartas com uma pesquisa de disputa apertada ou folgada, e o comparecimento foi medido em registros administrativos. As duas estimativas tiveram IC 95% dentro de ±δ (0,046). Receber uma pesquisa de disputa apertada, em vez de folgada, provavelmente não muda o comparecimento além de 2 pontos percentuais para mais ou para menos (1 experimento; certeza moderada, que aqui qualifica a classificação como nulo ou trivial).</w:t>
      </w:r>
    </w:p>
    <w:p>
      <w:pPr>
        <w:pStyle w:val="BodyText"/>
      </w:pPr>
      <w:r>
        <w:rPr>
          <w:b/>
          <w:bCs/>
        </w:rPr>
        <w:t xml:space="preserve">Ter visto a divulgação de pesquisas.</w:t>
      </w:r>
      <w:r>
        <w:t xml:space="preserve"> </w:t>
      </w:r>
      <w:r>
        <w:t xml:space="preserve">Dois estudos não randomizados em eleições reais foram na direção de mobilização</w:t>
      </w:r>
      <w:r>
        <w:t xml:space="preserve"> </w:t>
      </w:r>
      <w:r>
        <w:t xml:space="preserve">(Stolwijk e Schuck 2019, em risco grave; Brugarolas e Miller 2021, descontinuidade em risco moderado)</w:t>
      </w:r>
      <w:r>
        <w:t xml:space="preserve"> </w:t>
      </w:r>
      <w:r>
        <w:t xml:space="preserve">(proporção 1,00; IC 95% 0,16 a 1,00; p = 0,5). Ter visto a divulgação de pesquisas pode aumentar a intenção de votar ou o comparecimento (certeza baixa).</w:t>
      </w:r>
    </w:p>
    <w:p>
      <w:pPr>
        <w:pStyle w:val="BodyText"/>
      </w:pPr>
      <w:r>
        <w:rPr>
          <w:b/>
          <w:bCs/>
        </w:rPr>
        <w:t xml:space="preserve">Mostrar uma pesquisa, frente a não mostrar.</w:t>
      </w:r>
      <w:r>
        <w:t xml:space="preserve"> </w:t>
      </w:r>
      <w:r>
        <w:t xml:space="preserve">Nos randomizados, 2 estudos de laboratório foram na direção de mobilização</w:t>
      </w:r>
      <w:r>
        <w:t xml:space="preserve"> </w:t>
      </w:r>
      <w:r>
        <w:t xml:space="preserve">(Agranov et al. 2017; Großer e Schram 2010)</w:t>
      </w:r>
      <w:r>
        <w:t xml:space="preserve"> </w:t>
      </w:r>
      <w:r>
        <w:t xml:space="preserve">e 1, com candidatos reais e em risco alto, na de desmobilização</w:t>
      </w:r>
      <w:r>
        <w:t xml:space="preserve"> </w:t>
      </w:r>
      <w:r>
        <w:t xml:space="preserve">(Erlich 2023)</w:t>
      </w:r>
      <w:r>
        <w:t xml:space="preserve"> </w:t>
      </w:r>
      <w:r>
        <w:t xml:space="preserve">(proporção 0,67; IC 95% 0,09 a 0,99; p = 1). A evidência é muito incerta sobre se ver uma pesquisa, frente a não ver, aumenta ou reduz o comparecimento (certeza muito baixa). No contraste antes e depois dentro do sujeito de</w:t>
      </w:r>
      <w:r>
        <w:t xml:space="preserve"> </w:t>
      </w:r>
      <w:r>
        <w:t xml:space="preserve">Klor e Winter (2017)</w:t>
      </w:r>
      <w:r>
        <w:t xml:space="preserve">, a direção foi de mobilização. Também aqui, a evidência é muito incerta sobre se revelar a distribuição de preferências aumenta o comparecimento (certeza muito baixa).</w:t>
      </w:r>
    </w:p>
    <w:p>
      <w:pPr>
        <w:pStyle w:val="BodyText"/>
      </w:pPr>
      <w:r>
        <w:rPr>
          <w:b/>
          <w:bCs/>
        </w:rPr>
        <w:t xml:space="preserve">Projeções.</w:t>
      </w:r>
      <w:r>
        <w:t xml:space="preserve"> </w:t>
      </w:r>
      <w:r>
        <w:t xml:space="preserve">Num jogo</w:t>
      </w:r>
      <w:r>
        <w:t xml:space="preserve"> </w:t>
      </w:r>
      <w:r>
        <w:rPr>
          <w:i/>
          <w:iCs/>
        </w:rPr>
        <w:t xml:space="preserve">online</w:t>
      </w:r>
      <w:r>
        <w:t xml:space="preserve"> </w:t>
      </w:r>
      <w:r>
        <w:t xml:space="preserve">com 5.845 decisões</w:t>
      </w:r>
      <w:r>
        <w:t xml:space="preserve"> </w:t>
      </w:r>
      <w:r>
        <w:t xml:space="preserve">(Westwood et al. 2020)</w:t>
      </w:r>
      <w:r>
        <w:t xml:space="preserve">, a decisão de votar caiu quando a probabilidade de vitória exibida se afastava de 50:50 (g = −0,10, EP 0,023, com IC 95% inteiro abaixo de −δ). Ver projeções que mostram a eleição mais decidida pode reduzir a decisão de votar (1 estudo; certeza baixa).</w:t>
      </w:r>
    </w:p>
    <w:p>
      <w:pPr>
        <w:pStyle w:val="BodyText"/>
      </w:pPr>
      <w:r>
        <w:rPr>
          <w:b/>
          <w:bCs/>
        </w:rPr>
        <w:t xml:space="preserve">Boca de urna.</w:t>
      </w:r>
      <w:r>
        <w:t xml:space="preserve"> </w:t>
      </w:r>
      <w:r>
        <w:t xml:space="preserve">Nos dois experimentos naturais de proibição,</w:t>
      </w:r>
      <w:r>
        <w:t xml:space="preserve"> </w:t>
      </w:r>
      <w:r>
        <w:t xml:space="preserve">Morton et al. (2015)</w:t>
      </w:r>
      <w:r>
        <w:t xml:space="preserve"> </w:t>
      </w:r>
      <w:r>
        <w:t xml:space="preserve">foi na direção de desmobilização (−11 pontos percentuais) e</w:t>
      </w:r>
      <w:r>
        <w:t xml:space="preserve"> </w:t>
      </w:r>
      <w:r>
        <w:t xml:space="preserve">Chatterjee e Kamal (2019)</w:t>
      </w:r>
      <w:r>
        <w:t xml:space="preserve"> </w:t>
      </w:r>
      <w:r>
        <w:t xml:space="preserve">ficou misto (proporção 0,00; IC 95% 0,00 a 0,97; p = 1). Em</w:t>
      </w:r>
      <w:r>
        <w:t xml:space="preserve"> </w:t>
      </w:r>
      <w:r>
        <w:t xml:space="preserve">Grillo e Raiber (2024)</w:t>
      </w:r>
      <w:r>
        <w:t xml:space="preserve">, que compara momentos de divulgação, a direção também foi de desmobilização, com IC que cruza zero. A evidência é muito incerta sobre se a boca de urna divulgada antes do fechamento das urnas reduz o comparecimento (certeza muito baixa nas duas células).</w:t>
      </w:r>
    </w:p>
    <w:p>
      <w:pPr>
        <w:pStyle w:val="BodyText"/>
      </w:pPr>
      <w:r>
        <w:t xml:space="preserve">O contraste entre boca de urna e projeções, na direção de desmobilização, e pesquisas pré-eleitorais, na de mobilização, foi notado depois de ver os dados e não foi testado. Ele também se confunde com o desenho, já que toda boca de urna aqui é experimento natural em eleição real.</w:t>
      </w:r>
    </w:p>
    <w:bookmarkEnd w:id="46"/>
    <w:bookmarkStart w:id="49" w:name="sec-sensibilidades"/>
    <w:p>
      <w:pPr>
        <w:pStyle w:val="Heading2"/>
      </w:pPr>
      <w:r>
        <w:t xml:space="preserve">3.5 O que as sensibilidades mudam</w:t>
      </w:r>
    </w:p>
    <w:p>
      <w:pPr>
        <w:pStyle w:val="FirstParagraph"/>
      </w:pPr>
      <w:r>
        <w:rPr>
          <w:b/>
          <w:bCs/>
        </w:rPr>
        <w:t xml:space="preserve">Só contexto real.</w:t>
      </w:r>
      <w:r>
        <w:t xml:space="preserve"> </w:t>
      </w:r>
      <w:r>
        <w:t xml:space="preserve">É a sensibilidade que mais pesa. No agrupamento amplo, os experimentos de apoio a quem aparece à frente ficam reduzidos a</w:t>
      </w:r>
      <w:r>
        <w:t xml:space="preserve"> </w:t>
      </w:r>
      <w:r>
        <w:t xml:space="preserve">Farjam (2020)</w:t>
      </w:r>
      <w:r>
        <w:t xml:space="preserve"> </w:t>
      </w:r>
      <w:r>
        <w:t xml:space="preserve">(1 de 1</w:t>
      </w:r>
      <w:r>
        <w:t xml:space="preserve"> </w:t>
      </w:r>
      <w:r>
        <w:rPr>
          <w:i/>
          <w:iCs/>
        </w:rPr>
        <w:t xml:space="preserve">bandwagon</w:t>
      </w:r>
      <w:r>
        <w:t xml:space="preserve">), e os não randomizados ficam com 2 estudos</w:t>
      </w:r>
      <w:r>
        <w:t xml:space="preserve"> </w:t>
      </w:r>
      <w:r>
        <w:rPr>
          <w:i/>
          <w:iCs/>
        </w:rPr>
        <w:t xml:space="preserve">bandwagon</w:t>
      </w:r>
      <w:r>
        <w:t xml:space="preserve"> </w:t>
      </w:r>
      <w:r>
        <w:t xml:space="preserve">e 1</w:t>
      </w:r>
      <w:r>
        <w:t xml:space="preserve"> </w:t>
      </w:r>
      <w:r>
        <w:rPr>
          <w:i/>
          <w:iCs/>
        </w:rPr>
        <w:t xml:space="preserve">underdog</w:t>
      </w:r>
      <w:r>
        <w:t xml:space="preserve">. Na mobilização, os randomizados ficam com 1 estudo na direção de desmobilização e 1 nulo, e os não randomizados se dividem, com 2 estudos em cada direção e 1 misto. Disso segue que a regularidade da direção</w:t>
      </w:r>
      <w:r>
        <w:t xml:space="preserve"> </w:t>
      </w:r>
      <w:r>
        <w:rPr>
          <w:i/>
          <w:iCs/>
        </w:rPr>
        <w:t xml:space="preserve">bandwagon</w:t>
      </w:r>
      <w:r>
        <w:t xml:space="preserve"> </w:t>
      </w:r>
      <w:r>
        <w:t xml:space="preserve">depende dos experimentos de laboratório e com vinheta.</w:t>
      </w:r>
    </w:p>
    <w:p>
      <w:pPr>
        <w:pStyle w:val="BodyText"/>
      </w:pPr>
      <w:r>
        <w:rPr>
          <w:b/>
          <w:bCs/>
        </w:rPr>
        <w:t xml:space="preserve">Com os estudos em risco crítico.</w:t>
      </w:r>
      <w:r>
        <w:t xml:space="preserve"> </w:t>
      </w:r>
      <w:r>
        <w:t xml:space="preserve">Duas células mudam. A de projeções frente a nenhuma pesquisa, que estava vazia, recebe</w:t>
      </w:r>
      <w:r>
        <w:t xml:space="preserve"> </w:t>
      </w:r>
      <w:r>
        <w:t xml:space="preserve">Kaplan (2019)</w:t>
      </w:r>
      <w:r>
        <w:t xml:space="preserve">, na direção de desmobilização. A de</w:t>
      </w:r>
      <w:r>
        <w:t xml:space="preserve"> </w:t>
      </w:r>
      <w:r>
        <w:rPr>
          <w:i/>
          <w:iCs/>
        </w:rPr>
        <w:t xml:space="preserve">momentum</w:t>
      </w:r>
      <w:r>
        <w:t xml:space="preserve"> </w:t>
      </w:r>
      <w:r>
        <w:t xml:space="preserve">não randomizado recebe</w:t>
      </w:r>
      <w:r>
        <w:t xml:space="preserve"> </w:t>
      </w:r>
      <w:r>
        <w:t xml:space="preserve">Unkelbach et al. (2022)</w:t>
      </w:r>
      <w:r>
        <w:t xml:space="preserve">, a favor, e fica com 2 de 2 (IC 95% 0,16 a 1,00; p = 0,5).</w:t>
      </w:r>
      <w:r>
        <w:t xml:space="preserve"> </w:t>
      </w:r>
      <w:r>
        <w:t xml:space="preserve">Gasperoni e Mantovani (2015)</w:t>
      </w:r>
      <w:r>
        <w:t xml:space="preserve"> </w:t>
      </w:r>
      <w:r>
        <w:t xml:space="preserve">não entra em nenhuma célula, porque também está no dicionário</w:t>
      </w:r>
      <w:r>
        <w:t xml:space="preserve"> </w:t>
      </w:r>
      <w:r>
        <w:rPr>
          <w:rStyle w:val="VerbatimChar"/>
        </w:rPr>
        <w:t xml:space="preserve">FORA</w:t>
      </w:r>
      <w:r>
        <w:t xml:space="preserve">.</w:t>
      </w:r>
    </w:p>
    <w:p>
      <w:pPr>
        <w:pStyle w:val="BodyText"/>
      </w:pPr>
      <w:r>
        <w:rPr>
          <w:b/>
          <w:bCs/>
        </w:rPr>
        <w:t xml:space="preserve">Outras.</w:t>
      </w:r>
      <w:r>
        <w:t xml:space="preserve"> </w:t>
      </w:r>
      <w:r>
        <w:t xml:space="preserve">Imputar ICC de 0,20 não mudou nenhuma contagem de direção. Quando incluímos os efeitos fora da contagem, os randomizados de apoio passam a 10 de 11 na direção</w:t>
      </w:r>
      <w:r>
        <w:t xml:space="preserve"> </w:t>
      </w:r>
      <w:r>
        <w:rPr>
          <w:i/>
          <w:iCs/>
        </w:rPr>
        <w:t xml:space="preserve">bandwagon</w:t>
      </w:r>
      <w:r>
        <w:t xml:space="preserve"> </w:t>
      </w:r>
      <w:r>
        <w:t xml:space="preserve">(p = 0,012), com</w:t>
      </w:r>
      <w:r>
        <w:t xml:space="preserve"> </w:t>
      </w:r>
      <w:r>
        <w:t xml:space="preserve">Gandhi e Ong (2019)</w:t>
      </w:r>
      <w:r>
        <w:t xml:space="preserve"> </w:t>
      </w:r>
      <w:r>
        <w:t xml:space="preserve">contra, e a mobilização não randomizada fica com 4 estudos em cada direção e 1 misto. Sem dados anteriores a 2010, os randomizados de apoio ficam com 8 de 8 (p = 0,008). Sem</w:t>
      </w:r>
      <w:r>
        <w:t xml:space="preserve"> </w:t>
      </w:r>
      <w:r>
        <w:t xml:space="preserve">Araujo e Gatto (2021)</w:t>
      </w:r>
      <w:r>
        <w:t xml:space="preserve">, os não randomizados de apoio ficam com 2 de 3. Nenhuma dessas análises tem GRADE próprio.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Esta seção depende da conferência dos 560 efeitos na página do PDF (P039), da arbitragem da recodificação cega da extração (P037), da validação dos 259 julgamentos de risco de viés (P033) e da validação do GRADE (P036 e P042). Os árbitros de IA deixaram em aberto decisões que mudam a composição das células (</w:t>
            </w:r>
            <w:r>
              <w:rPr>
                <w:rStyle w:val="VerbatimChar"/>
              </w:rPr>
              <w:t xml:space="preserve">08-revisao-humana/efeitos/pontos_para_o_revisor.md</w:t>
            </w:r>
            <w:r>
              <w:t xml:space="preserve">). São elas: (i) se Gerber2020a-E12,</w:t>
            </w:r>
            <w:r>
              <w:t xml:space="preserve"> </w:t>
            </w:r>
            <w:r>
              <w:t xml:space="preserve">Feltovich e Giovannoni (2022)</w:t>
            </w:r>
            <w:r>
              <w:t xml:space="preserve"> </w:t>
            </w:r>
            <w:r>
              <w:t xml:space="preserve">e</w:t>
            </w:r>
            <w:r>
              <w:t xml:space="preserve"> </w:t>
            </w:r>
            <w:r>
              <w:t xml:space="preserve">Schlegel et al. (2023)</w:t>
            </w:r>
            <w:r>
              <w:t xml:space="preserve"> </w:t>
            </w:r>
            <w:r>
              <w:t xml:space="preserve">vão para o dicionário</w:t>
            </w:r>
            <w:r>
              <w:t xml:space="preserve"> </w:t>
            </w:r>
            <w:r>
              <w:rPr>
                <w:rStyle w:val="VerbatimChar"/>
              </w:rPr>
              <w:t xml:space="preserve">FORA</w:t>
            </w:r>
            <w:r>
              <w:t xml:space="preserve">; (ii) se</w:t>
            </w:r>
            <w:r>
              <w:t xml:space="preserve"> </w:t>
            </w:r>
            <w:r>
              <w:t xml:space="preserve">Geers et al. (2018)</w:t>
            </w:r>
            <w:r>
              <w:t xml:space="preserve"> </w:t>
            </w:r>
            <w:r>
              <w:t xml:space="preserve">e Klor2017a-E01 voltam à contagem; (iii) o alvo de Witsman2016a-E01, que o autor lê como voto estratégico; (iv) o comparador de</w:t>
            </w:r>
            <w:r>
              <w:t xml:space="preserve"> </w:t>
            </w:r>
            <w:r>
              <w:t xml:space="preserve">Grillo e Raiber (2024)</w:t>
            </w:r>
            <w:r>
              <w:t xml:space="preserve">, cujo primeiro turno os autores chamam de grupo controle; e (v) a regra de ano da eleição nos experimentos de laboratório. O rascunho do GRADE deixou ainda para o autor (vi) o rebaixamento por viés de publicação no agrupamento amplo.</w:t>
            </w:r>
          </w:p>
          <w:p/>
        </w:tc>
      </w:tr>
    </w:tbl>
    <w:bookmarkEnd w:id="49"/>
    <w:bookmarkEnd w:id="50"/>
    <w:bookmarkStart w:id="53" w:name="sec-mecanismo"/>
    <w:p>
      <w:pPr>
        <w:pStyle w:val="Heading1"/>
      </w:pPr>
      <w:r>
        <w:t xml:space="preserve">4. Mecanismo: como funciona?</w:t>
      </w:r>
    </w:p>
    <w:p>
      <w:pPr>
        <w:pStyle w:val="FirstParagraph"/>
      </w:pPr>
      <w:r>
        <w:t xml:space="preserve">Esta seção tem caráter descritivo. Nenhuma célula teve estudos suficientes para uma síntese formal de mecanismos, e a certeza GRADE só aparece onde a afirmação coincide com uma célula de efeito. O que segue vem do fichamento feito por IA (</w:t>
      </w:r>
      <w:r>
        <w:rPr>
          <w:rStyle w:val="VerbatimChar"/>
        </w:rPr>
        <w:t xml:space="preserve">05-decomposicao/fichamentos_master.csv</w:t>
      </w:r>
      <w:r>
        <w:t xml:space="preserve">), que nenhum humano verificou, e da síntese descritiva preparada para este documento.</w:t>
      </w:r>
    </w:p>
    <w:p>
      <w:pPr>
        <w:pStyle w:val="BodyText"/>
      </w:pPr>
      <w:r>
        <w:t xml:space="preserve">Dos 41 estudos, 34 marcam algum mecanismo como testado, mas só 3 o fazem por mediação estatística. Nos demais, o canal é inferido de um contraste, relatado pelos participantes ou apenas hipotetizado pelos autores. Essas contagens são frágeis. Os dois codificadores de IA concordaram em 60% dos casos sobre qual mecanismo foi testado e em 40% sobre o tipo de evidência, abaixo do limiar do protocolo.</w:t>
      </w:r>
    </w:p>
    <w:p>
      <w:pPr>
        <w:pStyle w:val="BodyText"/>
      </w:pPr>
      <w:r>
        <w:rPr>
          <w:b/>
          <w:bCs/>
        </w:rPr>
        <w:t xml:space="preserve">Expectativas.</w:t>
      </w:r>
      <w:r>
        <w:t xml:space="preserve"> </w:t>
      </w:r>
      <w:r>
        <w:t xml:space="preserve">Só um estudo testa formalmente se a expectativa de quem vence transmite o efeito ao comportamento. Em</w:t>
      </w:r>
      <w:r>
        <w:t xml:space="preserve"> </w:t>
      </w:r>
      <w:r>
        <w:t xml:space="preserve">Gerber et al. (2020)</w:t>
      </w:r>
      <w:r>
        <w:t xml:space="preserve">, a pesquisa apertada move a crença sobre a proximidade da disputa, mas 1 ponto percentual a mais de crença muda o comparecimento em 0,08 ponto. Trata-se do</w:t>
      </w:r>
      <w:r>
        <w:t xml:space="preserve"> </w:t>
      </w:r>
      <w:r>
        <w:t xml:space="preserve">“efeito só de expectativa”</w:t>
      </w:r>
      <w:r>
        <w:t xml:space="preserve"> </w:t>
      </w:r>
      <w:r>
        <w:t xml:space="preserve">que o protocolo registrou como teoria rival, em que a pesquisa muda o que o eleitor espera, e não o que ele faz. O nulo da exposição tem certeza moderada. A leitura como mediação, por outro lado, é descritiva, e nenhum estudo testou essa mediação no apoio a quem aparece à frente.</w:t>
      </w:r>
    </w:p>
    <w:p>
      <w:pPr>
        <w:pStyle w:val="BodyText"/>
      </w:pPr>
      <w:r>
        <w:rPr>
          <w:b/>
          <w:bCs/>
        </w:rPr>
        <w:t xml:space="preserve">Heurística, conformidade e simpatia.</w:t>
      </w:r>
      <w:r>
        <w:t xml:space="preserve"> </w:t>
      </w:r>
      <w:r>
        <w:t xml:space="preserve">O único estudo que manipula o modo de processamento,</w:t>
      </w:r>
      <w:r>
        <w:t xml:space="preserve"> </w:t>
      </w:r>
      <w:r>
        <w:t xml:space="preserve">Lammers et al. (2022)</w:t>
      </w:r>
      <w:r>
        <w:t xml:space="preserve">, acha</w:t>
      </w:r>
      <w:r>
        <w:t xml:space="preserve"> </w:t>
      </w:r>
      <w:r>
        <w:rPr>
          <w:i/>
          <w:iCs/>
        </w:rPr>
        <w:t xml:space="preserve">bandwagon</w:t>
      </w:r>
      <w:r>
        <w:t xml:space="preserve"> </w:t>
      </w:r>
      <w:r>
        <w:t xml:space="preserve">sob raciocínio heurístico e</w:t>
      </w:r>
      <w:r>
        <w:t xml:space="preserve"> </w:t>
      </w:r>
      <w:r>
        <w:rPr>
          <w:i/>
          <w:iCs/>
        </w:rPr>
        <w:t xml:space="preserve">underdog</w:t>
      </w:r>
      <w:r>
        <w:t xml:space="preserve"> </w:t>
      </w:r>
      <w:r>
        <w:t xml:space="preserve">ou efeito perto de zero sob o motivo moral de igualdade, em vinheta hipotética e risco de viés alto. Em</w:t>
      </w:r>
      <w:r>
        <w:t xml:space="preserve"> </w:t>
      </w:r>
      <w:r>
        <w:t xml:space="preserve">Meer et al. (2015)</w:t>
      </w:r>
      <w:r>
        <w:t xml:space="preserve">, a ênfase sobre quem está ganhando importa mais que o número. Nenhum estudo isola a conformidade. Em</w:t>
      </w:r>
      <w:r>
        <w:t xml:space="preserve"> </w:t>
      </w:r>
      <w:r>
        <w:t xml:space="preserve">Agranov et al. (2017)</w:t>
      </w:r>
      <w:r>
        <w:t xml:space="preserve">, a maioria vota mais e a minoria menos quando há pesquisa, padrão que os autores atribuem, pelo menos em parte, ao desejo de votar no vencedor. Tudo isso é descritivo ou está em células de certeza muito baixa.</w:t>
      </w:r>
    </w:p>
    <w:p>
      <w:pPr>
        <w:pStyle w:val="BodyText"/>
      </w:pPr>
      <w:r>
        <w:rPr>
          <w:b/>
          <w:bCs/>
        </w:rPr>
        <w:t xml:space="preserve">Voto estratégico e viabilidade.</w:t>
      </w:r>
      <w:r>
        <w:t xml:space="preserve"> </w:t>
      </w:r>
      <w:r>
        <w:t xml:space="preserve">É o canal com mais estudos (25 marcam o mecanismo) e com os testes mais diretos, feitos em laboratório com incentivos. Neles, a informação sobre a distribuição de preferências aparece associada a mais deserção para a opção viável</w:t>
      </w:r>
      <w:r>
        <w:t xml:space="preserve"> </w:t>
      </w:r>
      <w:r>
        <w:t xml:space="preserve">(Tyszler e Schram 2015, 2013; Tal et al. 2015)</w:t>
      </w:r>
      <w:r>
        <w:t xml:space="preserve">, um achado descritivo: os dois primeiros estão em células de apoio principal com certeza muito baixa, e</w:t>
      </w:r>
      <w:r>
        <w:t xml:space="preserve"> </w:t>
      </w:r>
      <w:r>
        <w:t xml:space="preserve">Tyszler e Schram (2013)</w:t>
      </w:r>
      <w:r>
        <w:t xml:space="preserve"> </w:t>
      </w:r>
      <w:r>
        <w:t xml:space="preserve">não entra em nenhuma célula. Fora do laboratório,</w:t>
      </w:r>
      <w:r>
        <w:t xml:space="preserve"> </w:t>
      </w:r>
      <w:r>
        <w:t xml:space="preserve">Cornejo (2023)</w:t>
      </w:r>
      <w:r>
        <w:t xml:space="preserve"> </w:t>
      </w:r>
      <w:r>
        <w:t xml:space="preserve">acha a direção de viabilidade no México, e</w:t>
      </w:r>
      <w:r>
        <w:t xml:space="preserve"> </w:t>
      </w:r>
      <w:r>
        <w:t xml:space="preserve">Fredén et al. (2024)</w:t>
      </w:r>
      <w:r>
        <w:t xml:space="preserve"> </w:t>
      </w:r>
      <w:r>
        <w:t xml:space="preserve">acha o contrário na Suécia, onde mostrar um partido abaixo da cláusula de barreira aumentou o voto nele (o que os autores leem como voto de seguro).</w:t>
      </w:r>
      <w:r>
        <w:t xml:space="preserve"> </w:t>
      </w:r>
      <w:r>
        <w:t xml:space="preserve">Araujo e Gatto (2021)</w:t>
      </w:r>
      <w:r>
        <w:t xml:space="preserve"> </w:t>
      </w:r>
      <w:r>
        <w:t xml:space="preserve">testou e descartou o voto estratégico como explicação para o caso brasileiro, porque o efeito aparece maior no segundo turno, com dois candidatos. A certeza é muito baixa nas células de viabilidade.</w:t>
      </w:r>
    </w:p>
    <w:p>
      <w:pPr>
        <w:pStyle w:val="BodyText"/>
      </w:pPr>
      <w:r>
        <w:rPr>
          <w:b/>
          <w:bCs/>
        </w:rPr>
        <w:t xml:space="preserve">Pivotalidade e emoções.</w:t>
      </w:r>
      <w:r>
        <w:t xml:space="preserve"> </w:t>
      </w:r>
      <w:r>
        <w:t xml:space="preserve">Ver projeções longe de 50:50 pode reduzir a decisão de votar (certeza baixa), e a evidência é muito incerta sobre se a boca de urna divulgada antes do fechamento reduz o comparecimento (certeza muito baixa)</w:t>
      </w:r>
      <w:r>
        <w:t xml:space="preserve"> </w:t>
      </w:r>
      <w:r>
        <w:t xml:space="preserve">(Westwood et al. 2020; Morton et al. 2015; Grillo e Raiber 2024)</w:t>
      </w:r>
      <w:r>
        <w:t xml:space="preserve">. Já em laboratório, em</w:t>
      </w:r>
      <w:r>
        <w:t xml:space="preserve"> </w:t>
      </w:r>
      <w:r>
        <w:t xml:space="preserve">Klor e Winter (2017)</w:t>
      </w:r>
      <w:r>
        <w:t xml:space="preserve">, revelar a distribuição de preferências aparece associado a mais comparecimento só em eleitorados quase divididos (achado dentro do estudo, descritivo; a célula tem certeza muito baixa). Em</w:t>
      </w:r>
      <w:r>
        <w:t xml:space="preserve"> </w:t>
      </w:r>
      <w:r>
        <w:t xml:space="preserve">Stolwijk et al. (2016)</w:t>
      </w:r>
      <w:r>
        <w:t xml:space="preserve">, os efeitos indiretos da cobertura de pesquisas sobre a escolha do partido passam mais pelo entusiasmo que pela ansiedade, numa mediação observacional em risco grave.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Mecanismos e tipos de evidência vêm do fichamento por IA, com concordância abaixo do limiar entre os dois codificadores (P037), e os valores de efeito citados aguardam a conferência na página do PDF (P039). A leitura de</w:t>
            </w:r>
            <w:r>
              <w:t xml:space="preserve"> </w:t>
            </w:r>
            <w:r>
              <w:t xml:space="preserve">Lammers et al. (2022)</w:t>
            </w:r>
            <w:r>
              <w:t xml:space="preserve"> </w:t>
            </w:r>
            <w:r>
              <w:t xml:space="preserve">(n por célula derivado) e de Gerber2020a-E12 (estimativa por variável instrumental, candidata ao dicionário</w:t>
            </w:r>
            <w:r>
              <w:t xml:space="preserve"> </w:t>
            </w:r>
            <w:r>
              <w:rPr>
                <w:rStyle w:val="VerbatimChar"/>
              </w:rPr>
              <w:t xml:space="preserve">FORA</w:t>
            </w:r>
            <w:r>
              <w:t xml:space="preserve">) é a que mais depende dessa conferência.</w:t>
            </w:r>
          </w:p>
          <w:p/>
        </w:tc>
      </w:tr>
    </w:tbl>
    <w:bookmarkEnd w:id="53"/>
    <w:bookmarkStart w:id="56" w:name="sec-moderadores"/>
    <w:p>
      <w:pPr>
        <w:pStyle w:val="Heading1"/>
      </w:pPr>
      <w:r>
        <w:t xml:space="preserve">5. Moderadores: para quem, onde e quando?</w:t>
      </w:r>
    </w:p>
    <w:p>
      <w:pPr>
        <w:pStyle w:val="FirstParagraph"/>
      </w:pPr>
      <w:r>
        <w:t xml:space="preserve">Esta seção também tem caráter descritivo. O protocolo só permite estimativa por subgrupo com pelo menos 3 estudos por nível, e teste com pelo menos 4, e nenhuma célula chegou lá. O que segue compara a direção de estudos que diferem num moderador (uma comparação mais fraca) ou relata subgrupos estimados dentro de um mesmo estudo.</w:t>
      </w:r>
    </w:p>
    <w:p>
      <w:pPr>
        <w:pStyle w:val="BodyText"/>
      </w:pPr>
      <w:r>
        <w:rPr>
          <w:b/>
          <w:bCs/>
        </w:rPr>
        <w:t xml:space="preserve">Realismo do contexto.</w:t>
      </w:r>
      <w:r>
        <w:t xml:space="preserve"> </w:t>
      </w:r>
      <w:r>
        <w:t xml:space="preserve">Na célula principal de apoio, os 4 estudos com vinheta hipotética e os 5 com preferências induzidas foram todos na direção</w:t>
      </w:r>
      <w:r>
        <w:t xml:space="preserve"> </w:t>
      </w:r>
      <w:r>
        <w:rPr>
          <w:i/>
          <w:iCs/>
        </w:rPr>
        <w:t xml:space="preserve">bandwagon</w:t>
      </w:r>
      <w:r>
        <w:t xml:space="preserve">. Entre os 4 em eleição real, 3 foram</w:t>
      </w:r>
      <w:r>
        <w:t xml:space="preserve"> </w:t>
      </w:r>
      <w:r>
        <w:rPr>
          <w:i/>
          <w:iCs/>
        </w:rPr>
        <w:t xml:space="preserve">bandwagon</w:t>
      </w:r>
      <w:r>
        <w:t xml:space="preserve"> </w:t>
      </w:r>
      <w:r>
        <w:t xml:space="preserve">e 1</w:t>
      </w:r>
      <w:r>
        <w:t xml:space="preserve"> </w:t>
      </w:r>
      <w:r>
        <w:rPr>
          <w:i/>
          <w:iCs/>
        </w:rPr>
        <w:t xml:space="preserve">underdog</w:t>
      </w:r>
      <w:r>
        <w:t xml:space="preserve"> </w:t>
      </w:r>
      <w:r>
        <w:t xml:space="preserve">(Chatterjee e Kamal 2019)</w:t>
      </w:r>
      <w:r>
        <w:t xml:space="preserve">. No comparecimento, 3 de 4 estudos com preferências induzidas foram na direção de mobilização, e entre os 7 em eleição real houve 2 na direção de mobilização, 3 na de desmobilização, 1 misto e 1 nulo. O realismo foi o principal motivo de rebaixamento por indireção no GRADE das células de apoio.</w:t>
      </w:r>
    </w:p>
    <w:p>
      <w:pPr>
        <w:pStyle w:val="BodyText"/>
      </w:pPr>
      <w:r>
        <w:rPr>
          <w:b/>
          <w:bCs/>
        </w:rPr>
        <w:t xml:space="preserve">Sistema eleitoral e número de competidores.</w:t>
      </w:r>
      <w:r>
        <w:t xml:space="preserve"> </w:t>
      </w:r>
      <w:r>
        <w:t xml:space="preserve">A direção não muda com o número de competidores. Foram na direção</w:t>
      </w:r>
      <w:r>
        <w:t xml:space="preserve"> </w:t>
      </w:r>
      <w:r>
        <w:rPr>
          <w:i/>
          <w:iCs/>
        </w:rPr>
        <w:t xml:space="preserve">bandwagon</w:t>
      </w:r>
      <w:r>
        <w:t xml:space="preserve"> </w:t>
      </w:r>
      <w:r>
        <w:t xml:space="preserve">5 de 5 estudos com dois competidores e 7 de 8 com três ou mais. Oito dos 13 estudos da célula principal usam a regra do próprio experimento como sistema eleitoral e, sem estimativa de magnitude, a hipótese de efeito maior com pluralidade e três ou mais candidatos não pode ser avaliada.</w:t>
      </w:r>
    </w:p>
    <w:p>
      <w:pPr>
        <w:pStyle w:val="BodyText"/>
      </w:pPr>
      <w:r>
        <w:rPr>
          <w:b/>
          <w:bCs/>
        </w:rPr>
        <w:t xml:space="preserve">Proximidade da disputa.</w:t>
      </w:r>
      <w:r>
        <w:t xml:space="preserve"> </w:t>
      </w:r>
      <w:r>
        <w:t xml:space="preserve">Nos estudos que variam a proximidade, a disputa apertada aparece com mais comparecimento e a decidida, com menos</w:t>
      </w:r>
      <w:r>
        <w:t xml:space="preserve"> </w:t>
      </w:r>
      <w:r>
        <w:t xml:space="preserve">(Bursztyn et al. 2023; Klor e Winter 2017; Alabrese e Fetzer 2024)</w:t>
      </w:r>
      <w:r>
        <w:t xml:space="preserve">. No desenho mais forte</w:t>
      </w:r>
      <w:r>
        <w:t xml:space="preserve"> </w:t>
      </w:r>
      <w:r>
        <w:t xml:space="preserve">(Gerber et al. 2020)</w:t>
      </w:r>
      <w:r>
        <w:t xml:space="preserve">, receber pesquisa apertada, em vez de folgada, provavelmente não muda o comparecimento além de ±2 pontos percentuais (certeza moderada). A mobilização do lado que está atrás, prevista pela teoria, aparece como padrão de comparecimento em</w:t>
      </w:r>
      <w:r>
        <w:t xml:space="preserve"> </w:t>
      </w:r>
      <w:r>
        <w:t xml:space="preserve">Bursztyn et al. (2023)</w:t>
      </w:r>
      <w:r>
        <w:t xml:space="preserve">, mas o efeito na parcela de votos é nulo por ±δ.</w:t>
      </w:r>
    </w:p>
    <w:p>
      <w:pPr>
        <w:pStyle w:val="BodyText"/>
      </w:pPr>
      <w:r>
        <w:rPr>
          <w:b/>
          <w:bCs/>
        </w:rPr>
        <w:t xml:space="preserve">Momento e tipo de eleição.</w:t>
      </w:r>
      <w:r>
        <w:t xml:space="preserve"> </w:t>
      </w:r>
      <w:r>
        <w:t xml:space="preserve">Os dias até a eleição só estão informados em 11 dos 41 estudos. As exposições no próprio dia da votação (boca de urna e apuração parcial) têm efeitos grandes, mas são também as únicas de variação natural em eleição real, e o momento se confunde com o desenho. Só um estudo é de referendo</w:t>
      </w:r>
      <w:r>
        <w:t xml:space="preserve"> </w:t>
      </w:r>
      <w:r>
        <w:t xml:space="preserve">(Bursztyn et al. 2023)</w:t>
      </w:r>
      <w:r>
        <w:t xml:space="preserve">, e a hipótese de efeito maior em referendos não pôde ser examinada.</w:t>
      </w:r>
    </w:p>
    <w:p>
      <w:pPr>
        <w:pStyle w:val="BodyText"/>
      </w:pPr>
      <w:r>
        <w:rPr>
          <w:b/>
          <w:bCs/>
        </w:rPr>
        <w:t xml:space="preserve">Partidarismo e sofisticação.</w:t>
      </w:r>
      <w:r>
        <w:t xml:space="preserve"> </w:t>
      </w:r>
      <w:r>
        <w:t xml:space="preserve">Em</w:t>
      </w:r>
      <w:r>
        <w:t xml:space="preserve"> </w:t>
      </w:r>
      <w:r>
        <w:t xml:space="preserve">Cornejo (2023)</w:t>
      </w:r>
      <w:r>
        <w:t xml:space="preserve">, com heterogeneidade pré-especificada, o efeito na direção de viabilidade foi maior entre partidários (g = 0,33) do que entre independentes (0,09), ao contrário do esperado, e ficou perto de zero, com sinal oposto, entre quem prefere o PRI (−0,05).</w:t>
      </w:r>
      <w:r>
        <w:t xml:space="preserve"> </w:t>
      </w:r>
      <w:r>
        <w:t xml:space="preserve">Meer et al. (2015)</w:t>
      </w:r>
      <w:r>
        <w:t xml:space="preserve"> </w:t>
      </w:r>
      <w:r>
        <w:t xml:space="preserve">não achou interação com preferência prévia, volatilidade ou escolaridade. Quanto à sofisticação, as duas teorias rivais do protocolo têm algum apoio. Os menos informados atualizam mais as crenças e respondem mais à heurística induzida</w:t>
      </w:r>
      <w:r>
        <w:t xml:space="preserve"> </w:t>
      </w:r>
      <w:r>
        <w:t xml:space="preserve">(Gerber et al. 2020; Lammers et al. 2022)</w:t>
      </w:r>
      <w:r>
        <w:t xml:space="preserve">, enquanto em</w:t>
      </w:r>
      <w:r>
        <w:t xml:space="preserve"> </w:t>
      </w:r>
      <w:r>
        <w:t xml:space="preserve">Gasperoni e Mantovani (2015)</w:t>
      </w:r>
      <w:r>
        <w:t xml:space="preserve"> </w:t>
      </w:r>
      <w:r>
        <w:t xml:space="preserve">quem trocou de voto era mais interessado. Nenhum estudo, no entanto, testa as duas no mesmo desenho.</w:t>
      </w:r>
    </w:p>
    <w:p>
      <w:pPr>
        <w:pStyle w:val="BodyText"/>
      </w:pPr>
      <w:r>
        <w:rPr>
          <w:b/>
          <w:bCs/>
        </w:rPr>
        <w:t xml:space="preserve">Efeitos que se anulam.</w:t>
      </w:r>
      <w:r>
        <w:t xml:space="preserve"> </w:t>
      </w:r>
      <w:r>
        <w:t xml:space="preserve">A teoria prevê que</w:t>
      </w:r>
      <w:r>
        <w:t xml:space="preserve"> </w:t>
      </w:r>
      <w:r>
        <w:rPr>
          <w:i/>
          <w:iCs/>
        </w:rPr>
        <w:t xml:space="preserve">bandwagon</w:t>
      </w:r>
      <w:r>
        <w:t xml:space="preserve"> </w:t>
      </w:r>
      <w:r>
        <w:t xml:space="preserve">num grupo e</w:t>
      </w:r>
      <w:r>
        <w:t xml:space="preserve"> </w:t>
      </w:r>
      <w:r>
        <w:rPr>
          <w:i/>
          <w:iCs/>
        </w:rPr>
        <w:t xml:space="preserve">underdog</w:t>
      </w:r>
      <w:r>
        <w:t xml:space="preserve"> </w:t>
      </w:r>
      <w:r>
        <w:t xml:space="preserve">em outro podem se anular no agregado. O protocolo só permite afirmar isso com pelo menos 3 estudos que relatem subgrupos de eleitores com sinais opostos, e só 2 o fazem</w:t>
      </w:r>
      <w:r>
        <w:t xml:space="preserve"> </w:t>
      </w:r>
      <w:r>
        <w:t xml:space="preserve">(Cornejo 2023; Lammers et al. 2022)</w:t>
      </w:r>
      <w:r>
        <w:t xml:space="preserve">. A hipótese fica sem teste.</w:t>
      </w:r>
    </w:p>
    <w:p>
      <w:pPr>
        <w:pStyle w:val="BodyText"/>
      </w:pPr>
      <w:r>
        <w:rPr>
          <w:b/>
          <w:bCs/>
        </w:rPr>
        <w:t xml:space="preserve">Equidade.</w:t>
      </w:r>
      <w:r>
        <w:t xml:space="preserve"> </w:t>
      </w:r>
      <w:r>
        <w:t xml:space="preserve">Dos três estudos que testaram a escolaridade como moderadora, dois não acharam diferença</w:t>
      </w:r>
      <w:r>
        <w:t xml:space="preserve"> </w:t>
      </w:r>
      <w:r>
        <w:t xml:space="preserve">(Dahlgaard et al. 2016; Meer et al. 2015)</w:t>
      </w:r>
      <w:r>
        <w:t xml:space="preserve"> </w:t>
      </w:r>
      <w:r>
        <w:t xml:space="preserve">e um achou a direção prevista para um único partido</w:t>
      </w:r>
      <w:r>
        <w:t xml:space="preserve"> </w:t>
      </w:r>
      <w:r>
        <w:t xml:space="preserve">(Unkelbach et al. 2022, em risco crítico)</w:t>
      </w:r>
      <w:r>
        <w:t xml:space="preserve">. O único teste de classe social não achou moderação. A hipótese de</w:t>
      </w:r>
      <w:r>
        <w:t xml:space="preserve"> </w:t>
      </w:r>
      <w:r>
        <w:rPr>
          <w:i/>
          <w:iCs/>
        </w:rPr>
        <w:t xml:space="preserve">bandwagon</w:t>
      </w:r>
      <w:r>
        <w:t xml:space="preserve"> </w:t>
      </w:r>
      <w:r>
        <w:t xml:space="preserve">maior entre os de menor escolaridade ou classe não encontra apoio consistente.</w:t>
      </w:r>
    </w:p>
    <w:p>
      <w:pPr>
        <w:pStyle w:val="BodyText"/>
      </w:pPr>
      <w:r>
        <w:rPr>
          <w:b/>
          <w:bCs/>
        </w:rPr>
        <w:t xml:space="preserve">Voto obrigatório.</w:t>
      </w:r>
      <w:r>
        <w:t xml:space="preserve"> </w:t>
      </w:r>
      <w:r>
        <w:t xml:space="preserve">Nenhum dos 11 estudos de comparecimento da síntese principal tem voto obrigatório codificado como sim. Desses, 2 estão codificados como não e 9 como não informado. A hipótese de que o voto obrigatório elimina o canal da desmobilização não pode ser examinada.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Os moderadores relatados, a margem mostrada, os dias até a eleição e o voto obrigatório tiveram concordância entre os codificadores de IA abaixo do limiar (P037), e as estimativas por subgrupo citadas aguardam a conferência dos efeitos (P039). As decisões sobre</w:t>
            </w:r>
            <w:r>
              <w:t xml:space="preserve"> </w:t>
            </w:r>
            <w:r>
              <w:t xml:space="preserve">Feltovich e Giovannoni (2022)</w:t>
            </w:r>
            <w:r>
              <w:t xml:space="preserve"> </w:t>
            </w:r>
            <w:r>
              <w:t xml:space="preserve">e Witsman2016a-E01 mudariam as contagens de realismo e de número de competidores.</w:t>
            </w:r>
          </w:p>
          <w:p/>
        </w:tc>
      </w:tr>
    </w:tbl>
    <w:bookmarkEnd w:id="56"/>
    <w:bookmarkStart w:id="57" w:name="sec-percepcao"/>
    <w:p>
      <w:pPr>
        <w:pStyle w:val="Heading1"/>
      </w:pPr>
      <w:r>
        <w:t xml:space="preserve">6. Percepção, implementação e custo</w:t>
      </w:r>
    </w:p>
    <w:p>
      <w:pPr>
        <w:pStyle w:val="FirstParagraph"/>
      </w:pPr>
      <w:r>
        <w:t xml:space="preserve">As revisões</w:t>
      </w:r>
      <w:r>
        <w:t xml:space="preserve"> </w:t>
      </w:r>
      <w:r>
        <w:rPr>
          <w:i/>
          <w:iCs/>
        </w:rPr>
        <w:t xml:space="preserve">O que funciona?</w:t>
      </w:r>
      <w:r>
        <w:t xml:space="preserve"> </w:t>
      </w:r>
      <w:r>
        <w:t xml:space="preserve">avaliam também como os envolvidos percebem uma política, o que a implementação exige e quanto ela custa. Essas dimensões não se aplicam aqui. A exposição a pesquisas é um fenômeno de informação, sem gestor que a implemente, e chega ao eleitor por escolha própria, por acaso ou por manipulação experimental (</w:t>
      </w:r>
      <w:r>
        <w:rPr>
          <w:rStyle w:val="VerbatimChar"/>
        </w:rPr>
        <w:t xml:space="preserve">00-protocolo/pergunta.md</w:t>
      </w:r>
      <w:r>
        <w:t xml:space="preserve">; protocolo, seção 8). Não há implementador cuja fidelidade avaliar nem orçamento cujo custo por beneficiário calcular, e a revisão, restrita ao efeito, não sintetizou achados qualitativos. Por isso, a caixa de ferramentas gerada pelo</w:t>
      </w:r>
      <w:r>
        <w:t xml:space="preserve"> </w:t>
      </w:r>
      <w:r>
        <w:rPr>
          <w:i/>
          <w:iCs/>
        </w:rPr>
        <w:t xml:space="preserve">script</w:t>
      </w:r>
      <w:r>
        <w:t xml:space="preserve"> </w:t>
      </w:r>
      <w:r>
        <w:t xml:space="preserve">registra a implementação como</w:t>
      </w:r>
      <w:r>
        <w:t xml:space="preserve"> </w:t>
      </w:r>
      <w:r>
        <w:t xml:space="preserve">“Não avaliada”</w:t>
      </w:r>
      <w:r>
        <w:t xml:space="preserve"> </w:t>
      </w:r>
      <w:r>
        <w:t xml:space="preserve">e o custo como</w:t>
      </w:r>
      <w:r>
        <w:t xml:space="preserve"> </w:t>
      </w:r>
      <w:r>
        <w:t xml:space="preserve">“Pendente”</w:t>
      </w:r>
      <w:r>
        <w:t xml:space="preserve">. Aqui, tratamos as três linhas como não aplicáveis.</w:t>
      </w:r>
    </w:p>
    <w:p>
      <w:pPr>
        <w:pStyle w:val="BodyText"/>
      </w:pPr>
      <w:r>
        <w:t xml:space="preserve">Um estudo futuro poderia avaliar duas coisas que interessam ao debate brasileiro. A primeira é a percepção dos eleitores sobre as pesquisas, isto é, quanto confiam nelas, como as leem e se dizem usá-las para decidir. Isso permitiria examinar a confiança como moderador. A segunda é o custo regulatório de restrições à divulgação, como embargos, registro e fiscalização, e o custo de oportunidade da informação que deixaria de circular. Seria uma avaliação da regulação, que é um programa, e não da exposição.</w:t>
      </w:r>
    </w:p>
    <w:bookmarkEnd w:id="57"/>
    <w:bookmarkStart w:id="62" w:name="sec-caixa"/>
    <w:p>
      <w:pPr>
        <w:pStyle w:val="Heading1"/>
      </w:pPr>
      <w:r>
        <w:t xml:space="preserve">7. Caixa de ferramentas</w:t>
      </w:r>
    </w:p>
    <w:p>
      <w:pPr>
        <w:pStyle w:val="FirstParagraph"/>
      </w:pPr>
      <w:r>
        <w:t xml:space="preserve">A</w:t>
      </w:r>
      <w:r>
        <w:t xml:space="preserve"> </w:t>
      </w:r>
      <w:hyperlink w:anchor="tbl-oqf">
        <w:r>
          <w:rPr>
            <w:rStyle w:val="Hyperlink"/>
          </w:rPr>
          <w:t xml:space="preserve">Tabela 3</w:t>
        </w:r>
      </w:hyperlink>
      <w:r>
        <w:t xml:space="preserve"> </w:t>
      </w:r>
      <w:r>
        <w:t xml:space="preserve">traz a caixa no formato OQF para a pergunta principal, pesquisa pré-eleitoral e apoio a quem aparece à frente. A</w:t>
      </w:r>
      <w:r>
        <w:t xml:space="preserve"> </w:t>
      </w:r>
      <w:hyperlink w:anchor="tbl-caixa-celulas">
        <w:r>
          <w:rPr>
            <w:rStyle w:val="Hyperlink"/>
          </w:rPr>
          <w:t xml:space="preserve">Tabela 4</w:t>
        </w:r>
      </w:hyperlink>
      <w:r>
        <w:t xml:space="preserve"> </w:t>
      </w:r>
      <w:r>
        <w:t xml:space="preserve">detalha as 18 células do protocolo.</w:t>
      </w:r>
    </w:p>
    <w:tbl>
      <w:tblPr>
        <w:tblStyle w:val="Table"/>
        <w:tblW w:type="pct" w:w="5000"/>
        <w:tblLayout w:type="fixed"/>
        <w:tblLook w:firstRow="0" w:lastRow="0" w:firstColumn="0" w:lastColumn="0" w:noHBand="0" w:noVBand="0" w:val="0000"/>
      </w:tblPr>
      <w:tblGrid>
        <w:gridCol w:w="7920"/>
      </w:tblGrid>
      <w:tr>
        <w:tc>
          <w:tcPr/>
          <w:bookmarkStart w:id="58" w:name="tbl-oqf"/>
          <w:p>
            <w:pPr>
              <w:jc w:val="center"/>
            </w:pPr>
            <w:pPr>
              <w:jc w:val="left"/>
              <w:spacing w:before="200"/>
              <w:pStyle w:val="ImageCaption"/>
            </w:pPr>
            <w:r>
              <w:t xml:space="preserve">Tabela 3: Caixa de ferramentas no formato OQF para a pergunta principal. Rótulos pela regra</w:t>
            </w:r>
            <w:r>
              <w:t xml:space="preserve"> </w:t>
            </w:r>
            <w:r>
              <w:rPr>
                <w:rStyle w:val="VerbatimChar"/>
              </w:rPr>
              <w:t xml:space="preserve">caixa-3</w:t>
            </w:r>
            <w:r>
              <w:t xml:space="preserve">; certeza GRADE sobre a direção, rascunho de IA não validado.</w:t>
            </w:r>
          </w:p>
          <w:tbl>
            <w:tblPr>
              <w:tblStyle w:val="Table"/>
              <w:tblW w:type="pct" w:w="5000"/>
              <w:tblLayout w:type="fixed"/>
              <w:tblLook w:firstRow="1" w:lastRow="0" w:firstColumn="0" w:lastColumn="0" w:noHBand="0" w:noVBand="0" w:val="0020"/>
            </w:tblPr>
            <w:tblGrid>
              <w:gridCol w:w="950"/>
              <w:gridCol w:w="3960"/>
              <w:gridCol w:w="1900"/>
              <w:gridCol w:w="1108"/>
            </w:tblGrid>
            <w:tr>
              <w:trPr>
                <w:tblHeader w:val="on"/>
              </w:trPr>
              <w:tc>
                <w:tcPr/>
                <w:p>
                  <w:pPr>
                    <w:pStyle w:val="Compact"/>
                    <w:jc w:val="center"/>
                  </w:pPr>
                  <w:r>
                    <w:t xml:space="preserve">Dimensão</w:t>
                  </w:r>
                </w:p>
              </w:tc>
              <w:tc>
                <w:tcPr/>
                <w:p>
                  <w:pPr>
                    <w:pStyle w:val="Compact"/>
                    <w:jc w:val="center"/>
                  </w:pPr>
                  <w:r>
                    <w:t xml:space="preserve">Resultado para pesquisa pré-eleitoral × apoio a quem aparece à frente</w:t>
                  </w:r>
                </w:p>
              </w:tc>
              <w:tc>
                <w:tcPr/>
                <w:p>
                  <w:pPr>
                    <w:pStyle w:val="Compact"/>
                    <w:jc w:val="center"/>
                  </w:pPr>
                  <w:r>
                    <w:t xml:space="preserve">Evidência</w:t>
                  </w:r>
                </w:p>
              </w:tc>
              <w:tc>
                <w:tcPr/>
                <w:p>
                  <w:pPr>
                    <w:pStyle w:val="Compact"/>
                    <w:jc w:val="center"/>
                  </w:pPr>
                  <w:r>
                    <w:t xml:space="preserve">Certeza</w:t>
                  </w:r>
                </w:p>
              </w:tc>
            </w:tr>
            <w:tr>
              <w:tc>
                <w:tcPr/>
                <w:p>
                  <w:pPr>
                    <w:pStyle w:val="Compact"/>
                    <w:jc w:val="center"/>
                  </w:pPr>
                  <w:r>
                    <w:t xml:space="preserve">Escala</w:t>
                  </w:r>
                </w:p>
              </w:tc>
              <w:tc>
                <w:tcPr/>
                <w:p>
                  <w:pPr>
                    <w:pStyle w:val="Compact"/>
                    <w:jc w:val="center"/>
                  </w:pPr>
                  <w:r>
                    <w:t xml:space="preserve">Não estimada. Não há meta-análise principal. As duas metas exploratórias deram g = 0,48 (IC 95% −1,51 a 2,47; 3 estudos) e g = 0,62 (IC 95% −0,48 a 1,72; 3 estudos), ambas com menos de 4 graus de liberdade</w:t>
                  </w:r>
                </w:p>
              </w:tc>
              <w:tc>
                <w:tcPr/>
                <w:p>
                  <w:pPr>
                    <w:pStyle w:val="Compact"/>
                    <w:jc w:val="center"/>
                  </w:pPr>
                  <w:r>
                    <w:rPr>
                      <w:rStyle w:val="VerbatimChar"/>
                    </w:rPr>
                    <w:t xml:space="preserve">swim_resumo.json</w:t>
                  </w:r>
                  <w:r>
                    <w:t xml:space="preserve">;</w:t>
                  </w:r>
                  <w:r>
                    <w:t xml:space="preserve"> </w:t>
                  </w:r>
                  <w:r>
                    <w:rPr>
                      <w:rStyle w:val="VerbatimChar"/>
                    </w:rPr>
                    <w:t xml:space="preserve">meta_exploratoria/</w:t>
                  </w:r>
                  <w:r>
                    <w:t xml:space="preserve"> </w:t>
                  </w:r>
                  <w:r>
                    <w:t xml:space="preserve">e</w:t>
                  </w:r>
                  <w:r>
                    <w:t xml:space="preserve"> </w:t>
                  </w:r>
                  <w:r>
                    <w:rPr>
                      <w:rStyle w:val="VerbatimChar"/>
                    </w:rPr>
                    <w:t xml:space="preserve">meta_mesmo_candidato/</w:t>
                  </w:r>
                  <w:r>
                    <w:t xml:space="preserve"> </w:t>
                  </w:r>
                  <w:r>
                    <w:t xml:space="preserve">(</w:t>
                  </w:r>
                  <w:hyperlink w:anchor="sec-apoio">
                    <w:r>
                      <w:rPr>
                        <w:rStyle w:val="Hyperlink"/>
                      </w:rPr>
                      <w:t xml:space="preserve">Seção 3.1</w:t>
                    </w:r>
                  </w:hyperlink>
                  <w:r>
                    <w:t xml:space="preserve">)</w:t>
                  </w:r>
                </w:p>
              </w:tc>
              <w:tc>
                <w:tcPr/>
                <w:p>
                  <w:pPr>
                    <w:pStyle w:val="Compact"/>
                    <w:jc w:val="center"/>
                  </w:pPr>
                  <w:r>
                    <w:t xml:space="preserve">muito baixa (a das células)</w:t>
                  </w:r>
                </w:p>
              </w:tc>
            </w:tr>
            <w:tr>
              <w:tc>
                <w:tcPr/>
                <w:p>
                  <w:pPr>
                    <w:pStyle w:val="Compact"/>
                    <w:jc w:val="center"/>
                  </w:pPr>
                  <w:r>
                    <w:t xml:space="preserve">Força</w:t>
                  </w:r>
                </w:p>
              </w:tc>
              <w:tc>
                <w:tcPr/>
                <w:p>
                  <w:pPr>
                    <w:pStyle w:val="Compact"/>
                    <w:jc w:val="center"/>
                  </w:pPr>
                  <w:r>
                    <w:t xml:space="preserve">Inconclusivo (randomizados: Inconclusivo, força insuficiente; não randomizados: Inconclusivo, força insuficiente). São 9 células com 16 estudos, somando alvo principal, viabilidade e</w:t>
                  </w:r>
                  <w:r>
                    <w:t xml:space="preserve"> </w:t>
                  </w:r>
                  <w:r>
                    <w:rPr>
                      <w:i/>
                      <w:iCs/>
                    </w:rPr>
                    <w:t xml:space="preserve">momentum</w:t>
                  </w:r>
                </w:p>
              </w:tc>
              <w:tc>
                <w:tcPr/>
                <w:p>
                  <w:pPr>
                    <w:pStyle w:val="Compact"/>
                    <w:jc w:val="center"/>
                  </w:pPr>
                  <w:r>
                    <w:rPr>
                      <w:rStyle w:val="VerbatimChar"/>
                    </w:rPr>
                    <w:t xml:space="preserve">caixa_ferramentas.csv</w:t>
                  </w:r>
                  <w:r>
                    <w:t xml:space="preserve"> </w:t>
                  </w:r>
                  <w:r>
                    <w:t xml:space="preserve">(regra</w:t>
                  </w:r>
                  <w:r>
                    <w:t xml:space="preserve"> </w:t>
                  </w:r>
                  <w:r>
                    <w:rPr>
                      <w:rStyle w:val="VerbatimChar"/>
                    </w:rPr>
                    <w:t xml:space="preserve">caixa-3</w:t>
                  </w:r>
                  <w:r>
                    <w:t xml:space="preserve">) e</w:t>
                  </w:r>
                  <w:r>
                    <w:t xml:space="preserve"> </w:t>
                  </w:r>
                  <w:r>
                    <w:rPr>
                      <w:rStyle w:val="VerbatimChar"/>
                    </w:rPr>
                    <w:t xml:space="preserve">certeza.csv</w:t>
                  </w:r>
                </w:p>
              </w:tc>
              <w:tc>
                <w:tcPr/>
                <w:p>
                  <w:pPr>
                    <w:pStyle w:val="Compact"/>
                    <w:jc w:val="center"/>
                  </w:pPr>
                  <w:r>
                    <w:t xml:space="preserve">muito baixa em todas as células</w:t>
                  </w:r>
                </w:p>
              </w:tc>
            </w:tr>
            <w:tr>
              <w:tc>
                <w:tcPr/>
                <w:p>
                  <w:pPr>
                    <w:pStyle w:val="Compact"/>
                    <w:jc w:val="center"/>
                  </w:pPr>
                  <w:r>
                    <w:t xml:space="preserve">Mecanismo</w:t>
                  </w:r>
                </w:p>
              </w:tc>
              <w:tc>
                <w:tcPr/>
                <w:p>
                  <w:pPr>
                    <w:pStyle w:val="Compact"/>
                    <w:jc w:val="center"/>
                  </w:pPr>
                  <w:r>
                    <w:t xml:space="preserve">Descritivo. Voto estratégico e viabilidade é o canal com mais estudos e testes diretos em laboratório; a heurística de consenso tem uma manipulação, em vinheta (</w:t>
                  </w:r>
                  <w:r>
                    <w:t xml:space="preserve">Lammers et al. (2022)</w:t>
                  </w:r>
                  <w:r>
                    <w:t xml:space="preserve">); a conformidade não foi isolada por nenhum estudo</w:t>
                  </w:r>
                </w:p>
              </w:tc>
              <w:tc>
                <w:tcPr/>
                <w:p>
                  <w:pPr>
                    <w:pStyle w:val="Compact"/>
                    <w:jc w:val="center"/>
                  </w:pPr>
                  <w:r>
                    <w:t xml:space="preserve">fichamento por IA (</w:t>
                  </w:r>
                  <w:r>
                    <w:rPr>
                      <w:rStyle w:val="VerbatimChar"/>
                    </w:rPr>
                    <w:t xml:space="preserve">fichamentos_master.csv</w:t>
                  </w:r>
                  <w:r>
                    <w:t xml:space="preserve">);</w:t>
                  </w:r>
                  <w:r>
                    <w:t xml:space="preserve"> </w:t>
                  </w:r>
                  <w:hyperlink w:anchor="sec-mecanismo">
                    <w:r>
                      <w:rPr>
                        <w:rStyle w:val="Hyperlink"/>
                      </w:rPr>
                      <w:t xml:space="preserve">Seção 4</w:t>
                    </w:r>
                  </w:hyperlink>
                </w:p>
              </w:tc>
              <w:tc>
                <w:tcPr/>
                <w:p>
                  <w:pPr>
                    <w:pStyle w:val="Compact"/>
                    <w:jc w:val="center"/>
                  </w:pPr>
                  <w:r>
                    <w:t xml:space="preserve">sem GRADE (descritivo)</w:t>
                  </w:r>
                </w:p>
              </w:tc>
            </w:tr>
            <w:tr>
              <w:tc>
                <w:tcPr/>
                <w:p>
                  <w:pPr>
                    <w:pStyle w:val="Compact"/>
                    <w:jc w:val="center"/>
                  </w:pPr>
                  <w:r>
                    <w:t xml:space="preserve">Moderador</w:t>
                  </w:r>
                </w:p>
              </w:tc>
              <w:tc>
                <w:tcPr/>
                <w:p>
                  <w:pPr>
                    <w:pStyle w:val="Compact"/>
                    <w:jc w:val="center"/>
                  </w:pPr>
                  <w:r>
                    <w:t xml:space="preserve">Descritivo. Na célula principal, todos os estudos hipotéticos ou induzidos vão na direção</w:t>
                  </w:r>
                  <w:r>
                    <w:t xml:space="preserve"> </w:t>
                  </w:r>
                  <w:r>
                    <w:rPr>
                      <w:i/>
                      <w:iCs/>
                    </w:rPr>
                    <w:t xml:space="preserve">bandwagon</w:t>
                  </w:r>
                  <w:r>
                    <w:t xml:space="preserve">, e só um experimento de pesquisa usou eleição real (</w:t>
                  </w:r>
                  <w:r>
                    <w:t xml:space="preserve">Farjam (2020)</w:t>
                  </w:r>
                  <w:r>
                    <w:t xml:space="preserve">); o partidarismo não atenuou o efeito no único teste pré-especificado dentro da síntese principal (</w:t>
                  </w:r>
                  <w:r>
                    <w:t xml:space="preserve">Cornejo (2023)</w:t>
                  </w:r>
                  <w:r>
                    <w:t xml:space="preserve">); nenhum moderador teve estudos suficientes para teste</w:t>
                  </w:r>
                </w:p>
              </w:tc>
              <w:tc>
                <w:tcPr/>
                <w:p>
                  <w:pPr>
                    <w:pStyle w:val="Compact"/>
                    <w:jc w:val="center"/>
                  </w:pPr>
                  <w:r>
                    <w:t xml:space="preserve">fichamento por IA e SWiM principal;</w:t>
                  </w:r>
                  <w:r>
                    <w:t xml:space="preserve"> </w:t>
                  </w:r>
                  <w:hyperlink w:anchor="sec-moderadores">
                    <w:r>
                      <w:rPr>
                        <w:rStyle w:val="Hyperlink"/>
                      </w:rPr>
                      <w:t xml:space="preserve">Seção 5</w:t>
                    </w:r>
                  </w:hyperlink>
                </w:p>
              </w:tc>
              <w:tc>
                <w:tcPr/>
                <w:p>
                  <w:pPr>
                    <w:pStyle w:val="Compact"/>
                    <w:jc w:val="center"/>
                  </w:pPr>
                  <w:r>
                    <w:t xml:space="preserve">sem GRADE (descritivo)</w:t>
                  </w:r>
                </w:p>
              </w:tc>
            </w:tr>
            <w:tr>
              <w:tc>
                <w:tcPr/>
                <w:p>
                  <w:pPr>
                    <w:pStyle w:val="Compact"/>
                    <w:jc w:val="center"/>
                  </w:pPr>
                  <w:r>
                    <w:t xml:space="preserve">Implementação</w:t>
                  </w:r>
                </w:p>
              </w:tc>
              <w:tc>
                <w:tcPr/>
                <w:p>
                  <w:pPr>
                    <w:pStyle w:val="Compact"/>
                    <w:jc w:val="center"/>
                  </w:pPr>
                  <w:r>
                    <w:t xml:space="preserve">Não se aplica: a exposição a pesquisas não é um programa implementado por um gestor. A caixa gerada registra</w:t>
                  </w:r>
                  <w:r>
                    <w:t xml:space="preserve"> </w:t>
                  </w:r>
                  <w:r>
                    <w:t xml:space="preserve">“Não avaliada”</w:t>
                  </w:r>
                  <w:r>
                    <w:t xml:space="preserve"> </w:t>
                  </w:r>
                  <w:r>
                    <w:t xml:space="preserve">por falta das variáveis de implementação</w:t>
                  </w:r>
                </w:p>
              </w:tc>
              <w:tc>
                <w:tcPr/>
                <w:p>
                  <w:pPr>
                    <w:pStyle w:val="Compact"/>
                    <w:jc w:val="center"/>
                  </w:pPr>
                  <w:r>
                    <w:rPr>
                      <w:rStyle w:val="VerbatimChar"/>
                    </w:rPr>
                    <w:t xml:space="preserve">pergunta.md</w:t>
                  </w:r>
                  <w:r>
                    <w:t xml:space="preserve">; protocolo, seção 8;</w:t>
                  </w:r>
                  <w:r>
                    <w:t xml:space="preserve"> </w:t>
                  </w:r>
                  <w:hyperlink w:anchor="sec-percepcao">
                    <w:r>
                      <w:rPr>
                        <w:rStyle w:val="Hyperlink"/>
                      </w:rPr>
                      <w:t xml:space="preserve">Seção 6</w:t>
                    </w:r>
                  </w:hyperlink>
                </w:p>
              </w:tc>
              <w:tc>
                <w:tcPr/>
                <w:p>
                  <w:pPr>
                    <w:pStyle w:val="Compact"/>
                    <w:jc w:val="center"/>
                  </w:pPr>
                  <w:r>
                    <w:t xml:space="preserve">não se aplica</w:t>
                  </w:r>
                </w:p>
              </w:tc>
            </w:tr>
            <w:tr>
              <w:tc>
                <w:tcPr/>
                <w:p>
                  <w:pPr>
                    <w:pStyle w:val="Compact"/>
                    <w:jc w:val="center"/>
                  </w:pPr>
                  <w:r>
                    <w:t xml:space="preserve">Percepção</w:t>
                  </w:r>
                </w:p>
              </w:tc>
              <w:tc>
                <w:tcPr/>
                <w:p>
                  <w:pPr>
                    <w:pStyle w:val="Compact"/>
                    <w:jc w:val="center"/>
                  </w:pPr>
                  <w:r>
                    <w:t xml:space="preserve">Não se aplica: a revisão é só de efeito e não sintetizou achados qualitativos sobre como eleitores percebem as pesquisas</w:t>
                  </w:r>
                </w:p>
              </w:tc>
              <w:tc>
                <w:tcPr/>
                <w:p>
                  <w:pPr>
                    <w:pStyle w:val="Compact"/>
                    <w:jc w:val="center"/>
                  </w:pPr>
                  <w:r>
                    <w:t xml:space="preserve">protocolo, seções 8 e 9;</w:t>
                  </w:r>
                  <w:r>
                    <w:t xml:space="preserve"> </w:t>
                  </w:r>
                  <w:hyperlink w:anchor="sec-percepcao">
                    <w:r>
                      <w:rPr>
                        <w:rStyle w:val="Hyperlink"/>
                      </w:rPr>
                      <w:t xml:space="preserve">Seção 6</w:t>
                    </w:r>
                  </w:hyperlink>
                </w:p>
              </w:tc>
              <w:tc>
                <w:tcPr/>
                <w:p>
                  <w:pPr>
                    <w:pStyle w:val="Compact"/>
                    <w:jc w:val="center"/>
                  </w:pPr>
                  <w:r>
                    <w:t xml:space="preserve">não se aplica</w:t>
                  </w:r>
                </w:p>
              </w:tc>
            </w:tr>
            <w:tr>
              <w:tc>
                <w:tcPr/>
                <w:p>
                  <w:pPr>
                    <w:pStyle w:val="Compact"/>
                    <w:jc w:val="center"/>
                  </w:pPr>
                  <w:r>
                    <w:t xml:space="preserve">Custo</w:t>
                  </w:r>
                </w:p>
              </w:tc>
              <w:tc>
                <w:tcPr/>
                <w:p>
                  <w:pPr>
                    <w:pStyle w:val="Compact"/>
                    <w:jc w:val="center"/>
                  </w:pPr>
                  <w:r>
                    <w:t xml:space="preserve">Não se aplica à exposição. A caixa gerada registra</w:t>
                  </w:r>
                  <w:r>
                    <w:t xml:space="preserve"> </w:t>
                  </w:r>
                  <w:r>
                    <w:t xml:space="preserve">“Pendente”</w:t>
                  </w:r>
                  <w:r>
                    <w:t xml:space="preserve"> </w:t>
                  </w:r>
                  <w:r>
                    <w:t xml:space="preserve">porque não há dado de custo no fichamento</w:t>
                  </w:r>
                </w:p>
              </w:tc>
              <w:tc>
                <w:tcPr/>
                <w:p>
                  <w:pPr>
                    <w:pStyle w:val="Compact"/>
                    <w:jc w:val="center"/>
                  </w:pPr>
                  <w:r>
                    <w:rPr>
                      <w:rStyle w:val="VerbatimChar"/>
                    </w:rPr>
                    <w:t xml:space="preserve">caixa_ferramentas.csv</w:t>
                  </w:r>
                  <w:r>
                    <w:t xml:space="preserve">;</w:t>
                  </w:r>
                  <w:r>
                    <w:t xml:space="preserve"> </w:t>
                  </w:r>
                  <w:hyperlink w:anchor="sec-percepcao">
                    <w:r>
                      <w:rPr>
                        <w:rStyle w:val="Hyperlink"/>
                      </w:rPr>
                      <w:t xml:space="preserve">Seção 6</w:t>
                    </w:r>
                  </w:hyperlink>
                </w:p>
              </w:tc>
              <w:tc>
                <w:tcPr/>
                <w:p>
                  <w:pPr>
                    <w:pStyle w:val="Compact"/>
                    <w:jc w:val="center"/>
                  </w:pPr>
                  <w:r>
                    <w:t xml:space="preserve">não se aplica</w:t>
                  </w:r>
                </w:p>
              </w:tc>
            </w:tr>
          </w:tbl>
          <w:bookmarkEnd w:id="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tbl-caixa-celulas"/>
          <w:p>
            <w:pPr>
              <w:jc w:val="center"/>
            </w:pPr>
            <w:pPr>
              <w:jc w:val="left"/>
              <w:spacing w:before="200"/>
              <w:pStyle w:val="ImageCaption"/>
            </w:pPr>
            <w:r>
              <w:t xml:space="preserve">Tabela 4: Caixa de ferramentas célula a célula (</w:t>
            </w:r>
            <w:r>
              <w:rPr>
                <w:rStyle w:val="VerbatimChar"/>
              </w:rPr>
              <w:t xml:space="preserve">09-documento-final/gerar_caixa_oqf.py</w:t>
            </w:r>
            <w:r>
              <w:t xml:space="preserve">, a partir de</w:t>
            </w:r>
            <w:r>
              <w:t xml:space="preserve"> </w:t>
            </w:r>
            <w:r>
              <w:rPr>
                <w:rStyle w:val="VerbatimChar"/>
              </w:rPr>
              <w:t xml:space="preserve">06-analise/swim_principal/swim_resumo.json</w:t>
            </w:r>
            <w:r>
              <w:t xml:space="preserve">,</w:t>
            </w:r>
            <w:r>
              <w:t xml:space="preserve"> </w:t>
            </w:r>
            <w:r>
              <w:rPr>
                <w:rStyle w:val="VerbatimChar"/>
              </w:rPr>
              <w:t xml:space="preserve">06-analise/certeza.csv</w:t>
            </w:r>
            <w:r>
              <w:t xml:space="preserve"> </w:t>
            </w:r>
            <w:r>
              <w:t xml:space="preserve">e</w:t>
            </w:r>
            <w:r>
              <w:t xml:space="preserve"> </w:t>
            </w:r>
            <w:r>
              <w:rPr>
                <w:rStyle w:val="VerbatimChar"/>
              </w:rPr>
              <w:t xml:space="preserve">06-analise/caixa_ferramentas.csv</w:t>
            </w:r>
            <w:r>
              <w:t xml:space="preserve">). Direção: estudos a favor (</w:t>
            </w:r>
            <w:r>
              <w:rPr>
                <w:i/>
                <w:iCs/>
              </w:rPr>
              <w:t xml:space="preserve">bandwagon</w:t>
            </w:r>
            <w:r>
              <w:t xml:space="preserve">, viabilidade,</w:t>
            </w:r>
            <w:r>
              <w:t xml:space="preserve"> </w:t>
            </w:r>
            <w:r>
              <w:rPr>
                <w:i/>
                <w:iCs/>
              </w:rPr>
              <w:t xml:space="preserve">momentum</w:t>
            </w:r>
            <w:r>
              <w:t xml:space="preserve"> </w:t>
            </w:r>
            <w:r>
              <w:t xml:space="preserve">a favor ou mobilização), contra e nulos. Rótulo pela regra</w:t>
            </w:r>
            <w:r>
              <w:t xml:space="preserve"> </w:t>
            </w:r>
            <w:r>
              <w:rPr>
                <w:rStyle w:val="VerbatimChar"/>
              </w:rPr>
              <w:t xml:space="preserve">caixa-3</w:t>
            </w:r>
            <w:r>
              <w:t xml:space="preserve">, calculado no nível família × desfecho × desenho e repetido em cada célula; certeza GRADE sobre a direção, rascunho de IA não validado.</w:t>
            </w:r>
          </w:p>
          <w:tbl>
            <w:tblPr>
              <w:tblStyle w:val="Table"/>
              <w:tblW w:type="pct" w:w="5000"/>
              <w:tblLayout w:type="fixed"/>
              <w:tblLook w:firstRow="1" w:lastRow="0" w:firstColumn="0" w:lastColumn="0" w:noHBand="0" w:noVBand="0" w:val="0020"/>
            </w:tblPr>
            <w:tblGrid>
              <w:gridCol w:w="950"/>
              <w:gridCol w:w="1108"/>
              <w:gridCol w:w="871"/>
              <w:gridCol w:w="712"/>
              <w:gridCol w:w="1584"/>
              <w:gridCol w:w="950"/>
              <w:gridCol w:w="554"/>
              <w:gridCol w:w="633"/>
              <w:gridCol w:w="554"/>
            </w:tblGrid>
            <w:tr>
              <w:trPr>
                <w:tblHeader w:val="on"/>
              </w:trPr>
              <w:tc>
                <w:tcPr/>
                <w:p>
                  <w:pPr>
                    <w:pStyle w:val="Compact"/>
                    <w:jc w:val="center"/>
                  </w:pPr>
                  <w:r>
                    <w:t xml:space="preserve">Intervenção</w:t>
                  </w:r>
                </w:p>
              </w:tc>
              <w:tc>
                <w:tcPr/>
                <w:p>
                  <w:pPr>
                    <w:pStyle w:val="Compact"/>
                    <w:jc w:val="center"/>
                  </w:pPr>
                  <w:r>
                    <w:t xml:space="preserve">Resultado</w:t>
                  </w:r>
                </w:p>
              </w:tc>
              <w:tc>
                <w:tcPr/>
                <w:p>
                  <w:pPr>
                    <w:pStyle w:val="Compact"/>
                    <w:jc w:val="center"/>
                  </w:pPr>
                  <w:r>
                    <w:t xml:space="preserve">Comparador</w:t>
                  </w:r>
                </w:p>
              </w:tc>
              <w:tc>
                <w:tcPr/>
                <w:p>
                  <w:pPr>
                    <w:pStyle w:val="Compact"/>
                    <w:jc w:val="center"/>
                  </w:pPr>
                  <w:r>
                    <w:t xml:space="preserve">Desenho</w:t>
                  </w:r>
                </w:p>
              </w:tc>
              <w:tc>
                <w:tcPr/>
                <w:p>
                  <w:pPr>
                    <w:pStyle w:val="Compact"/>
                    <w:jc w:val="center"/>
                  </w:pPr>
                  <w:r>
                    <w:t xml:space="preserve">Estudos</w:t>
                  </w:r>
                </w:p>
              </w:tc>
              <w:tc>
                <w:tcPr/>
                <w:p>
                  <w:pPr>
                    <w:pStyle w:val="Compact"/>
                    <w:jc w:val="center"/>
                  </w:pPr>
                  <w:r>
                    <w:t xml:space="preserve">Direção (a favor / contra / nulo)</w:t>
                  </w:r>
                </w:p>
              </w:tc>
              <w:tc>
                <w:tcPr/>
                <w:p>
                  <w:pPr>
                    <w:pStyle w:val="Compact"/>
                    <w:jc w:val="center"/>
                  </w:pPr>
                  <w:r>
                    <w:t xml:space="preserve">p do teste de sinal</w:t>
                  </w:r>
                </w:p>
              </w:tc>
              <w:tc>
                <w:tcPr/>
                <w:p>
                  <w:pPr>
                    <w:pStyle w:val="Compact"/>
                    <w:jc w:val="center"/>
                  </w:pPr>
                  <w:r>
                    <w:t xml:space="preserve">Rótulo</w:t>
                  </w:r>
                </w:p>
              </w:tc>
              <w:tc>
                <w:tcPr/>
                <w:p>
                  <w:pPr>
                    <w:pStyle w:val="Compact"/>
                    <w:jc w:val="center"/>
                  </w:pPr>
                  <w:r>
                    <w:t xml:space="preserve">Certeza</w:t>
                  </w:r>
                </w:p>
              </w:tc>
            </w:tr>
            <w:tr>
              <w:tc>
                <w:tcPr/>
                <w:p>
                  <w:pPr>
                    <w:pStyle w:val="Compact"/>
                    <w:jc w:val="center"/>
                  </w:pPr>
                  <w:r>
                    <w:t xml:space="preserve">Boca de urna</w:t>
                  </w:r>
                </w:p>
              </w:tc>
              <w:tc>
                <w:tcPr/>
                <w:p>
                  <w:pPr>
                    <w:pStyle w:val="Compact"/>
                    <w:jc w:val="center"/>
                  </w:pPr>
                  <w:r>
                    <w:t xml:space="preserve">Apoio (a quem aparece à frente)</w:t>
                  </w:r>
                </w:p>
              </w:tc>
              <w:tc>
                <w:tcPr/>
                <w:p>
                  <w:pPr>
                    <w:pStyle w:val="Compact"/>
                    <w:jc w:val="center"/>
                  </w:pPr>
                  <w:r>
                    <w:t xml:space="preserve">antes × depois da proibição</w:t>
                  </w:r>
                </w:p>
              </w:tc>
              <w:tc>
                <w:tcPr/>
                <w:p>
                  <w:pPr>
                    <w:pStyle w:val="Compact"/>
                    <w:jc w:val="center"/>
                  </w:pPr>
                  <w:r>
                    <w:t xml:space="preserve">não randomizado</w:t>
                  </w:r>
                </w:p>
              </w:tc>
              <w:tc>
                <w:tcPr/>
                <w:p>
                  <w:pPr>
                    <w:pStyle w:val="Compact"/>
                    <w:jc w:val="center"/>
                  </w:pPr>
                  <w:r>
                    <w:t xml:space="preserve">2 (</w:t>
                  </w:r>
                  <w:r>
                    <w:t xml:space="preserve">Morton et al. (2015)</w:t>
                  </w:r>
                  <w:r>
                    <w:t xml:space="preserve">,</w:t>
                  </w:r>
                  <w:r>
                    <w:t xml:space="preserve"> </w:t>
                  </w:r>
                  <w:r>
                    <w:t xml:space="preserve">Chatterjee e Kamal (2019)</w:t>
                  </w:r>
                  <w:r>
                    <w:t xml:space="preserve">)</w:t>
                  </w:r>
                </w:p>
              </w:tc>
              <w:tc>
                <w:tcPr/>
                <w:p>
                  <w:pPr>
                    <w:pStyle w:val="Compact"/>
                    <w:jc w:val="center"/>
                  </w:pPr>
                  <w:r>
                    <w:t xml:space="preserve">1 / 1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Apuração parcial oficial</w:t>
                  </w:r>
                </w:p>
              </w:tc>
              <w:tc>
                <w:tcPr/>
                <w:p>
                  <w:pPr>
                    <w:pStyle w:val="Compact"/>
                    <w:jc w:val="center"/>
                  </w:pPr>
                  <w:r>
                    <w:t xml:space="preserve">Apoio (a quem aparece à frente)</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1 (</w:t>
                  </w:r>
                  <w:r>
                    <w:t xml:space="preserve">Araujo e Gatto (2021)</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w:t>
                  </w:r>
                </w:p>
              </w:tc>
              <w:tc>
                <w:tcPr/>
                <w:p>
                  <w:pPr>
                    <w:pStyle w:val="Compact"/>
                    <w:jc w:val="center"/>
                  </w:pPr>
                  <w:r>
                    <w:t xml:space="preserve">randomizado</w:t>
                  </w:r>
                </w:p>
              </w:tc>
              <w:tc>
                <w:tcPr/>
                <w:p>
                  <w:pPr>
                    <w:pStyle w:val="Compact"/>
                    <w:jc w:val="center"/>
                  </w:pPr>
                  <w:r>
                    <w:t xml:space="preserve">1 (</w:t>
                  </w:r>
                  <w:r>
                    <w:t xml:space="preserve">Meer et al. (2015)</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1 (</w:t>
                  </w:r>
                  <w:r>
                    <w:t xml:space="preserve">Stolwijk et al. (2016)</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1 (</w:t>
                  </w:r>
                  <w:r>
                    <w:t xml:space="preserve">Dahlgaard et al. (2016)</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(a quem aparece à frente)</w:t>
                  </w:r>
                </w:p>
              </w:tc>
              <w:tc>
                <w:tcPr/>
                <w:p>
                  <w:pPr>
                    <w:pStyle w:val="Compact"/>
                    <w:jc w:val="center"/>
                  </w:pPr>
                  <w:r>
                    <w:t xml:space="preserve">mesmo candidato atrás</w:t>
                  </w:r>
                </w:p>
              </w:tc>
              <w:tc>
                <w:tcPr/>
                <w:p>
                  <w:pPr>
                    <w:pStyle w:val="Compact"/>
                    <w:jc w:val="center"/>
                  </w:pPr>
                  <w:r>
                    <w:t xml:space="preserve">randomizado</w:t>
                  </w:r>
                </w:p>
              </w:tc>
              <w:tc>
                <w:tcPr/>
                <w:p>
                  <w:pPr>
                    <w:pStyle w:val="Compact"/>
                    <w:jc w:val="center"/>
                  </w:pPr>
                  <w:r>
                    <w:t xml:space="preserve">4 (</w:t>
                  </w:r>
                  <w:r>
                    <w:t xml:space="preserve">Tal et al. (2015)</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Witsman (2016)</w:t>
                  </w:r>
                  <w:r>
                    <w:t xml:space="preserve">)</w:t>
                  </w:r>
                </w:p>
              </w:tc>
              <w:tc>
                <w:tcPr/>
                <w:p>
                  <w:pPr>
                    <w:pStyle w:val="Compact"/>
                    <w:jc w:val="center"/>
                  </w:pPr>
                  <w:r>
                    <w:t xml:space="preserve">4 / 0 / 0</w:t>
                  </w:r>
                </w:p>
              </w:tc>
              <w:tc>
                <w:tcPr/>
                <w:p>
                  <w:pPr>
                    <w:pStyle w:val="Compact"/>
                    <w:jc w:val="center"/>
                  </w:pPr>
                  <w:r>
                    <w:t xml:space="preserve">0,125</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(a quem aparece à frente)</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1 (</w:t>
                  </w:r>
                  <w:r>
                    <w:t xml:space="preserve">Feltovich e Giovannoni (2022)</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(a quem aparece à frente)</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1 (</w:t>
                  </w:r>
                  <w:r>
                    <w:t xml:space="preserve">Boukouras et al. (2020)</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(a quem aparece à frente)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4 (</w:t>
                  </w: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r>
                    <w:t xml:space="preserve">)</w:t>
                  </w:r>
                </w:p>
              </w:tc>
              <w:tc>
                <w:tcPr/>
                <w:p>
                  <w:pPr>
                    <w:pStyle w:val="Compact"/>
                    <w:jc w:val="center"/>
                  </w:pPr>
                  <w:r>
                    <w:t xml:space="preserve">4 / 0 / 0</w:t>
                  </w:r>
                </w:p>
              </w:tc>
              <w:tc>
                <w:tcPr/>
                <w:p>
                  <w:pPr>
                    <w:pStyle w:val="Compact"/>
                    <w:jc w:val="center"/>
                  </w:pPr>
                  <w:r>
                    <w:t xml:space="preserve">0,125</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2 (</w:t>
                  </w:r>
                  <w:r>
                    <w:t xml:space="preserve">Schlegel et al. (2023)</w:t>
                  </w:r>
                  <w:r>
                    <w:t xml:space="preserve">,</w:t>
                  </w:r>
                  <w:r>
                    <w:t xml:space="preserve"> </w:t>
                  </w:r>
                  <w:r>
                    <w:t xml:space="preserve">Fredén et al. (2024)</w:t>
                  </w:r>
                  <w:r>
                    <w:t xml:space="preserve">)</w:t>
                  </w:r>
                </w:p>
              </w:tc>
              <w:tc>
                <w:tcPr/>
                <w:p>
                  <w:pPr>
                    <w:pStyle w:val="Compact"/>
                    <w:jc w:val="center"/>
                  </w:pPr>
                  <w:r>
                    <w:t xml:space="preserve">1 / 0 / 0 (1 misto)</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1 (</w:t>
                  </w:r>
                  <w:r>
                    <w:t xml:space="preserve">Cornejo (2023)</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Agregador ou projeção</w:t>
                  </w:r>
                </w:p>
              </w:tc>
              <w:tc>
                <w:tcPr/>
                <w:p>
                  <w:pPr>
                    <w:pStyle w:val="Compact"/>
                    <w:jc w:val="center"/>
                  </w:pPr>
                  <w:r>
                    <w:t xml:space="preserve">Comparecimento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1 (</w:t>
                  </w:r>
                  <w:r>
                    <w:t xml:space="preserve">Westwood et al. (2020)</w:t>
                  </w:r>
                  <w:r>
                    <w:t xml:space="preserve">)</w:t>
                  </w:r>
                </w:p>
              </w:tc>
              <w:tc>
                <w:tcPr/>
                <w:p>
                  <w:pPr>
                    <w:pStyle w:val="Compact"/>
                    <w:jc w:val="center"/>
                  </w:pPr>
                  <w:r>
                    <w:t xml:space="preserve">0 / 1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baixa</w:t>
                  </w:r>
                </w:p>
              </w:tc>
            </w:tr>
            <w:tr>
              <w:tc>
                <w:tcPr/>
                <w:p>
                  <w:pPr>
                    <w:pStyle w:val="Compact"/>
                    <w:jc w:val="center"/>
                  </w:pPr>
                  <w:r>
                    <w:t xml:space="preserve">Boca de urna</w:t>
                  </w:r>
                </w:p>
              </w:tc>
              <w:tc>
                <w:tcPr/>
                <w:p>
                  <w:pPr>
                    <w:pStyle w:val="Compact"/>
                    <w:jc w:val="center"/>
                  </w:pPr>
                  <w:r>
                    <w:t xml:space="preserve">Comparecimento</w:t>
                  </w:r>
                </w:p>
              </w:tc>
              <w:tc>
                <w:tcPr/>
                <w:p>
                  <w:pPr>
                    <w:pStyle w:val="Compact"/>
                    <w:jc w:val="center"/>
                  </w:pPr>
                  <w:r>
                    <w:t xml:space="preserve">antes × depois da proibição</w:t>
                  </w:r>
                </w:p>
              </w:tc>
              <w:tc>
                <w:tcPr/>
                <w:p>
                  <w:pPr>
                    <w:pStyle w:val="Compact"/>
                    <w:jc w:val="center"/>
                  </w:pPr>
                  <w:r>
                    <w:t xml:space="preserve">não randomizado</w:t>
                  </w:r>
                </w:p>
              </w:tc>
              <w:tc>
                <w:tcPr/>
                <w:p>
                  <w:pPr>
                    <w:pStyle w:val="Compact"/>
                    <w:jc w:val="center"/>
                  </w:pPr>
                  <w:r>
                    <w:t xml:space="preserve">2 (</w:t>
                  </w:r>
                  <w:r>
                    <w:t xml:space="preserve">Morton et al. (2015)</w:t>
                  </w:r>
                  <w:r>
                    <w:t xml:space="preserve">,</w:t>
                  </w:r>
                  <w:r>
                    <w:t xml:space="preserve"> </w:t>
                  </w:r>
                  <w:r>
                    <w:t xml:space="preserve">Chatterjee e Kamal (2019)</w:t>
                  </w:r>
                  <w:r>
                    <w:t xml:space="preserve">)</w:t>
                  </w:r>
                </w:p>
              </w:tc>
              <w:tc>
                <w:tcPr/>
                <w:p>
                  <w:pPr>
                    <w:pStyle w:val="Compact"/>
                    <w:jc w:val="center"/>
                  </w:pPr>
                  <w:r>
                    <w:t xml:space="preserve">0 / 1 / 0 (1 misto)</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Comparecimento</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1 (</w:t>
                  </w:r>
                  <w:r>
                    <w:t xml:space="preserve">Grillo e Raiber (2024)</w:t>
                  </w:r>
                  <w:r>
                    <w:t xml:space="preserve">)</w:t>
                  </w:r>
                </w:p>
              </w:tc>
              <w:tc>
                <w:tcPr/>
                <w:p>
                  <w:pPr>
                    <w:pStyle w:val="Compact"/>
                    <w:jc w:val="center"/>
                  </w:pPr>
                  <w:r>
                    <w:t xml:space="preserve">0 / 1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Comparecimento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1 (</w:t>
                  </w:r>
                  <w:r>
                    <w:t xml:space="preserve">Gerber et al. (2020)</w:t>
                  </w:r>
                  <w:r>
                    <w:t xml:space="preserve">)</w:t>
                  </w:r>
                </w:p>
              </w:tc>
              <w:tc>
                <w:tcPr/>
                <w:p>
                  <w:pPr>
                    <w:pStyle w:val="Compact"/>
                    <w:jc w:val="center"/>
                  </w:pPr>
                  <w:r>
                    <w:t xml:space="preserve">0 / 0 / 1</w:t>
                  </w:r>
                </w:p>
              </w:tc>
              <w:tc>
                <w:tcPr/>
                <w:p>
                  <w:pPr>
                    <w:pStyle w:val="Compact"/>
                    <w:jc w:val="center"/>
                  </w:pPr>
                  <w:r>
                    <w:t xml:space="preserve">não se aplica</w:t>
                  </w:r>
                </w:p>
              </w:tc>
              <w:tc>
                <w:tcPr/>
                <w:p>
                  <w:pPr>
                    <w:pStyle w:val="Compact"/>
                    <w:jc w:val="center"/>
                  </w:pPr>
                  <w:r>
                    <w:t xml:space="preserve">Inconclusivo</w:t>
                  </w:r>
                </w:p>
              </w:tc>
              <w:tc>
                <w:tcPr/>
                <w:p>
                  <w:pPr>
                    <w:pStyle w:val="Compact"/>
                    <w:jc w:val="center"/>
                  </w:pPr>
                  <w:r>
                    <w:t xml:space="preserve">moderada</w:t>
                  </w:r>
                </w:p>
              </w:tc>
            </w:tr>
            <w:tr>
              <w:tc>
                <w:tcPr/>
                <w:p>
                  <w:pPr>
                    <w:pStyle w:val="Compact"/>
                    <w:jc w:val="center"/>
                  </w:pPr>
                  <w:r>
                    <w:t xml:space="preserve">Pesquisa pré-eleitoral</w:t>
                  </w:r>
                </w:p>
              </w:tc>
              <w:tc>
                <w:tcPr/>
                <w:p>
                  <w:pPr>
                    <w:pStyle w:val="Compact"/>
                    <w:jc w:val="center"/>
                  </w:pPr>
                  <w:r>
                    <w:t xml:space="preserve">Comparecimento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1 (</w:t>
                  </w:r>
                  <w:r>
                    <w:t xml:space="preserve">Klor e Winter (2017)</w:t>
                  </w:r>
                  <w:r>
                    <w:t xml:space="preserve">)</w:t>
                  </w:r>
                </w:p>
              </w:tc>
              <w:tc>
                <w:tcPr/>
                <w:p>
                  <w:pPr>
                    <w:pStyle w:val="Compact"/>
                    <w:jc w:val="center"/>
                  </w:pPr>
                  <w:r>
                    <w:t xml:space="preserve">1 / 0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Comparecimento</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3 (</w:t>
                  </w:r>
                  <w:r>
                    <w:t xml:space="preserve">Agranov et al. (2017)</w:t>
                  </w:r>
                  <w:r>
                    <w:t xml:space="preserve">,</w:t>
                  </w:r>
                  <w:r>
                    <w:t xml:space="preserve"> </w:t>
                  </w:r>
                  <w:r>
                    <w:t xml:space="preserve">Großer e Schram (2010)</w:t>
                  </w:r>
                  <w:r>
                    <w:t xml:space="preserve">,</w:t>
                  </w:r>
                  <w:r>
                    <w:t xml:space="preserve"> </w:t>
                  </w:r>
                  <w:r>
                    <w:t xml:space="preserve">Erlich (2023)</w:t>
                  </w:r>
                  <w:r>
                    <w:t xml:space="preserve">)</w:t>
                  </w:r>
                </w:p>
              </w:tc>
              <w:tc>
                <w:tcPr/>
                <w:p>
                  <w:pPr>
                    <w:pStyle w:val="Compact"/>
                    <w:jc w:val="center"/>
                  </w:pPr>
                  <w:r>
                    <w:t xml:space="preserve">2 / 1 / 0</w:t>
                  </w:r>
                </w:p>
              </w:tc>
              <w:tc>
                <w:tcPr/>
                <w:p>
                  <w:pPr>
                    <w:pStyle w:val="Compact"/>
                    <w:jc w:val="center"/>
                  </w:pPr>
                  <w:r>
                    <w:t xml:space="preserve">1,000</w:t>
                  </w:r>
                </w:p>
              </w:tc>
              <w:tc>
                <w:tcPr/>
                <w:p>
                  <w:pPr>
                    <w:pStyle w:val="Compact"/>
                    <w:jc w:val="center"/>
                  </w:pPr>
                  <w:r>
                    <w:t xml:space="preserve">Inconclusivo</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Comparecimento</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2 (</w:t>
                  </w:r>
                  <w:r>
                    <w:t xml:space="preserve">Stolwijk e Schuck (2019)</w:t>
                  </w:r>
                  <w:r>
                    <w:t xml:space="preserve">,</w:t>
                  </w:r>
                  <w:r>
                    <w:t xml:space="preserve"> </w:t>
                  </w:r>
                  <w:r>
                    <w:t xml:space="preserve">Brugarolas e Miller (2021)</w:t>
                  </w:r>
                  <w:r>
                    <w:t xml:space="preserve">)</w:t>
                  </w:r>
                </w:p>
              </w:tc>
              <w:tc>
                <w:tcPr/>
                <w:p>
                  <w:pPr>
                    <w:pStyle w:val="Compact"/>
                    <w:jc w:val="center"/>
                  </w:pPr>
                  <w:r>
                    <w:t xml:space="preserve">2 / 0 / 0</w:t>
                  </w:r>
                </w:p>
              </w:tc>
              <w:tc>
                <w:tcPr/>
                <w:p>
                  <w:pPr>
                    <w:pStyle w:val="Compact"/>
                    <w:jc w:val="center"/>
                  </w:pPr>
                  <w:r>
                    <w:t xml:space="preserve">0,500</w:t>
                  </w:r>
                </w:p>
              </w:tc>
              <w:tc>
                <w:tcPr/>
                <w:p>
                  <w:pPr>
                    <w:pStyle w:val="Compact"/>
                    <w:jc w:val="center"/>
                  </w:pPr>
                  <w:r>
                    <w:t xml:space="preserve">Inconclusivo</w:t>
                  </w:r>
                </w:p>
              </w:tc>
              <w:tc>
                <w:tcPr/>
                <w:p>
                  <w:pPr>
                    <w:pStyle w:val="Compact"/>
                    <w:jc w:val="center"/>
                  </w:pPr>
                  <w:r>
                    <w:t xml:space="preserve">baixa</w:t>
                  </w:r>
                </w:p>
              </w:tc>
            </w:tr>
          </w:tbl>
          <w:bookmarkEnd w:id="59"/>
          <w:p/>
        </w:tc>
      </w:tr>
    </w:tbl>
    <w:p>
      <w:pPr>
        <w:pStyle w:val="BodyText"/>
      </w:pPr>
      <w:r>
        <w:rPr>
          <w:b/>
          <w:bCs/>
        </w:rPr>
        <w:t xml:space="preserve">Legenda dos rótulos.</w:t>
      </w:r>
      <w:r>
        <w:t xml:space="preserve"> </w:t>
      </w:r>
      <w:r>
        <w:t xml:space="preserve">Os rótulos seguem a regra</w:t>
      </w:r>
      <w:r>
        <w:t xml:space="preserve"> </w:t>
      </w:r>
      <w:r>
        <w:rPr>
          <w:rStyle w:val="VerbatimChar"/>
        </w:rPr>
        <w:t xml:space="preserve">caixa-3</w:t>
      </w:r>
      <w:r>
        <w:t xml:space="preserve"> </w:t>
      </w:r>
      <w:r>
        <w:t xml:space="preserve">da</w:t>
      </w:r>
      <w:r>
        <w:t xml:space="preserve"> </w:t>
      </w:r>
      <w:r>
        <w:rPr>
          <w:i/>
          <w:iCs/>
        </w:rPr>
        <w:t xml:space="preserve">skill</w:t>
      </w:r>
      <w:r>
        <w:t xml:space="preserve"> </w:t>
      </w:r>
      <w:r>
        <w:t xml:space="preserve">de revisão, aplicada na ordem abaixo.</w:t>
      </w:r>
    </w:p>
    <w:p>
      <w:pPr>
        <w:pStyle w:val="Compact"/>
        <w:numPr>
          <w:ilvl w:val="0"/>
          <w:numId w:val="1002"/>
        </w:numPr>
      </w:pPr>
      <w:r>
        <w:rPr>
          <w:b/>
          <w:bCs/>
        </w:rPr>
        <w:t xml:space="preserve">Positivo</w:t>
      </w:r>
      <w:r>
        <w:t xml:space="preserve"> </w:t>
      </w:r>
      <w:r>
        <w:t xml:space="preserve">ou</w:t>
      </w:r>
      <w:r>
        <w:t xml:space="preserve"> </w:t>
      </w:r>
      <w:r>
        <w:rPr>
          <w:b/>
          <w:bCs/>
        </w:rPr>
        <w:t xml:space="preserve">Negativo</w:t>
      </w:r>
      <w:r>
        <w:t xml:space="preserve">: com meta-análise, IC inteiro acima (ou abaixo) de zero e certeza pelo menos baixa; sem meta-análise, teste de sinal com p &lt; 0,05, pelo menos 5 estudos, pelo menos 70% numa direção, não só estudos em risco alto e certeza pelo menos baixa.</w:t>
      </w:r>
    </w:p>
    <w:p>
      <w:pPr>
        <w:pStyle w:val="Compact"/>
        <w:numPr>
          <w:ilvl w:val="0"/>
          <w:numId w:val="1002"/>
        </w:numPr>
      </w:pPr>
      <w:r>
        <w:rPr>
          <w:b/>
          <w:bCs/>
        </w:rPr>
        <w:t xml:space="preserve">Misto</w:t>
      </w:r>
      <w:r>
        <w:t xml:space="preserve">: meta-análise com pelo menos 5 estudos, intervalo de predição além de ±δ dos dois lados e um moderador ou mecanismo que explique a heterogeneidade, com certeza própria.</w:t>
      </w:r>
    </w:p>
    <w:p>
      <w:pPr>
        <w:pStyle w:val="Compact"/>
        <w:numPr>
          <w:ilvl w:val="0"/>
          <w:numId w:val="1002"/>
        </w:numPr>
      </w:pPr>
      <w:r>
        <w:rPr>
          <w:b/>
          <w:bCs/>
        </w:rPr>
        <w:t xml:space="preserve">Nulo</w:t>
      </w:r>
      <w:r>
        <w:t xml:space="preserve">: meta-análise com IC inteiro dentro de ±δ e certeza pelo menos moderada.</w:t>
      </w:r>
    </w:p>
    <w:p>
      <w:pPr>
        <w:pStyle w:val="Compact"/>
        <w:numPr>
          <w:ilvl w:val="0"/>
          <w:numId w:val="1002"/>
        </w:numPr>
      </w:pPr>
      <w:r>
        <w:rPr>
          <w:b/>
          <w:bCs/>
        </w:rPr>
        <w:t xml:space="preserve">Inconclusivo</w:t>
      </w:r>
      <w:r>
        <w:t xml:space="preserve">: certeza muito baixa, ou qualquer caso que não preencha as condições acima.</w:t>
      </w:r>
    </w:p>
    <w:p>
      <w:pPr>
        <w:pStyle w:val="Compact"/>
        <w:numPr>
          <w:ilvl w:val="0"/>
          <w:numId w:val="1002"/>
        </w:numPr>
      </w:pPr>
      <w:r>
        <w:rPr>
          <w:b/>
          <w:bCs/>
        </w:rPr>
        <w:t xml:space="preserve">Pendente</w:t>
      </w:r>
      <w:r>
        <w:t xml:space="preserve">: célula sem certeza GRADE ou com estimativas não alinhadas.</w:t>
      </w:r>
    </w:p>
    <w:p>
      <w:pPr>
        <w:pStyle w:val="FirstParagraph"/>
      </w:pPr>
      <w:r>
        <w:rPr>
          <w:b/>
          <w:bCs/>
        </w:rPr>
        <w:t xml:space="preserve">Por que todas as células são Inconclusivo.</w:t>
      </w:r>
      <w:r>
        <w:t xml:space="preserve"> </w:t>
      </w:r>
      <w:r>
        <w:t xml:space="preserve">Quinze das 18 células têm certeza muito baixa, o que leva direto ao rótulo Inconclusivo. As outras três não têm meta-análise nem estudos suficientes para o teste de sinal. Com o teste binomial exato bilateral, p &lt; 0,05 exige pelo menos 6 estudos todos na mesma direção, e nenhuma célula tem mais de 4. A célula de</w:t>
      </w:r>
      <w:r>
        <w:t xml:space="preserve"> </w:t>
      </w:r>
      <w:r>
        <w:t xml:space="preserve">Gerber et al. (2020)</w:t>
      </w:r>
      <w:r>
        <w:t xml:space="preserve">, com efeito nulo por ±δ e certeza moderada, também fica Inconclusivo, porque a regra só dá o rótulo Nulo a uma meta-análise. Note que Inconclusivo não quer dizer que as pesquisas não têm efeito. Quer dizer que a evidência não permite afirmar direção e tamanho com a confiança que a regra exige. O rótulo é calculado pelo</w:t>
      </w:r>
      <w:r>
        <w:t xml:space="preserve"> </w:t>
      </w:r>
      <w:r>
        <w:rPr>
          <w:i/>
          <w:iCs/>
        </w:rPr>
        <w:t xml:space="preserve">script</w:t>
      </w:r>
      <w:r>
        <w:t xml:space="preserve"> </w:t>
      </w:r>
      <w:r>
        <w:t xml:space="preserve">no nível família × desfecho × desenho e repetido em cada célula da tabela.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Os rótulos e a força dependem das certezas GRADE, rascunhadas por IA e ainda não validadas (P036 e P042), e da confirmação do portão G8 (P035). Se o autor rebaixar os corpos cuja única preocupação é o relato seletivo,</w:t>
            </w:r>
            <w:r>
              <w:t xml:space="preserve"> </w:t>
            </w:r>
            <w:r>
              <w:t xml:space="preserve">Westwood et al. (2020)</w:t>
            </w:r>
            <w:r>
              <w:t xml:space="preserve"> </w:t>
            </w:r>
            <w:r>
              <w:t xml:space="preserve">e</w:t>
            </w:r>
            <w:r>
              <w:t xml:space="preserve"> </w:t>
            </w:r>
            <w:r>
              <w:t xml:space="preserve">Gerber et al. (2020)</w:t>
            </w:r>
            <w:r>
              <w:t xml:space="preserve"> </w:t>
            </w:r>
            <w:r>
              <w:t xml:space="preserve">descem um nível. Se retirar o rebaixamento por viés de publicação, o agrupamento amplo de apoio randomizado sobe para certeza baixa. Em nenhum desses casos uma célula do protocolo passa a ter estudos suficientes para outro rótulo.</w:t>
            </w:r>
          </w:p>
          <w:p/>
        </w:tc>
      </w:tr>
    </w:tbl>
    <w:bookmarkEnd w:id="62"/>
    <w:bookmarkStart w:id="66" w:name="X341706c58e9fcea4cd94b2ee8eaa963666beb13"/>
    <w:p>
      <w:pPr>
        <w:pStyle w:val="Heading1"/>
      </w:pPr>
      <w:r>
        <w:t xml:space="preserve">8. O que isso significa para o debate brasileiro</w:t>
      </w:r>
    </w:p>
    <w:p>
      <w:pPr>
        <w:pStyle w:val="FirstParagraph"/>
      </w:pPr>
      <w:r>
        <w:t xml:space="preserve">A evidência reunida permite dizer pouco. Ela indica que (i) nos experimentos que isolam a informação da pesquisa, a direção dominante é</w:t>
      </w:r>
      <w:r>
        <w:t xml:space="preserve"> </w:t>
      </w:r>
      <w:r>
        <w:rPr>
          <w:i/>
          <w:iCs/>
        </w:rPr>
        <w:t xml:space="preserve">bandwagon</w:t>
      </w:r>
      <w:r>
        <w:t xml:space="preserve">, com certeza muito baixa; (ii) uma pesquisa apertada, frente a uma folgada, provavelmente não muda o comparecimento além de 2 pontos percentuais, num país de voto facultativo; e (iii) não há estudo sobre pesquisas publicadas no Brasil. A evidência não permite afirmar que as pesquisas mudam o resultado das eleições, nem de quanto, nem que não têm efeito. Ela também não trata da precisão das pesquisas, que é o objeto dos projetos de lei de 2022.</w:t>
      </w:r>
    </w:p>
    <w:p>
      <w:pPr>
        <w:pStyle w:val="BodyText"/>
      </w:pPr>
      <w:r>
        <w:t xml:space="preserve">Do ponto de vista da restrição à divulgação, a evidência direta vem de proibições de boca de urna na França e na Índia, com direções opostas no apoio ao líder e certeza muito baixa, e de um corte transversal de 46 países que ficou fora da contagem principal</w:t>
      </w:r>
      <w:r>
        <w:t xml:space="preserve"> </w:t>
      </w:r>
      <w:r>
        <w:t xml:space="preserve">(Lago et al. 2015)</w:t>
      </w:r>
      <w:r>
        <w:t xml:space="preserve">. Nenhum estudo da síntese principal avalia um embargo de pesquisas pré-eleitorais como o que o STF derrubou em 2006; o único que trata disso,</w:t>
      </w:r>
      <w:r>
        <w:t xml:space="preserve"> </w:t>
      </w:r>
      <w:r>
        <w:t xml:space="preserve">Lago et al. (2015)</w:t>
      </w:r>
      <w:r>
        <w:t xml:space="preserve">, é um corte transversal que ficou fora da contagem. A revisão não sustenta nem a restrição nem a defesa da regra atual por argumento de efeito sobre o voto. De todo modo, o fundamento usado em 2006, o direito à informação, não depende dessa evidência.</w:t>
      </w:r>
    </w:p>
    <w:p>
      <w:pPr>
        <w:pStyle w:val="BodyText"/>
      </w:pPr>
      <w:r>
        <w:t xml:space="preserve">Os fatores de transferibilidade previstos no protocolo pesam contra a aplicação direta dos achados ao Brasil.</w:t>
      </w:r>
    </w:p>
    <w:p>
      <w:pPr>
        <w:pStyle w:val="BodyText"/>
      </w:pPr>
      <w:r>
        <w:rPr>
          <w:b/>
          <w:bCs/>
        </w:rPr>
        <w:t xml:space="preserve">Voto obrigatório.</w:t>
      </w:r>
      <w:r>
        <w:t xml:space="preserve"> </w:t>
      </w:r>
      <w:r>
        <w:t xml:space="preserve">O voto obrigatório pode reduzir o canal da desmobilização. Nenhum estudo de comparecimento incluído tem voto obrigatório codificado como sim, e</w:t>
      </w:r>
      <w:r>
        <w:t xml:space="preserve"> </w:t>
      </w:r>
      <w:r>
        <w:t xml:space="preserve">Araujo e Gatto (2021)</w:t>
      </w:r>
      <w:r>
        <w:t xml:space="preserve">, feito sob voto obrigatório, não teve o comparecimento como desfecho extraído.</w:t>
      </w:r>
    </w:p>
    <w:p>
      <w:pPr>
        <w:pStyle w:val="BodyText"/>
      </w:pPr>
      <w:r>
        <w:rPr>
          <w:b/>
          <w:bCs/>
        </w:rPr>
        <w:t xml:space="preserve">Dois turnos.</w:t>
      </w:r>
      <w:r>
        <w:t xml:space="preserve"> </w:t>
      </w:r>
      <w:r>
        <w:t xml:space="preserve">O sistema de dois turnos muda o cálculo de viabilidade no primeiro turno.</w:t>
      </w:r>
      <w:r>
        <w:t xml:space="preserve"> </w:t>
      </w:r>
      <w:r>
        <w:t xml:space="preserve">Araujo e Gatto (2021)</w:t>
      </w:r>
      <w:r>
        <w:t xml:space="preserve"> </w:t>
      </w:r>
      <w:r>
        <w:t xml:space="preserve">achou a mesma direção nos dois turnos, e os experimentos de viabilidade vêm de sistemas de pluralidade</w:t>
      </w:r>
      <w:r>
        <w:t xml:space="preserve"> </w:t>
      </w:r>
      <w:r>
        <w:t xml:space="preserve">(Cornejo 2023; Schlegel et al. 2023)</w:t>
      </w:r>
      <w:r>
        <w:t xml:space="preserve"> </w:t>
      </w:r>
      <w:r>
        <w:t xml:space="preserve">ou proporcionais</w:t>
      </w:r>
      <w:r>
        <w:t xml:space="preserve"> </w:t>
      </w:r>
      <w:r>
        <w:t xml:space="preserve">(Fredén et al. 2024)</w:t>
      </w:r>
      <w:r>
        <w:t xml:space="preserve">.</w:t>
      </w:r>
    </w:p>
    <w:p>
      <w:pPr>
        <w:pStyle w:val="BodyText"/>
      </w:pPr>
      <w:r>
        <w:rPr>
          <w:b/>
          <w:bCs/>
        </w:rPr>
        <w:t xml:space="preserve">Regulação da divulgação.</w:t>
      </w:r>
      <w:r>
        <w:t xml:space="preserve"> </w:t>
      </w:r>
      <w:r>
        <w:t xml:space="preserve">O Brasil tem registro prévio e nenhum embargo. A evidência sobre proibições vem de boca de urna em outros países e de um corte transversal fora da contagem</w:t>
      </w:r>
      <w:r>
        <w:t xml:space="preserve"> </w:t>
      </w:r>
      <w:r>
        <w:t xml:space="preserve">(Lago et al. 2015)</w:t>
      </w:r>
      <w:r>
        <w:t xml:space="preserve">, e nenhum estudo avalia a regulação brasileira.</w:t>
      </w:r>
    </w:p>
    <w:p>
      <w:pPr>
        <w:pStyle w:val="BodyText"/>
      </w:pPr>
      <w:r>
        <w:rPr>
          <w:b/>
          <w:bCs/>
        </w:rPr>
        <w:t xml:space="preserve">Confiança nas pesquisas.</w:t>
      </w:r>
      <w:r>
        <w:t xml:space="preserve"> </w:t>
      </w:r>
      <w:r>
        <w:t xml:space="preserve">É verdade que a teoria prevê efeito menor quando a confiança é baixa e que o debate de 2022 sugere que ela é disputada no país. No entanto, esse moderador foi relatado por um único estudo e não foi sintetizado.</w:t>
      </w:r>
    </w:p>
    <w:tbl>
      <w:tblPr>
        <w:tblStyle w:val="Table"/>
        <w:tblW w:type="pct" w:w="5000"/>
        <w:tblLayout w:type="fixed"/>
        <w:tblLook w:firstRow="0" w:lastRow="0" w:firstColumn="0" w:lastColumn="0" w:noHBand="0" w:noVBand="0" w:val="0000"/>
      </w:tblPr>
      <w:tblGrid>
        <w:gridCol w:w="7920"/>
      </w:tblGrid>
      <w:tr>
        <w:tc>
          <w:tcPr/>
          <w:bookmarkStart w:id="63" w:name="tbl-regional"/>
          <w:p>
            <w:pPr>
              <w:jc w:val="center"/>
            </w:pPr>
            <w:pPr>
              <w:jc w:val="left"/>
              <w:spacing w:before="200"/>
              <w:pStyle w:val="ImageCaption"/>
            </w:pPr>
            <w:r>
              <w:t xml:space="preserve">Tabela 5: Estudos com</w:t>
            </w:r>
            <w:r>
              <w:t xml:space="preserve"> </w:t>
            </w:r>
            <w:r>
              <w:rPr>
                <w:rStyle w:val="VerbatimChar"/>
              </w:rPr>
              <w:t xml:space="preserve">regiao</w:t>
            </w:r>
            <w:r>
              <w:t xml:space="preserve"> </w:t>
            </w:r>
            <w:r>
              <w:t xml:space="preserve">igual a Brasil ou América Latina no</w:t>
            </w:r>
            <w:r>
              <w:t xml:space="preserve"> </w:t>
            </w:r>
            <w:r>
              <w:rPr>
                <w:i/>
                <w:iCs/>
              </w:rPr>
              <w:t xml:space="preserve">master</w:t>
            </w:r>
            <w:r>
              <w:t xml:space="preserve"> </w:t>
            </w:r>
            <w:r>
              <w:t xml:space="preserve">de extração.</w:t>
            </w:r>
          </w:p>
          <w:tbl>
            <w:tblPr>
              <w:tblStyle w:val="Table"/>
              <w:tblW w:type="pct" w:w="5000"/>
              <w:tblLayout w:type="fixed"/>
              <w:tblLook w:firstRow="1" w:lastRow="0" w:firstColumn="0" w:lastColumn="0" w:noHBand="0" w:noVBand="0" w:val="0020"/>
            </w:tblPr>
            <w:tblGrid>
              <w:gridCol w:w="1029"/>
              <w:gridCol w:w="1584"/>
              <w:gridCol w:w="1108"/>
              <w:gridCol w:w="1821"/>
              <w:gridCol w:w="2376"/>
            </w:tblGrid>
            <w:tr>
              <w:trPr>
                <w:tblHeader w:val="on"/>
              </w:trPr>
              <w:tc>
                <w:tcPr/>
                <w:p>
                  <w:pPr>
                    <w:pStyle w:val="Compact"/>
                    <w:jc w:val="center"/>
                  </w:pPr>
                  <w:r>
                    <w:t xml:space="preserve">Estudo</w:t>
                  </w:r>
                </w:p>
              </w:tc>
              <w:tc>
                <w:tcPr/>
                <w:p>
                  <w:pPr>
                    <w:pStyle w:val="Compact"/>
                    <w:jc w:val="center"/>
                  </w:pPr>
                  <w:r>
                    <w:t xml:space="preserve">País e eleição</w:t>
                  </w:r>
                </w:p>
              </w:tc>
              <w:tc>
                <w:tcPr/>
                <w:p>
                  <w:pPr>
                    <w:pStyle w:val="Compact"/>
                    <w:jc w:val="center"/>
                  </w:pPr>
                  <w:r>
                    <w:t xml:space="preserve">Exposição</w:t>
                  </w:r>
                </w:p>
              </w:tc>
              <w:tc>
                <w:tcPr/>
                <w:p>
                  <w:pPr>
                    <w:pStyle w:val="Compact"/>
                    <w:jc w:val="center"/>
                  </w:pPr>
                  <w:r>
                    <w:t xml:space="preserve">Efeito principal, g (EP)</w:t>
                  </w:r>
                </w:p>
              </w:tc>
              <w:tc>
                <w:tcPr/>
                <w:p>
                  <w:pPr>
                    <w:pStyle w:val="Compact"/>
                    <w:jc w:val="center"/>
                  </w:pPr>
                  <w:r>
                    <w:t xml:space="preserve">Risco de viés; certeza da célula</w:t>
                  </w:r>
                </w:p>
              </w:tc>
            </w:tr>
            <w:tr>
              <w:tc>
                <w:tcPr/>
                <w:p>
                  <w:pPr>
                    <w:pStyle w:val="Compact"/>
                    <w:jc w:val="center"/>
                  </w:pPr>
                  <w:r>
                    <w:t xml:space="preserve">Araujo e Gatto (2021)</w:t>
                  </w:r>
                </w:p>
              </w:tc>
              <w:tc>
                <w:tcPr/>
                <w:p>
                  <w:pPr>
                    <w:pStyle w:val="Compact"/>
                    <w:jc w:val="center"/>
                  </w:pPr>
                  <w:r>
                    <w:t xml:space="preserve">Brasil; ano da eleição codificado: 2018</w:t>
                  </w:r>
                </w:p>
              </w:tc>
              <w:tc>
                <w:tcPr/>
                <w:p>
                  <w:pPr>
                    <w:pStyle w:val="Compact"/>
                    <w:jc w:val="center"/>
                  </w:pPr>
                  <w:r>
                    <w:t xml:space="preserve">apuração parcial oficial</w:t>
                  </w:r>
                </w:p>
              </w:tc>
              <w:tc>
                <w:tcPr/>
                <w:p>
                  <w:pPr>
                    <w:pStyle w:val="Compact"/>
                    <w:jc w:val="center"/>
                  </w:pPr>
                  <w:r>
                    <w:t xml:space="preserve">E01: 0,13 (0,003) (5,69 p.p.); E06: 0,26 (0,003) (11,76 p.p.)</w:t>
                  </w:r>
                </w:p>
              </w:tc>
              <w:tc>
                <w:tcPr/>
                <w:p>
                  <w:pPr>
                    <w:pStyle w:val="Compact"/>
                    <w:jc w:val="center"/>
                  </w:pPr>
                  <w:r>
                    <w:t xml:space="preserve">ROBINS-I: grave; certeza: muito baixa</w:t>
                  </w:r>
                </w:p>
              </w:tc>
            </w:tr>
            <w:tr>
              <w:tc>
                <w:tcPr/>
                <w:p>
                  <w:pPr>
                    <w:pStyle w:val="Compact"/>
                    <w:jc w:val="center"/>
                  </w:pPr>
                  <w:r>
                    <w:t xml:space="preserve">Cornejo (2023)</w:t>
                  </w:r>
                </w:p>
              </w:tc>
              <w:tc>
                <w:tcPr/>
                <w:p>
                  <w:pPr>
                    <w:pStyle w:val="Compact"/>
                    <w:jc w:val="center"/>
                  </w:pPr>
                  <w:r>
                    <w:t xml:space="preserve">México; ano da eleição codificado: 2015</w:t>
                  </w:r>
                </w:p>
              </w:tc>
              <w:tc>
                <w:tcPr/>
                <w:p>
                  <w:pPr>
                    <w:pStyle w:val="Compact"/>
                    <w:jc w:val="center"/>
                  </w:pPr>
                  <w:r>
                    <w:t xml:space="preserve">pesquisa pré-eleitoral</w:t>
                  </w:r>
                </w:p>
              </w:tc>
              <w:tc>
                <w:tcPr/>
                <w:p>
                  <w:pPr>
                    <w:pStyle w:val="Compact"/>
                    <w:jc w:val="center"/>
                  </w:pPr>
                  <w:r>
                    <w:t xml:space="preserve">E05: 0,19 (0,105)</w:t>
                  </w:r>
                </w:p>
              </w:tc>
              <w:tc>
                <w:tcPr/>
                <w:p>
                  <w:pPr>
                    <w:pStyle w:val="Compact"/>
                    <w:jc w:val="center"/>
                  </w:pPr>
                  <w:r>
                    <w:t xml:space="preserve">RoB 2: algumas preocupações; certeza: muito baixa</w:t>
                  </w:r>
                </w:p>
              </w:tc>
            </w:tr>
            <w:tr>
              <w:tc>
                <w:tcPr/>
                <w:p>
                  <w:pPr>
                    <w:pStyle w:val="Compact"/>
                    <w:jc w:val="center"/>
                  </w:pPr>
                  <w:r>
                    <w:t xml:space="preserve">Lago et al. (2015)</w:t>
                  </w:r>
                </w:p>
              </w:tc>
              <w:tc>
                <w:tcPr/>
                <w:p>
                  <w:pPr>
                    <w:pStyle w:val="Compact"/>
                    <w:jc w:val="center"/>
                  </w:pPr>
                  <w:r>
                    <w:t xml:space="preserve">46 países, entre eles o Brasil; ano da eleição codificado: 2013</w:t>
                  </w:r>
                </w:p>
              </w:tc>
              <w:tc>
                <w:tcPr/>
                <w:p>
                  <w:pPr>
                    <w:pStyle w:val="Compact"/>
                    <w:jc w:val="center"/>
                  </w:pPr>
                  <w:r>
                    <w:t xml:space="preserve">pesquisa pré-eleitoral</w:t>
                  </w:r>
                </w:p>
              </w:tc>
              <w:tc>
                <w:tcPr/>
                <w:p>
                  <w:pPr>
                    <w:pStyle w:val="Compact"/>
                    <w:jc w:val="center"/>
                  </w:pPr>
                  <w:r>
                    <w:t xml:space="preserve">E01: 0,03 (0,016)</w:t>
                  </w:r>
                </w:p>
              </w:tc>
              <w:tc>
                <w:tcPr/>
                <w:p>
                  <w:pPr>
                    <w:pStyle w:val="Compact"/>
                    <w:jc w:val="center"/>
                  </w:pPr>
                  <w:r>
                    <w:t xml:space="preserve">ROBINS-I: grave; certeza: sem certeza atribuída; fora da contagem principal: interação dias de proibição × ENEP (moderador contínuo não atribuído)</w:t>
                  </w:r>
                </w:p>
              </w:tc>
            </w:tr>
          </w:tbl>
          <w:bookmarkEnd w:id="63"/>
          <w:p/>
        </w:tc>
      </w:tr>
    </w:tbl>
    <w:p>
      <w:pPr>
        <w:pStyle w:val="BodyText"/>
      </w:pPr>
      <w:r>
        <w:t xml:space="preserve">Os três estudos com alguma ligação com a região estão na</w:t>
      </w:r>
      <w:r>
        <w:t xml:space="preserve"> </w:t>
      </w:r>
      <w:hyperlink w:anchor="tbl-regional">
        <w:r>
          <w:rPr>
            <w:rStyle w:val="Hyperlink"/>
          </w:rPr>
          <w:t xml:space="preserve">Tabela 5</w:t>
        </w:r>
      </w:hyperlink>
      <w:r>
        <w:t xml:space="preserve">. Em</w:t>
      </w:r>
      <w:r>
        <w:t xml:space="preserve"> </w:t>
      </w:r>
      <w:r>
        <w:t xml:space="preserve">Araujo e Gatto (2021)</w:t>
      </w:r>
      <w:r>
        <w:t xml:space="preserve">, falhas da identificação biométrica deixaram eleitores votando depois das 19:00 na eleição presidencial de 2018, quando a apuração parcial oficial já mostrava Bolsonaro à frente. O estudo entrou pela Emenda 1, decidida depois de conhecê-lo, e forma célula própria.</w:t>
      </w:r>
      <w:r>
        <w:t xml:space="preserve"> </w:t>
      </w:r>
      <w:r>
        <w:t xml:space="preserve">Cornejo (2023)</w:t>
      </w:r>
      <w:r>
        <w:t xml:space="preserve"> </w:t>
      </w:r>
      <w:r>
        <w:t xml:space="preserve">é o único estudo latino-americano sobre pesquisa pré-eleitoral na análise principal, e</w:t>
      </w:r>
      <w:r>
        <w:t xml:space="preserve"> </w:t>
      </w:r>
      <w:r>
        <w:t xml:space="preserve">Lago et al. (2015)</w:t>
      </w:r>
      <w:r>
        <w:t xml:space="preserve"> </w:t>
      </w:r>
      <w:r>
        <w:t xml:space="preserve">ficou fora da contagem.</w:t>
      </w:r>
    </w:p>
    <w:p>
      <w:pPr>
        <w:pStyle w:val="BodyText"/>
      </w:pPr>
      <w:r>
        <w:rPr>
          <w:b/>
          <w:bCs/>
        </w:rPr>
        <w:t xml:space="preserve">Implicações para a pesquisa.</w:t>
      </w:r>
      <w:r>
        <w:t xml:space="preserve"> </w:t>
      </w:r>
      <w:r>
        <w:t xml:space="preserve">A lacuna mais clara é a de estudos com eleições reais no Brasil, sejam experimentos de</w:t>
      </w:r>
      <w:r>
        <w:t xml:space="preserve"> </w:t>
      </w:r>
      <w:r>
        <w:rPr>
          <w:i/>
          <w:iCs/>
        </w:rPr>
        <w:t xml:space="preserve">survey</w:t>
      </w:r>
      <w:r>
        <w:t xml:space="preserve"> </w:t>
      </w:r>
      <w:r>
        <w:t xml:space="preserve">com pesquisas verdadeiras em campanhas em curso, sejam experimentos naturais que aproveitem variações no calendário ou no alcance da divulgação. Faltam também desenhos com comparador sem pesquisa, porque é esse contraste que responde à pergunta regulatória, e estudos que meçam no mesmo desenho o apoio a quem lidera, a deserção estratégica e o comparecimento. Por fim, o pré-registro e o relato completo reduziriam a preocupação de risco de viés mais comum nos experimentos (o relato seletivo) e permitiriam julgar o viés de publicação.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important.png" id="6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As implicações acompanham certezas ainda não validadas (P036 e P042) e efeitos ainda não conferidos (P039). Se o autor decidir que Witsman2016a-E01 é efeito de viabilidade, ou mudar o dicionário</w:t>
            </w:r>
            <w:r>
              <w:t xml:space="preserve"> </w:t>
            </w:r>
            <w:r>
              <w:rPr>
                <w:rStyle w:val="VerbatimChar"/>
              </w:rPr>
              <w:t xml:space="preserve">FORA</w:t>
            </w:r>
            <w:r>
              <w:t xml:space="preserve">, a célula do mesmo candidato atrás perde estudos, e a primeira mensagem principal precisa ser revista.</w:t>
            </w:r>
          </w:p>
          <w:p/>
        </w:tc>
      </w:tr>
    </w:tbl>
    <w:bookmarkEnd w:id="66"/>
    <w:bookmarkStart w:id="91" w:name="metodologia"/>
    <w:p>
      <w:pPr>
        <w:pStyle w:val="Heading1"/>
      </w:pPr>
      <w:r>
        <w:t xml:space="preserve">9. Metodologia</w:t>
      </w:r>
    </w:p>
    <w:bookmarkStart w:id="67" w:name="protocolo-e-emendas"/>
    <w:p>
      <w:pPr>
        <w:pStyle w:val="Heading2"/>
      </w:pPr>
      <w:r>
        <w:t xml:space="preserve">9.1 Protocolo e emendas</w:t>
      </w:r>
    </w:p>
    <w:p>
      <w:pPr>
        <w:pStyle w:val="FirstParagraph"/>
      </w:pPr>
      <w:r>
        <w:t xml:space="preserve">O protocolo (</w:t>
      </w:r>
      <w:r>
        <w:rPr>
          <w:rStyle w:val="VerbatimChar"/>
        </w:rPr>
        <w:t xml:space="preserve">00-protocolo/protocolo.md</w:t>
      </w:r>
      <w:r>
        <w:t xml:space="preserve">) foi aprovado pelo revisor humano no portão G2 em 19/09/2026 e congelado com sha256 no</w:t>
      </w:r>
      <w:r>
        <w:t xml:space="preserve"> </w:t>
      </w:r>
      <w:r>
        <w:rPr>
          <w:i/>
          <w:iCs/>
        </w:rPr>
        <w:t xml:space="preserve">log</w:t>
      </w:r>
      <w:r>
        <w:t xml:space="preserve"> </w:t>
      </w:r>
      <w:r>
        <w:t xml:space="preserve">do projeto. Trata-se de uma revisão sistemática de efetividade com síntese sem meta-análise (SWiM), na variante rápida. Os atalhos, aprovados pelo revisor, foram: fontes restritas a OpenAlex e BDTD, mais busca por citação (A1); triagem, elegibilidade, extração, risco de viés e certeza por subagentes de IA, sem validação humana (A2); âncoras de validação da busca montadas por subagente isolado (A3); PRESS feito só por subagente (A4); e nenhum contato com autores (A5). As mudanças estão registradas em</w:t>
      </w:r>
      <w:r>
        <w:t xml:space="preserve"> </w:t>
      </w:r>
      <w:r>
        <w:rPr>
          <w:rStyle w:val="VerbatimChar"/>
        </w:rPr>
        <w:t xml:space="preserve">00-protocolo/emendas.md</w:t>
      </w:r>
      <w:r>
        <w:t xml:space="preserve">:</w:t>
      </w:r>
    </w:p>
    <w:p>
      <w:pPr>
        <w:pStyle w:val="Compact"/>
        <w:numPr>
          <w:ilvl w:val="0"/>
          <w:numId w:val="1003"/>
        </w:numPr>
      </w:pPr>
      <w:r>
        <w:rPr>
          <w:b/>
          <w:bCs/>
        </w:rPr>
        <w:t xml:space="preserve">E001:</w:t>
      </w:r>
      <w:r>
        <w:t xml:space="preserve"> </w:t>
      </w:r>
      <w:r>
        <w:t xml:space="preserve">a estratégia em inglês foi ampliada depois da pré-revisão PRESS por subagente, antes da busca definitiva.</w:t>
      </w:r>
    </w:p>
    <w:p>
      <w:pPr>
        <w:pStyle w:val="Compact"/>
        <w:numPr>
          <w:ilvl w:val="0"/>
          <w:numId w:val="1003"/>
        </w:numPr>
      </w:pPr>
      <w:r>
        <w:rPr>
          <w:b/>
          <w:bCs/>
        </w:rPr>
        <w:t xml:space="preserve">E002:</w:t>
      </w:r>
      <w:r>
        <w:t xml:space="preserve"> </w:t>
      </w:r>
      <w:r>
        <w:t xml:space="preserve">a busca B01 foi substituída pela B05 depois que a primeira perdeu 4 das âncoras de validação.</w:t>
      </w:r>
    </w:p>
    <w:p>
      <w:pPr>
        <w:pStyle w:val="Compact"/>
        <w:numPr>
          <w:ilvl w:val="0"/>
          <w:numId w:val="1003"/>
        </w:numPr>
      </w:pPr>
      <w:r>
        <w:rPr>
          <w:b/>
          <w:bCs/>
        </w:rPr>
        <w:t xml:space="preserve">Emenda 1:</w:t>
      </w:r>
      <w:r>
        <w:t xml:space="preserve"> </w:t>
      </w:r>
      <w:r>
        <w:t xml:space="preserve">o critério de exposição passou a incluir a apuração parcial oficial divulgada durante a votação, decisão tomada depois de ver o estudo brasileiro que ela inclui.</w:t>
      </w:r>
    </w:p>
    <w:p>
      <w:pPr>
        <w:pStyle w:val="Compact"/>
        <w:numPr>
          <w:ilvl w:val="0"/>
          <w:numId w:val="1003"/>
        </w:numPr>
      </w:pPr>
      <w:r>
        <w:rPr>
          <w:b/>
          <w:bCs/>
        </w:rPr>
        <w:t xml:space="preserve">Emenda 2:</w:t>
      </w:r>
      <w:r>
        <w:t xml:space="preserve"> </w:t>
      </w:r>
      <w:r>
        <w:t xml:space="preserve">três variáveis do</w:t>
      </w:r>
      <w:r>
        <w:t xml:space="preserve"> </w:t>
      </w:r>
      <w:r>
        <w:rPr>
          <w:i/>
          <w:iCs/>
        </w:rPr>
        <w:t xml:space="preserve">codebook</w:t>
      </w:r>
      <w:r>
        <w:t xml:space="preserve"> </w:t>
      </w:r>
      <w:r>
        <w:t xml:space="preserve">de extração foram redefinidas depois do piloto, por decisão do coordenador de IA.</w:t>
      </w:r>
    </w:p>
    <w:p>
      <w:pPr>
        <w:pStyle w:val="Compact"/>
        <w:numPr>
          <w:ilvl w:val="0"/>
          <w:numId w:val="1003"/>
        </w:numPr>
      </w:pPr>
      <w:r>
        <w:rPr>
          <w:b/>
          <w:bCs/>
        </w:rPr>
        <w:t xml:space="preserve">Emenda 3:</w:t>
      </w:r>
      <w:r>
        <w:t xml:space="preserve"> </w:t>
      </w:r>
      <w:r>
        <w:t xml:space="preserve">os</w:t>
      </w:r>
      <w:r>
        <w:t xml:space="preserve"> </w:t>
      </w:r>
      <w:r>
        <w:rPr>
          <w:i/>
          <w:iCs/>
        </w:rPr>
        <w:t xml:space="preserve">codebooks</w:t>
      </w:r>
      <w:r>
        <w:t xml:space="preserve"> </w:t>
      </w:r>
      <w:r>
        <w:t xml:space="preserve">de risco de viés foram copiados para o protocolo, e o árbitro dos desacordos passou, por custo, a um modelo igual ao do avaliador A.</w:t>
      </w:r>
    </w:p>
    <w:p>
      <w:pPr>
        <w:pStyle w:val="Compact"/>
        <w:numPr>
          <w:ilvl w:val="0"/>
          <w:numId w:val="1003"/>
        </w:numPr>
      </w:pPr>
      <w:r>
        <w:rPr>
          <w:b/>
          <w:bCs/>
        </w:rPr>
        <w:t xml:space="preserve">Emenda 4:</w:t>
      </w:r>
      <w:r>
        <w:t xml:space="preserve"> </w:t>
      </w:r>
      <w:r>
        <w:t xml:space="preserve">convenções fixadas antes de qualquer análise de efeito (geral do EPOC, célula de</w:t>
      </w:r>
      <w:r>
        <w:t xml:space="preserve"> </w:t>
      </w:r>
      <w:r>
        <w:rPr>
          <w:i/>
          <w:iCs/>
        </w:rPr>
        <w:t xml:space="preserve">momentum</w:t>
      </w:r>
      <w:r>
        <w:t xml:space="preserve">, ICC imputado); o item sobre o consenso de risco de viés foi substituído pela Emenda 6a.</w:t>
      </w:r>
    </w:p>
    <w:p>
      <w:pPr>
        <w:pStyle w:val="Compact"/>
        <w:numPr>
          <w:ilvl w:val="0"/>
          <w:numId w:val="1003"/>
        </w:numPr>
      </w:pPr>
      <w:r>
        <w:rPr>
          <w:b/>
          <w:bCs/>
        </w:rPr>
        <w:t xml:space="preserve">Emenda 5:</w:t>
      </w:r>
      <w:r>
        <w:t xml:space="preserve"> </w:t>
      </w:r>
      <w:r>
        <w:t xml:space="preserve">a síntese foi corrigida depois da revisão metodológica do G8, com decisões tomadas depois de ver os dados (agrupamento por célula, sinal por alvo, dicionário</w:t>
      </w:r>
      <w:r>
        <w:t xml:space="preserve"> </w:t>
      </w:r>
      <w:r>
        <w:rPr>
          <w:rStyle w:val="VerbatimChar"/>
        </w:rPr>
        <w:t xml:space="preserve">FORA</w:t>
      </w:r>
      <w:r>
        <w:t xml:space="preserve">, nulos por ±δ e sensibilidades).</w:t>
      </w:r>
    </w:p>
    <w:p>
      <w:pPr>
        <w:pStyle w:val="Compact"/>
        <w:numPr>
          <w:ilvl w:val="0"/>
          <w:numId w:val="1003"/>
        </w:numPr>
      </w:pPr>
      <w:r>
        <w:rPr>
          <w:b/>
          <w:bCs/>
        </w:rPr>
        <w:t xml:space="preserve">Emenda 6:</w:t>
      </w:r>
      <w:r>
        <w:t xml:space="preserve"> </w:t>
      </w:r>
      <w:r>
        <w:t xml:space="preserve">corrigiu a atribuição a humano de decisões que o revisor não conferiu (6a) e mandou triar de novo, por IA, os 336 registros sem resumo antes excluídos pelo título (6b).</w:t>
      </w:r>
    </w:p>
    <w:bookmarkEnd w:id="67"/>
    <w:bookmarkStart w:id="68" w:name="critérios-de-elegibilidade"/>
    <w:p>
      <w:pPr>
        <w:pStyle w:val="Heading2"/>
      </w:pPr>
      <w:r>
        <w:t xml:space="preserve">9.2 Critérios de elegibilidade</w:t>
      </w:r>
    </w:p>
    <w:p>
      <w:pPr>
        <w:pStyle w:val="FirstParagraph"/>
      </w:pPr>
      <w:r>
        <w:t xml:space="preserve">Os critérios seguem o PICOC da</w:t>
      </w:r>
      <w:r>
        <w:t xml:space="preserve"> </w:t>
      </w:r>
      <w:hyperlink w:anchor="tbl-picoc">
        <w:r>
          <w:rPr>
            <w:rStyle w:val="Hyperlink"/>
          </w:rPr>
          <w:t xml:space="preserve">Tabela 1</w:t>
        </w:r>
      </w:hyperlink>
      <w:r>
        <w:t xml:space="preserve">: população e contexto (C1), exposição estudada como objeto empírico (C2), desfecho de voto ou de comparecimento (C3), desenho experimental, experimento natural, quase-experimento com variação identificada ou painel individual com exposição medida antes do desfecho (C4), estudo primário (C5) e ausência de retratação (C6). Ficaram de fora a percepção autodeclarada de influência, as simulações, os estudos agregados sem variação identificada e os que usam a pesquisa só como fonte de dados. Valeram relatos publicados desde 01/01/2010, sem restrição de idioma nem de status de publicação. Texto não obtido ficou como não recuperado, nunca como excluído.</w:t>
      </w:r>
    </w:p>
    <w:bookmarkEnd w:id="68"/>
    <w:bookmarkStart w:id="71" w:name="fontes-estratégias-e-datas"/>
    <w:p>
      <w:pPr>
        <w:pStyle w:val="Heading2"/>
      </w:pPr>
      <w:r>
        <w:t xml:space="preserve">9.3 Fontes, estratégias e datas</w:t>
      </w:r>
    </w:p>
    <w:p>
      <w:pPr>
        <w:pStyle w:val="FirstParagraph"/>
      </w:pPr>
      <w:r>
        <w:t xml:space="preserve">De saída, buscamos no OpenAlex, nos campos de título e resumo, com três estratégias: inglês (B05, 1.438 registros), português (B02, 118) e espanhol (B03, 131). Na BDTD, buscamos em todos os campos (B04, 80 registros). Todas as buscas nas bases foram feitas em 19/09/2026. A estratégia combina, por OR, quatro fios: (i) pesquisa ou projeção com efeito nomeado (</w:t>
      </w:r>
      <w:r>
        <w:rPr>
          <w:i/>
          <w:iCs/>
        </w:rPr>
        <w:t xml:space="preserve">bandwagon</w:t>
      </w:r>
      <w:r>
        <w:t xml:space="preserve"> </w:t>
      </w:r>
      <w:r>
        <w:t xml:space="preserve">ou</w:t>
      </w:r>
      <w:r>
        <w:t xml:space="preserve"> </w:t>
      </w:r>
      <w:r>
        <w:rPr>
          <w:i/>
          <w:iCs/>
        </w:rPr>
        <w:t xml:space="preserve">underdog</w:t>
      </w:r>
      <w:r>
        <w:t xml:space="preserve">); (ii)</w:t>
      </w:r>
      <w:r>
        <w:t xml:space="preserve"> </w:t>
      </w:r>
      <w:r>
        <w:rPr>
          <w:i/>
          <w:iCs/>
        </w:rPr>
        <w:t xml:space="preserve">survey</w:t>
      </w:r>
      <w:r>
        <w:t xml:space="preserve"> </w:t>
      </w:r>
      <w:r>
        <w:t xml:space="preserve">eleitoral com efeito nomeado; (iii) frases de exposição a resultado de pesquisa com frases de desfecho de voto; e (iv) frases de exposição com comparecimento. No OpenAlex, filtramos o ano de publicação de 2008 a 2026, com margem de dois anos, e aplicamos o corte de 2010 depois, por</w:t>
      </w:r>
      <w:r>
        <w:t xml:space="preserve"> </w:t>
      </w:r>
      <w:r>
        <w:rPr>
          <w:i/>
          <w:iCs/>
        </w:rPr>
        <w:t xml:space="preserve">script</w:t>
      </w:r>
      <w:r>
        <w:t xml:space="preserve">. As</w:t>
      </w:r>
      <w:r>
        <w:t xml:space="preserve"> </w:t>
      </w:r>
      <w:r>
        <w:rPr>
          <w:i/>
          <w:iCs/>
        </w:rPr>
        <w:t xml:space="preserve">strings</w:t>
      </w:r>
      <w:r>
        <w:t xml:space="preserve"> </w:t>
      </w:r>
      <w:r>
        <w:t xml:space="preserve">completas, como executadas, estão no Apêndice B do relatório técnico. Fizemos, ainda, três rodadas de busca por citação para trás e para frente no OpenAlex: SN1 (38 sementes, 1.189 registros, 19/09/2026), SN2 (12 sementes, 411 registros, 20/09/2026) e SN3 (3 sementes, 106 registros, 20/09/2026). Não buscamos em Web of Science, Scopus, SciELO nem em sites de literatura cinzenta.</w:t>
      </w:r>
    </w:p>
    <w:p>
      <w:pPr>
        <w:pStyle w:val="BodyText"/>
      </w:pPr>
      <w:r>
        <w:t xml:space="preserve">A validação por âncoras (19 estudos que a busca deveria achar) recuperou 15 de 19 na versão S-oa-en-v4 da estratégia em inglês e 19 de 19 na S-oa-en-v5. As 4 âncoras perdidas, porém, orientaram a correção, e por isso esse</w:t>
      </w:r>
      <w:r>
        <w:t xml:space="preserve"> </w:t>
      </w:r>
      <w:r>
        <w:rPr>
          <w:i/>
          <w:iCs/>
        </w:rPr>
        <w:t xml:space="preserve">recall</w:t>
      </w:r>
      <w:r>
        <w:t xml:space="preserve"> </w:t>
      </w:r>
      <w:r>
        <w:t xml:space="preserve">não é evidência independente de sensibilidade. Não houve âncora em português ou espanhol. Uma nova pré-revisão por IA da estratégia ativa, em 23/09/2026, apontou lacunas. Faltam termos de proibição ou embargo de divulgação e de apuração parcial, e a BDTD não tem nenhum termo de comparecimento.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important.png" id="7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A estratégia de busca não teve revisão PRESS humana (P001), e o portão G3, que aprovou a busca, espera confirmação (P004). Se o autor decidir por uma busca suplementar com os termos que faltam, o conjunto de incluídos pode mudar.</w:t>
            </w:r>
          </w:p>
          <w:p/>
        </w:tc>
      </w:tr>
    </w:tbl>
    <w:bookmarkEnd w:id="71"/>
    <w:bookmarkStart w:id="72" w:name="seleção"/>
    <w:p>
      <w:pPr>
        <w:pStyle w:val="Heading2"/>
      </w:pPr>
      <w:r>
        <w:t xml:space="preserve">9.4 Seleção</w:t>
      </w:r>
    </w:p>
    <w:p>
      <w:pPr>
        <w:pStyle w:val="FirstParagraph"/>
      </w:pPr>
      <w:r>
        <w:t xml:space="preserve">Dois triadores de IA independentes (A =</w:t>
      </w:r>
      <w:r>
        <w:t xml:space="preserve"> </w:t>
      </w:r>
      <w:r>
        <w:rPr>
          <w:rStyle w:val="VerbatimChar"/>
        </w:rPr>
        <w:t xml:space="preserve">claude-sonnet-5</w:t>
      </w:r>
      <w:r>
        <w:t xml:space="preserve">; B =</w:t>
      </w:r>
      <w:r>
        <w:t xml:space="preserve"> </w:t>
      </w:r>
      <w:r>
        <w:rPr>
          <w:rStyle w:val="VerbatimChar"/>
        </w:rPr>
        <w:t xml:space="preserve">claude-opus-5</w:t>
      </w:r>
      <w:r>
        <w:t xml:space="preserve">) leram títulos e resumos com critérios versionados. Pela regra liberal, bastava um deles incluir ou marcar incerto para o registro seguir ao texto completo. As 81 divergências ficaram na fila humana, sem arbitragem. A concordância entre A e B na primeira onda foi de 0,97 (κ 0,90; PABAK 0,94). Essa concordância mede a consistência entre os triadores, não a acurácia. O</w:t>
      </w:r>
      <w:r>
        <w:t xml:space="preserve"> </w:t>
      </w:r>
      <w:r>
        <w:rPr>
          <w:i/>
          <w:iCs/>
        </w:rPr>
        <w:t xml:space="preserve">recall</w:t>
      </w:r>
      <w:r>
        <w:t xml:space="preserve"> </w:t>
      </w:r>
      <w:r>
        <w:t xml:space="preserve">não foi calculado, porque as amostras de validação (141 registros) e de elusão (300 registros) não foram codificadas por humanos.</w:t>
      </w:r>
    </w:p>
    <w:p>
      <w:pPr>
        <w:pStyle w:val="BodyText"/>
      </w:pPr>
      <w:r>
        <w:t xml:space="preserve">Pela Emenda 6b, os 336 registros sem resumo, antes excluídos pelo título, foram triados de novo por dois triadores de IA, com o resumo recuperado em fontes legítimas para 172 deles. Um registro só era excluído se os dois excluíssem, com trecho literal do resumo. Houve 156 exclusões, e 180 registros seguiram ao texto completo. Dos 180, 15 foram recuperados e avaliados, e todos os 15 foram excluídos. Os outros 165 ficaram como não recuperados.</w:t>
      </w:r>
    </w:p>
    <w:p>
      <w:pPr>
        <w:pStyle w:val="BodyText"/>
      </w:pPr>
      <w:r>
        <w:t xml:space="preserve">No texto completo, um subagente por PDF propôs a elegibilidade com trecho literal e página, conferidos por</w:t>
      </w:r>
      <w:r>
        <w:t xml:space="preserve"> </w:t>
      </w:r>
      <w:r>
        <w:rPr>
          <w:i/>
          <w:iCs/>
        </w:rPr>
        <w:t xml:space="preserve">script</w:t>
      </w:r>
      <w:r>
        <w:t xml:space="preserve">. O revisor humano decidiu 17 casos limítrofes. Em 3 outros, a IA estendeu a um caso novo uma regra que ele tinha decidido para outro grupo. As 165 decisões propostas a partir das fichas (47 de inclusão e 118 de exclusão) aguardam conferência humana. Nenhum PDF foi obtido por Sci-Hub ou outra fonte não autorizada.</w:t>
      </w:r>
    </w:p>
    <w:bookmarkEnd w:id="72"/>
    <w:bookmarkStart w:id="79" w:name="fluxo-prisma"/>
    <w:p>
      <w:pPr>
        <w:pStyle w:val="Heading2"/>
      </w:pPr>
      <w:r>
        <w:t xml:space="preserve">9.5 Fluxo PRISMA</w:t>
      </w:r>
    </w:p>
    <w:tbl>
      <w:tblPr>
        <w:tblStyle w:val="Table"/>
        <w:tblW w:type="pct" w:w="5000"/>
        <w:tblLayout w:type="fixed"/>
        <w:tblLook w:firstRow="0" w:lastRow="0" w:firstColumn="0" w:lastColumn="0" w:noHBand="0" w:noVBand="0" w:val="0000"/>
      </w:tblPr>
      <w:tblGrid>
        <w:gridCol w:w="7920"/>
      </w:tblGrid>
      <w:tr>
        <w:tc>
          <w:tcPr/>
          <w:bookmarkStart w:id="76" w:name="fig-prisma"/>
          <w:p>
            <w:pPr>
              <w:pStyle w:val="Compact"/>
              <w:jc w:val="center"/>
            </w:pPr>
            <w:r>
              <w:drawing>
                <wp:inline>
                  <wp:extent cx="5334000" cy="3327234"/>
                  <wp:effectExtent b="0" l="0" r="0" t="0"/>
                  <wp:docPr descr="" title="" id="74" name="Picture"/>
                  <a:graphic>
                    <a:graphicData uri="http://schemas.openxmlformats.org/drawingml/2006/picture">
                      <pic:pic>
                        <pic:nvPicPr>
                          <pic:cNvPr descr="../07-relatorio/prisma.png" id="75" name="Picture"/>
                          <pic:cNvPicPr>
                            <a:picLocks noChangeArrowheads="1" noChangeAspect="1"/>
                          </pic:cNvPicPr>
                        </pic:nvPicPr>
                        <pic:blipFill>
                          <a:blip r:embed="rId73"/>
                          <a:stretch>
                            <a:fillRect/>
                          </a:stretch>
                        </pic:blipFill>
                        <pic:spPr bwMode="auto">
                          <a:xfrm>
                            <a:off x="0" y="0"/>
                            <a:ext cx="5334000" cy="3327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Fluxograma PRISMA 2020 calculado do registro de decisões (rascunho). O cabeçalho da figura foi gerado antes da abertura da P042 e lista 17 das 18 pendências abertas.</w:t>
            </w:r>
          </w:p>
          <w:bookmarkEnd w:id="76"/>
        </w:tc>
      </w:tr>
    </w:tbl>
    <w:p>
      <w:pPr>
        <w:pStyle w:val="BodyText"/>
      </w:pPr>
      <w:r>
        <w:t xml:space="preserve">A busca identificou 1.767 registros nas bases (1.687 no OpenAlex e 80 na BDTD) e 1.706 por busca de citação. Depois de remover duplicados e registros anteriores a 2010, triamos 1.573 registros das bases e 1.054 dos outros métodos. Buscamos o texto completo de 259 e 267 relatos, respectivamente. Desses, 158 e 184 não foram recuperados, e 101 e 83 foram avaliados no texto completo, com 59 e 70 exclusões, a maior parte por exposição fora do critério (39 e 50). Incluímos 41 estudos, em 55 relatos (42 das bases e 13 dos outros métodos). Os 1.235 registros da busca substituída B01 ficaram fora do fluxo.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A seleção não tem validação humana. Faltam revisar 145 pares candidatos de duplicata (P019), resolver as 81 divergências da triagem (P020), codificar às cegas as amostras de validação e de elusão (P006 e P007), conferir as 165 decisões de elegibilidade (P041) e confirmar os portões G4 e G5 (P008 e P023). Qualquer uma pode mudar o conjunto de incluídos.</w:t>
            </w:r>
          </w:p>
          <w:p/>
        </w:tc>
      </w:tr>
    </w:tbl>
    <w:bookmarkEnd w:id="79"/>
    <w:bookmarkStart w:id="82" w:name="extração"/>
    <w:p>
      <w:pPr>
        <w:pStyle w:val="Heading2"/>
      </w:pPr>
      <w:r>
        <w:t xml:space="preserve">9.6 Extração</w:t>
      </w:r>
    </w:p>
    <w:p>
      <w:pPr>
        <w:pStyle w:val="FirstParagraph"/>
      </w:pPr>
      <w:r>
        <w:t xml:space="preserve">A extração usou um</w:t>
      </w:r>
      <w:r>
        <w:t xml:space="preserve"> </w:t>
      </w:r>
      <w:r>
        <w:rPr>
          <w:i/>
          <w:iCs/>
        </w:rPr>
        <w:t xml:space="preserve">codebook</w:t>
      </w:r>
      <w:r>
        <w:t xml:space="preserve"> </w:t>
      </w:r>
      <w:r>
        <w:t xml:space="preserve">com variáveis próprias desta literatura (realismo do contexto, comparador, alvo do efeito, sistema eleitoral, voto obrigatório, região, ano da eleição), testado num piloto com três estudos</w:t>
      </w:r>
      <w:r>
        <w:t xml:space="preserve"> </w:t>
      </w:r>
      <w:r>
        <w:t xml:space="preserve">(Meer et al. 2015; Klor e Winter 2017; Araujo e Gatto 2021)</w:t>
      </w:r>
      <w:r>
        <w:t xml:space="preserve"> </w:t>
      </w:r>
      <w:r>
        <w:t xml:space="preserve">que levou à Emenda 2. Um subagente</w:t>
      </w:r>
      <w:r>
        <w:t xml:space="preserve"> </w:t>
      </w:r>
      <w:r>
        <w:rPr>
          <w:rStyle w:val="VerbatimChar"/>
        </w:rPr>
        <w:t xml:space="preserve">claude-opus-5</w:t>
      </w:r>
      <w:r>
        <w:t xml:space="preserve"> </w:t>
      </w:r>
      <w:r>
        <w:t xml:space="preserve">por texto preencheu a ficha, com trecho literal e página para cada variável. Ao todo, são 560 efeitos de 40 estudos. Um segundo subagente (</w:t>
      </w:r>
      <w:r>
        <w:rPr>
          <w:rStyle w:val="VerbatimChar"/>
        </w:rPr>
        <w:t xml:space="preserve">claude-sonnet-5</w:t>
      </w:r>
      <w:r>
        <w:t xml:space="preserve">) recodificou às cegas 10 estudos sorteados, com concordância de 58,5% em 560 comparações e 37 variáveis abaixo do limiar.</w:t>
      </w:r>
    </w:p>
    <w:p>
      <w:pPr>
        <w:pStyle w:val="BodyText"/>
      </w:pPr>
      <w:r>
        <w:t xml:space="preserve">Antes da síntese, um subagente</w:t>
      </w:r>
      <w:r>
        <w:t xml:space="preserve"> </w:t>
      </w:r>
      <w:r>
        <w:rPr>
          <w:rStyle w:val="VerbatimChar"/>
        </w:rPr>
        <w:t xml:space="preserve">claude-opus-5-5</w:t>
      </w:r>
      <w:r>
        <w:t xml:space="preserve"> </w:t>
      </w:r>
      <w:r>
        <w:t xml:space="preserve">reextraiu às cegas os efeitos do modelo principal dos 40 estudos com dados. Nos 56 efeitos principais originais, 15 concordaram, 23 tinham o mesmo valor com classificação diferente, 12 tinham outro valor e 6 tinham sinal diferente. Nos 28 estudos com divergência, um árbitro de IA decidiu pelo texto, com trecho e página, e o coordenador aplicou 772 correções, 240 delas estendidas a linhas análogas sem nova arbitragem. O efeito principal de cada contraste seguiu uma regra escrita antes da extração, nesta ordem: (i) o declarado pelos autores; (ii) na falta dele, o usado na interpretação; e (iii) por último, a regra do protocolo. A significância nunca foi critério de escolha.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Nenhum dos 560 efeitos foi conferido por humano na página do PDF (P039). Faltam arbitrar as 259 divergências da recodificação cega (P037), conferir o piloto (P025) e confirmar o portão G6 (P026).</w:t>
            </w:r>
          </w:p>
          <w:p/>
        </w:tc>
      </w:tr>
    </w:tbl>
    <w:bookmarkEnd w:id="82"/>
    <w:bookmarkStart w:id="85" w:name="risco-de-viés"/>
    <w:p>
      <w:pPr>
        <w:pStyle w:val="Heading2"/>
      </w:pPr>
      <w:r>
        <w:t xml:space="preserve">9.7 Risco de viés</w:t>
      </w:r>
    </w:p>
    <w:p>
      <w:pPr>
        <w:pStyle w:val="FirstParagraph"/>
      </w:pPr>
      <w:r>
        <w:t xml:space="preserve">Usamos o RoB 2 para experimentos aleatorizados, o ROBINS-I V2 para experimentos naturais, quase-experimentos e painéis individuais (a ferramenta canônica para exposição não atribuída seria o ROBINS-E, que a</w:t>
      </w:r>
      <w:r>
        <w:t xml:space="preserve"> </w:t>
      </w:r>
      <w:r>
        <w:rPr>
          <w:i/>
          <w:iCs/>
        </w:rPr>
        <w:t xml:space="preserve">skill</w:t>
      </w:r>
      <w:r>
        <w:t xml:space="preserve"> </w:t>
      </w:r>
      <w:r>
        <w:t xml:space="preserve">não tem) e o EPOC para proibições e embargos com unidades agregadas. Dois avaliadores de IA julgaram cada resultado de forma independente, com trecho literal e página, e um árbitro de IA propôs o consenso nos desacordos. Foram avaliados 43 resultados de 37 estudos, sendo 23 com RoB 2 (17 com algumas preocupações e 6 em risco alto), 13 com ROBINS-I V2 (2 moderado, 8 grave e 3 crítico) e 7 com EPOC (6 alto e 1 baixo). Nenhum resultado randomizado ficou em risco baixo, e o domínio de relato seletivo teve algumas preocupações em 21 dos 23. Nos não randomizados, o confundimento foi grave ou crítico em 11 dos 13. Dos 259 domínios julgados, 88 foram arbitrados, e o árbitro seguiu o avaliador A em 79. Como os dois são o mesmo modelo, pode haver viés de afinidade.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Nenhum dos 259 julgamentos de risco de viés foi validado por humano, e o portão G7 espera confirmação (P033). A arbitragem dos efeitos levantou um ponto para essa revisão: em</w:t>
            </w:r>
            <w:r>
              <w:t xml:space="preserve"> </w:t>
            </w:r>
            <w:r>
              <w:t xml:space="preserve">Fichnová e Wojciechowski (2015)</w:t>
            </w:r>
            <w:r>
              <w:t xml:space="preserve">, 17 dos 37 respondentes eslovacos não aparecem nas tabelas, com o domínio de dados faltantes julgado baixo.</w:t>
            </w:r>
          </w:p>
          <w:p/>
        </w:tc>
      </w:tr>
    </w:tbl>
    <w:bookmarkEnd w:id="85"/>
    <w:bookmarkStart w:id="86" w:name="síntese"/>
    <w:p>
      <w:pPr>
        <w:pStyle w:val="Heading2"/>
      </w:pPr>
      <w:r>
        <w:t xml:space="preserve">9.8 Síntese</w:t>
      </w:r>
    </w:p>
    <w:p>
      <w:pPr>
        <w:pStyle w:val="FirstParagraph"/>
      </w:pPr>
      <w:r>
        <w:t xml:space="preserve">A célula de síntese é família de exposição × desfecho × comparador × alvo (principal, viabilidade,</w:t>
      </w:r>
      <w:r>
        <w:t xml:space="preserve"> </w:t>
      </w:r>
      <w:r>
        <w:rPr>
          <w:i/>
          <w:iCs/>
        </w:rPr>
        <w:t xml:space="preserve">momentum</w:t>
      </w:r>
      <w:r>
        <w:t xml:space="preserve">, mobilização) × classe de desenho. Randomizados e não randomizados nunca foram juntados. A medida é o g de Hedges alinhado à convenção de cada desfecho. O sinal positivo indica</w:t>
      </w:r>
      <w:r>
        <w:t xml:space="preserve"> </w:t>
      </w:r>
      <w:r>
        <w:rPr>
          <w:i/>
          <w:iCs/>
        </w:rPr>
        <w:t xml:space="preserve">bandwagon</w:t>
      </w:r>
      <w:r>
        <w:t xml:space="preserve"> </w:t>
      </w:r>
      <w:r>
        <w:t xml:space="preserve">na célula principal, deserção para a opção viável na de viabilidade e mobilização no comparecimento. Nos desenhos de proibição, o efeito foi reorientado para o da exposição. Proporções e efeitos em pontos percentuais foram convertidos pelo log da razão de chances.</w:t>
      </w:r>
    </w:p>
    <w:p>
      <w:pPr>
        <w:pStyle w:val="BodyText"/>
      </w:pPr>
      <w:r>
        <w:t xml:space="preserve">A síntese principal segue o SWiM. A direção vem do estimador pontual, nunca da significância, com a regra de 70% dos efeitos para dar direção a um estudo com vários efeitos e teste de sinal binomial exato bilateral. O limiar de relevância, convenção do protocolo, é δ = 2 pontos percentuais, convertido em g (0,044 no apoio, 0,046 no comparecimento e 0,0573 na célula de pesquisa frente a nenhuma pesquisa). Um efeito com IC 95% inteiro dentro de ±δ foi classificado como nulo. Ficaram fora do teste de sinal os resultados em risco crítico e os efeitos principais que não estimam o contraste da exposição, listados com o motivo no dicionário</w:t>
      </w:r>
      <w:r>
        <w:t xml:space="preserve"> </w:t>
      </w:r>
      <w:r>
        <w:rPr>
          <w:rStyle w:val="VerbatimChar"/>
        </w:rPr>
        <w:t xml:space="preserve">FORA</w:t>
      </w:r>
      <w:r>
        <w:t xml:space="preserve"> </w:t>
      </w:r>
      <w:r>
        <w:t xml:space="preserve">de</w:t>
      </w:r>
      <w:r>
        <w:t xml:space="preserve"> </w:t>
      </w:r>
      <w:r>
        <w:rPr>
          <w:rStyle w:val="VerbatimChar"/>
        </w:rPr>
        <w:t xml:space="preserve">06-analise/montar_entradas_swim.py</w:t>
      </w:r>
      <w:r>
        <w:t xml:space="preserve">. Nos desenhos com conglomerado sem ICC relatado, imputamos 0,05, com sensibilidade em 0,20. As demais sensibilidades estão na</w:t>
      </w:r>
      <w:r>
        <w:t xml:space="preserve"> </w:t>
      </w:r>
      <w:hyperlink w:anchor="sec-sensibilidades">
        <w:r>
          <w:rPr>
            <w:rStyle w:val="Hyperlink"/>
          </w:rPr>
          <w:t xml:space="preserve">Seção 3.5</w:t>
        </w:r>
      </w:hyperlink>
      <w:r>
        <w:t xml:space="preserve">.</w:t>
      </w:r>
    </w:p>
    <w:p>
      <w:pPr>
        <w:pStyle w:val="BodyText"/>
      </w:pPr>
      <w:r>
        <w:t xml:space="preserve">As duas células com 3 estudos com g tiveram meta-análise exploratória, por modelo CHE (REML) com variância robusta CR2 e ρ = 0,6. Graus de liberdade abaixo de 4 foram lidos como sinal de inferência não confiável. Não houve teste de viés de publicação, porque nenhuma célula teve 10 ou mais estudos.</w:t>
      </w:r>
    </w:p>
    <w:bookmarkEnd w:id="86"/>
    <w:bookmarkStart w:id="89" w:name="certeza-grade"/>
    <w:p>
      <w:pPr>
        <w:pStyle w:val="Heading2"/>
      </w:pPr>
      <w:r>
        <w:t xml:space="preserve">9.9 Certeza (GRADE)</w:t>
      </w:r>
    </w:p>
    <w:p>
      <w:pPr>
        <w:pStyle w:val="FirstParagraph"/>
      </w:pPr>
      <w:r>
        <w:t xml:space="preserve">Julgamos a certeza por célula, com randomizados e não randomizados em corpos separados. Randomizados e não randomizados avaliados com ROBINS-I V2 partiram de alta, e os avaliados só com EPOC, de baixa. A indireção considerou o contexto eleitoral, o realismo e o estimando. Sem meta-análise, a inconsistência foi julgada pela coerência das direções, e a imprecisão, pelo número de estudos e pela largura do IC da proporção. Das 18 células do protocolo, 15 ficaram com certeza muito baixa, 2 com baixa e 1 com moderada. As 7 linhas do agrupamento amplo ficaram todas com muito baixa. Os juízos foram rascunhados por um subagente (</w:t>
      </w:r>
      <w:r>
        <w:rPr>
          <w:rStyle w:val="VerbatimChar"/>
        </w:rPr>
        <w:t xml:space="preserve">claude-opus-5-5</w:t>
      </w:r>
      <w:r>
        <w:t xml:space="preserve">) em 24/09/2026.</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important.png" id="8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Pendente de revisão humana</w:t>
            </w:r>
          </w:p>
        </w:tc>
      </w:tr>
      <w:tr>
        <w:trPr>
          <w:cantSplit/>
        </w:trPr>
        <w:tc>
          <w:tcPr>
            <w:tcMar>
              <w:top w:w="108" w:type="dxa"/>
              <w:bottom w:w="108" w:type="dxa"/>
            </w:tcMar>
          </w:tcPr>
          <w:p>
            <w:pPr>
              <w:pStyle w:val="BodyText"/>
            </w:pPr>
            <w:pPr>
              <w:spacing w:before="16" w:after="16"/>
            </w:pPr>
            <w:r>
              <w:t xml:space="preserve">Nenhum juízo GRADE foi validado (P036 e P042), e o portão G8 espera confirmação (P035). O rascunho deixou três decisões explícitas para o autor: (i) não rebaixar corpos cuja única preocupação de risco de viés é o relato seletivo; (ii) rebaixar só 1 nível a célula de</w:t>
            </w:r>
            <w:r>
              <w:t xml:space="preserve"> </w:t>
            </w:r>
            <w:r>
              <w:t xml:space="preserve">Stolwijk e Schuck (2019)</w:t>
            </w:r>
            <w:r>
              <w:t xml:space="preserve"> </w:t>
            </w:r>
            <w:r>
              <w:t xml:space="preserve">e</w:t>
            </w:r>
            <w:r>
              <w:t xml:space="preserve"> </w:t>
            </w:r>
            <w:r>
              <w:t xml:space="preserve">Brugarolas e Miller (2021)</w:t>
            </w:r>
            <w:r>
              <w:t xml:space="preserve">; e (iii) rebaixar por viés de publicação o agrupamento amplo de apoio randomizado.</w:t>
            </w:r>
          </w:p>
          <w:p/>
        </w:tc>
      </w:tr>
    </w:tbl>
    <w:bookmarkEnd w:id="89"/>
    <w:bookmarkStart w:id="90" w:name="uso-de-inteligência-artificial"/>
    <w:p>
      <w:pPr>
        <w:pStyle w:val="Heading2"/>
      </w:pPr>
      <w:r>
        <w:t xml:space="preserve">9.10 Uso de inteligência artificial</w:t>
      </w:r>
    </w:p>
    <w:p>
      <w:pPr>
        <w:pStyle w:val="FirstParagraph"/>
      </w:pPr>
      <w:r>
        <w:t xml:space="preserve">Um coordenador de IA, o Claude Opus 5.5 (</w:t>
      </w:r>
      <w:r>
        <w:rPr>
          <w:rStyle w:val="VerbatimChar"/>
        </w:rPr>
        <w:t xml:space="preserve">claude-opus-5-5</w:t>
      </w:r>
      <w:r>
        <w:t xml:space="preserve">), executou os</w:t>
      </w:r>
      <w:r>
        <w:t xml:space="preserve"> </w:t>
      </w:r>
      <w:r>
        <w:rPr>
          <w:i/>
          <w:iCs/>
        </w:rPr>
        <w:t xml:space="preserve">scripts</w:t>
      </w:r>
      <w:r>
        <w:t xml:space="preserve"> </w:t>
      </w:r>
      <w:r>
        <w:t xml:space="preserve">da</w:t>
      </w:r>
      <w:r>
        <w:t xml:space="preserve"> </w:t>
      </w:r>
      <w:r>
        <w:rPr>
          <w:i/>
          <w:iCs/>
        </w:rPr>
        <w:t xml:space="preserve">skill</w:t>
      </w:r>
      <w:r>
        <w:t xml:space="preserve"> </w:t>
      </w:r>
      <w:r>
        <w:rPr>
          <w:rStyle w:val="VerbatimChar"/>
        </w:rPr>
        <w:t xml:space="preserve">revisao-sistematica</w:t>
      </w:r>
      <w:r>
        <w:t xml:space="preserve"> </w:t>
      </w:r>
      <w:r>
        <w:t xml:space="preserve">no Claude Code e distribuiu o trabalho entre subagentes:</w:t>
      </w:r>
      <w:r>
        <w:t xml:space="preserve"> </w:t>
      </w:r>
      <w:r>
        <w:rPr>
          <w:rStyle w:val="VerbatimChar"/>
        </w:rPr>
        <w:t xml:space="preserve">claude-sonnet-5</w:t>
      </w:r>
      <w:r>
        <w:t xml:space="preserve"> </w:t>
      </w:r>
      <w:r>
        <w:t xml:space="preserve">e</w:t>
      </w:r>
      <w:r>
        <w:t xml:space="preserve"> </w:t>
      </w:r>
      <w:r>
        <w:rPr>
          <w:rStyle w:val="VerbatimChar"/>
        </w:rPr>
        <w:t xml:space="preserve">claude-opus-5</w:t>
      </w:r>
      <w:r>
        <w:t xml:space="preserve"> </w:t>
      </w:r>
      <w:r>
        <w:t xml:space="preserve">na triagem;</w:t>
      </w:r>
      <w:r>
        <w:t xml:space="preserve"> </w:t>
      </w:r>
      <w:r>
        <w:rPr>
          <w:rStyle w:val="VerbatimChar"/>
        </w:rPr>
        <w:t xml:space="preserve">claude-opus-5</w:t>
      </w:r>
      <w:r>
        <w:t xml:space="preserve"> </w:t>
      </w:r>
      <w:r>
        <w:t xml:space="preserve">na elegibilidade e na extração, com recodificação cega por</w:t>
      </w:r>
      <w:r>
        <w:t xml:space="preserve"> </w:t>
      </w:r>
      <w:r>
        <w:rPr>
          <w:rStyle w:val="VerbatimChar"/>
        </w:rPr>
        <w:t xml:space="preserve">claude-sonnet-5</w:t>
      </w:r>
      <w:r>
        <w:t xml:space="preserve">;</w:t>
      </w:r>
      <w:r>
        <w:t xml:space="preserve"> </w:t>
      </w:r>
      <w:r>
        <w:rPr>
          <w:rStyle w:val="VerbatimChar"/>
        </w:rPr>
        <w:t xml:space="preserve">claude-opus-5-5</w:t>
      </w:r>
      <w:r>
        <w:t xml:space="preserve"> </w:t>
      </w:r>
      <w:r>
        <w:t xml:space="preserve">na triagem complementar (com</w:t>
      </w:r>
      <w:r>
        <w:t xml:space="preserve"> </w:t>
      </w:r>
      <w:r>
        <w:rPr>
          <w:rStyle w:val="VerbatimChar"/>
        </w:rPr>
        <w:t xml:space="preserve">claude-sonnet-5</w:t>
      </w:r>
      <w:r>
        <w:t xml:space="preserve">), na reextração e arbitragem dos efeitos, no risco de viés (com</w:t>
      </w:r>
      <w:r>
        <w:t xml:space="preserve"> </w:t>
      </w:r>
      <w:r>
        <w:rPr>
          <w:rStyle w:val="VerbatimChar"/>
        </w:rPr>
        <w:t xml:space="preserve">claude-sonnet-5</w:t>
      </w:r>
      <w:r>
        <w:t xml:space="preserve"> </w:t>
      </w:r>
      <w:r>
        <w:t xml:space="preserve">e como árbitro), no GRADE e na redação. O único humano, o autor, aprovou a pergunta e o protocolo, decidiu as Emendas 1, 4 (itens 4a a 4c) e 6b e 17 casos limítrofes de elegibilidade e escolheu por custo o árbitro do risco de viés (Emenda 3).</w:t>
      </w:r>
    </w:p>
    <w:bookmarkEnd w:id="90"/>
    <w:bookmarkEnd w:id="91"/>
    <w:bookmarkStart w:id="94" w:name="limitações"/>
    <w:p>
      <w:pPr>
        <w:pStyle w:val="Heading1"/>
      </w:pPr>
      <w:r>
        <w:t xml:space="preserve">10. Limitações</w:t>
      </w:r>
    </w:p>
    <w:bookmarkStart w:id="92" w:name="da-evidência"/>
    <w:p>
      <w:pPr>
        <w:pStyle w:val="Heading2"/>
      </w:pPr>
      <w:r>
        <w:t xml:space="preserve">10.1 Da evidência</w:t>
      </w:r>
    </w:p>
    <w:p>
      <w:pPr>
        <w:pStyle w:val="FirstParagraph"/>
      </w:pPr>
      <w:r>
        <w:rPr>
          <w:b/>
          <w:bCs/>
        </w:rPr>
        <w:t xml:space="preserve">Laboratório e vinheta.</w:t>
      </w:r>
      <w:r>
        <w:t xml:space="preserve"> </w:t>
      </w:r>
      <w:r>
        <w:t xml:space="preserve">Dos 9 experimentos de apoio a quem aparece à frente, 8 usaram laboratório com preferências induzidas ou vinheta hipotética. Quando restringimos ao contexto real, sobra 1.</w:t>
      </w:r>
    </w:p>
    <w:p>
      <w:pPr>
        <w:pStyle w:val="BodyText"/>
      </w:pPr>
      <w:r>
        <w:rPr>
          <w:b/>
          <w:bCs/>
        </w:rPr>
        <w:t xml:space="preserve">Poucos estudos e imprecisão.</w:t>
      </w:r>
      <w:r>
        <w:t xml:space="preserve"> </w:t>
      </w:r>
      <w:r>
        <w:t xml:space="preserve">Cada célula tem de 1 a 4 estudos, abaixo do necessário para teste de sinal com poder, análise de moderadores ou avaliação de viés de publicação. Nas células de 1 estudo, o IC 95% da proporção vai de 0,03 a 1,00 ou de 0,00 a 0,97.</w:t>
      </w:r>
    </w:p>
    <w:p>
      <w:pPr>
        <w:pStyle w:val="BodyText"/>
      </w:pPr>
      <w:r>
        <w:rPr>
          <w:b/>
          <w:bCs/>
        </w:rPr>
        <w:t xml:space="preserve">Dados lidos de figura e medidas indiretas.</w:t>
      </w:r>
      <w:r>
        <w:t xml:space="preserve"> </w:t>
      </w:r>
      <w:r>
        <w:t xml:space="preserve">Tyszler e Schram (2015)</w:t>
      </w:r>
      <w:r>
        <w:t xml:space="preserve"> </w:t>
      </w:r>
      <w:r>
        <w:t xml:space="preserve">tem os dois efeitos principais lidos de figura.</w:t>
      </w:r>
      <w:r>
        <w:t xml:space="preserve"> </w:t>
      </w:r>
      <w:r>
        <w:t xml:space="preserve">Agranov et al. (2017)</w:t>
      </w:r>
      <w:r>
        <w:t xml:space="preserve"> </w:t>
      </w:r>
      <w:r>
        <w:t xml:space="preserve">e</w:t>
      </w:r>
      <w:r>
        <w:t xml:space="preserve"> </w:t>
      </w:r>
      <w:r>
        <w:t xml:space="preserve">Tyszler e Schram (2015)</w:t>
      </w:r>
      <w:r>
        <w:t xml:space="preserve"> </w:t>
      </w:r>
      <w:r>
        <w:t xml:space="preserve">medem quem vence a eleição do grupo, e não o voto individual, e vários estudos só têm direção. Em</w:t>
      </w:r>
      <w:r>
        <w:t xml:space="preserve"> </w:t>
      </w:r>
      <w:r>
        <w:t xml:space="preserve">Kaplan (2019)</w:t>
      </w:r>
      <w:r>
        <w:t xml:space="preserve">, o efeito é um valor derivado, e em</w:t>
      </w:r>
      <w:r>
        <w:t xml:space="preserve"> </w:t>
      </w:r>
      <w:r>
        <w:t xml:space="preserve">Lammers et al. (2022)</w:t>
      </w:r>
      <w:r>
        <w:t xml:space="preserve"> </w:t>
      </w:r>
      <w:r>
        <w:t xml:space="preserve">e</w:t>
      </w:r>
      <w:r>
        <w:t xml:space="preserve"> </w:t>
      </w:r>
      <w:r>
        <w:t xml:space="preserve">Meffert e Gschwend (2011)</w:t>
      </w:r>
      <w:r>
        <w:t xml:space="preserve"> </w:t>
      </w:r>
      <w:r>
        <w:t xml:space="preserve">o n por célula foi derivado.</w:t>
      </w:r>
    </w:p>
    <w:p>
      <w:pPr>
        <w:pStyle w:val="BodyText"/>
      </w:pPr>
      <w:r>
        <w:rPr>
          <w:b/>
          <w:bCs/>
        </w:rPr>
        <w:t xml:space="preserve">Sem meta-análise principal.</w:t>
      </w:r>
      <w:r>
        <w:t xml:space="preserve"> </w:t>
      </w:r>
      <w:r>
        <w:t xml:space="preserve">A revisão não diz o tamanho do efeito. As duas metas exploratórias misturam medidas diferentes, têm menos de 4 graus de liberdade e dependem de um estudo cada no</w:t>
      </w:r>
      <w:r>
        <w:t xml:space="preserve"> </w:t>
      </w:r>
      <w:r>
        <w:rPr>
          <w:i/>
          <w:iCs/>
        </w:rPr>
        <w:t xml:space="preserve">leave-one-out</w:t>
      </w:r>
      <w:r>
        <w:t xml:space="preserve">.</w:t>
      </w:r>
    </w:p>
    <w:p>
      <w:pPr>
        <w:pStyle w:val="BodyText"/>
      </w:pPr>
      <w:r>
        <w:rPr>
          <w:b/>
          <w:bCs/>
        </w:rPr>
        <w:t xml:space="preserve">Risco de viés.</w:t>
      </w:r>
      <w:r>
        <w:t xml:space="preserve"> </w:t>
      </w:r>
      <w:r>
        <w:t xml:space="preserve">Nenhum resultado randomizado ficou em risco baixo, e os 4 experimentos da célula do mesmo candidato atrás estão em risco alto. Nos não randomizados, o confundimento foi grave ou crítico na maioria, e 3 estudos ficaram fora por risco crítico.</w:t>
      </w:r>
    </w:p>
    <w:p>
      <w:pPr>
        <w:pStyle w:val="BodyText"/>
      </w:pPr>
      <w:r>
        <w:rPr>
          <w:b/>
          <w:bCs/>
        </w:rPr>
        <w:t xml:space="preserve">Contrastes heterogêneos.</w:t>
      </w:r>
      <w:r>
        <w:t xml:space="preserve"> </w:t>
      </w:r>
      <w:r>
        <w:t xml:space="preserve">Os estudos comparam exposição com não exposição, resultados diferentes, o mesmo candidato em outra posição, antes e depois de proibições e unidades expostas e não expostas, com estimandos diferentes. Há ainda 7 estudos que só têm efeitos fora da contagem.</w:t>
      </w:r>
    </w:p>
    <w:p>
      <w:pPr>
        <w:pStyle w:val="BodyText"/>
      </w:pPr>
      <w:r>
        <w:rPr>
          <w:b/>
          <w:bCs/>
        </w:rPr>
        <w:t xml:space="preserve">Dados anteriores a 2010.</w:t>
      </w:r>
      <w:r>
        <w:t xml:space="preserve"> </w:t>
      </w:r>
      <w:r>
        <w:t xml:space="preserve">Alguns estudos publicados depois de 2010 usam eleições ou coletas anteriores</w:t>
      </w:r>
      <w:r>
        <w:t xml:space="preserve"> </w:t>
      </w:r>
      <w:r>
        <w:t xml:space="preserve">(Morton et al. 2015; Chatterjee e Kamal 2019; Tyszler e Schram 2015; Klor e Winter 2017)</w:t>
      </w:r>
      <w:r>
        <w:t xml:space="preserve">, e a regra de ano nos experimentos de laboratório é aplicada de forma inconsistente.</w:t>
      </w:r>
    </w:p>
    <w:p>
      <w:pPr>
        <w:pStyle w:val="BodyText"/>
      </w:pPr>
      <w:r>
        <w:rPr>
          <w:b/>
          <w:bCs/>
        </w:rPr>
        <w:t xml:space="preserve">Brasil.</w:t>
      </w:r>
      <w:r>
        <w:t xml:space="preserve"> </w:t>
      </w:r>
      <w:r>
        <w:t xml:space="preserve">Não há nenhum estudo sobre pesquisas publicadas no Brasil, e o único estudo brasileiro trata de apuração parcial oficial.</w:t>
      </w:r>
    </w:p>
    <w:bookmarkEnd w:id="92"/>
    <w:bookmarkStart w:id="93" w:name="do-processo"/>
    <w:p>
      <w:pPr>
        <w:pStyle w:val="Heading2"/>
      </w:pPr>
      <w:r>
        <w:t xml:space="preserve">10.2 Do processo</w:t>
      </w:r>
    </w:p>
    <w:p>
      <w:pPr>
        <w:pStyle w:val="FirstParagraph"/>
      </w:pPr>
      <w:r>
        <w:rPr>
          <w:b/>
          <w:bCs/>
        </w:rPr>
        <w:t xml:space="preserve">Fontes restritas (atalho A1).</w:t>
      </w:r>
      <w:r>
        <w:t xml:space="preserve"> </w:t>
      </w:r>
      <w:r>
        <w:t xml:space="preserve">Usamos só OpenAlex, BDTD e busca por citação, sem Web of Science, Scopus, SciELO nem literatura cinzenta. As estratégias em português e espanhol e a da BDTD ficaram sem validação de</w:t>
      </w:r>
      <w:r>
        <w:t xml:space="preserve"> </w:t>
      </w:r>
      <w:r>
        <w:rPr>
          <w:i/>
          <w:iCs/>
        </w:rPr>
        <w:t xml:space="preserve">recall</w:t>
      </w:r>
      <w:r>
        <w:t xml:space="preserve">.</w:t>
      </w:r>
    </w:p>
    <w:p>
      <w:pPr>
        <w:pStyle w:val="BodyText"/>
      </w:pPr>
      <w:r>
        <w:rPr>
          <w:b/>
          <w:bCs/>
        </w:rPr>
        <w:t xml:space="preserve">IA sem validação humana (atalho A2).</w:t>
      </w:r>
      <w:r>
        <w:t xml:space="preserve"> </w:t>
      </w:r>
      <w:r>
        <w:t xml:space="preserve">O</w:t>
      </w:r>
      <w:r>
        <w:t xml:space="preserve"> </w:t>
      </w:r>
      <w:r>
        <w:rPr>
          <w:i/>
          <w:iCs/>
        </w:rPr>
        <w:t xml:space="preserve">recall</w:t>
      </w:r>
      <w:r>
        <w:t xml:space="preserve"> </w:t>
      </w:r>
      <w:r>
        <w:t xml:space="preserve">da triagem não foi calculado, as 81 divergências da triagem não foram resolvidas, as 165 decisões de elegibilidade não foram conferidas, os 560 efeitos não foram verificados na página do PDF, nenhum julgamento de risco de viés foi validado e o GRADE é rascunho. A concordância entre agentes mede consistência, e não acurácia.</w:t>
      </w:r>
    </w:p>
    <w:p>
      <w:pPr>
        <w:pStyle w:val="BodyText"/>
      </w:pPr>
      <w:r>
        <w:rPr>
          <w:b/>
          <w:bCs/>
        </w:rPr>
        <w:t xml:space="preserve">Correção de atribuição humana (Emenda 6a).</w:t>
      </w:r>
      <w:r>
        <w:t xml:space="preserve"> </w:t>
      </w:r>
      <w:r>
        <w:t xml:space="preserve">Em 23/09/2026, o autor declarou que não conferiu decisões que o</w:t>
      </w:r>
      <w:r>
        <w:t xml:space="preserve"> </w:t>
      </w:r>
      <w:r>
        <w:rPr>
          <w:i/>
          <w:iCs/>
        </w:rPr>
        <w:t xml:space="preserve">log</w:t>
      </w:r>
      <w:r>
        <w:t xml:space="preserve"> </w:t>
      </w:r>
      <w:r>
        <w:t xml:space="preserve">registrava como suas: as 336 exclusões por título de registros sem resumo, as 88 propostas do árbitro de risco de viés dadas como confirmadas em bloco, 3 decisões de texto completo em que a IA estendeu uma regra dele a caso novo, a Emenda 2 e o fechamento da pendência P034. O</w:t>
      </w:r>
      <w:r>
        <w:t xml:space="preserve"> </w:t>
      </w:r>
      <w:r>
        <w:rPr>
          <w:i/>
          <w:iCs/>
        </w:rPr>
        <w:t xml:space="preserve">log</w:t>
      </w:r>
      <w:r>
        <w:t xml:space="preserve"> </w:t>
      </w:r>
      <w:r>
        <w:t xml:space="preserve">só aceita acréscimo, e a correção está na Emenda 6 e em</w:t>
      </w:r>
      <w:r>
        <w:t xml:space="preserve"> </w:t>
      </w:r>
      <w:r>
        <w:rPr>
          <w:rStyle w:val="VerbatimChar"/>
        </w:rPr>
        <w:t xml:space="preserve">00-protocolo/correcao_atribuicao.csv</w:t>
      </w:r>
      <w:r>
        <w:t xml:space="preserve">.</w:t>
      </w:r>
    </w:p>
    <w:p>
      <w:pPr>
        <w:pStyle w:val="BodyText"/>
      </w:pPr>
      <w:r>
        <w:rPr>
          <w:b/>
          <w:bCs/>
        </w:rPr>
        <w:t xml:space="preserve">Papel humano gravado em decisões de IA.</w:t>
      </w:r>
      <w:r>
        <w:t xml:space="preserve"> </w:t>
      </w:r>
      <w:r>
        <w:t xml:space="preserve">O único comando que substitui decisões de triagem grava o ator como humano. As 336 decisões da Emenda 6b têm papel e motivo que dizem que a decisão é da IA, mas aparecem como humanas no arquivo final da triagem e na declaração gerada do</w:t>
      </w:r>
      <w:r>
        <w:t xml:space="preserve"> </w:t>
      </w:r>
      <w:r>
        <w:rPr>
          <w:i/>
          <w:iCs/>
        </w:rPr>
        <w:t xml:space="preserve">log</w:t>
      </w:r>
      <w:r>
        <w:t xml:space="preserve">. Nenhuma delas é validação humana.</w:t>
      </w:r>
    </w:p>
    <w:p>
      <w:pPr>
        <w:pStyle w:val="BodyText"/>
      </w:pPr>
      <w:r>
        <w:rPr>
          <w:b/>
          <w:bCs/>
        </w:rPr>
        <w:t xml:space="preserve">Triagem complementar só por IA (Emenda 6b).</w:t>
      </w:r>
      <w:r>
        <w:t xml:space="preserve"> </w:t>
      </w:r>
      <w:r>
        <w:t xml:space="preserve">Os 336 registros sem resumo foram triados de novo só por IA, sem conferência humana, por decisão do autor, e não há estimativa de quantos elegíveis se perderam nas 156 exclusões.</w:t>
      </w:r>
    </w:p>
    <w:p>
      <w:pPr>
        <w:pStyle w:val="BodyText"/>
      </w:pPr>
      <w:r>
        <w:rPr>
          <w:b/>
          <w:bCs/>
        </w:rPr>
        <w:t xml:space="preserve">Âncoras e PRESS só por IA (atalhos A3 e A4).</w:t>
      </w:r>
      <w:r>
        <w:t xml:space="preserve"> </w:t>
      </w:r>
      <w:r>
        <w:t xml:space="preserve">As lacunas apontadas pela pré-revisão (proibição, apuração parcial, comparecimento na BDTD, termos de boca de urna de Portugal e da Espanha) ficam como limitação enquanto o autor não decidir por uma busca suplementar.</w:t>
      </w:r>
    </w:p>
    <w:p>
      <w:pPr>
        <w:pStyle w:val="BodyText"/>
      </w:pPr>
      <w:r>
        <w:rPr>
          <w:b/>
          <w:bCs/>
        </w:rPr>
        <w:t xml:space="preserve">Mesmo provedor e mesmo modelo.</w:t>
      </w:r>
      <w:r>
        <w:t xml:space="preserve"> </w:t>
      </w:r>
      <w:r>
        <w:t xml:space="preserve">Todos os modelos são da Anthropic, e erros correlacionados entre agentes não aparecem na concordância entre eles. A reextração cega e a arbitragem dos efeitos usaram o mesmo modelo. O árbitro do risco de viés, trocado por custo (Emenda 3), também é o mesmo modelo do avaliador A, que ele seguiu em 79 de 88 domínios.</w:t>
      </w:r>
    </w:p>
    <w:p>
      <w:pPr>
        <w:pStyle w:val="BodyText"/>
      </w:pPr>
      <w:r>
        <w:rPr>
          <w:b/>
          <w:bCs/>
        </w:rPr>
        <w:t xml:space="preserve">Concordância da extração abaixo do limiar.</w:t>
      </w:r>
      <w:r>
        <w:t xml:space="preserve"> </w:t>
      </w:r>
      <w:r>
        <w:t xml:space="preserve">Na recodificação cega, a concordância foi de 58,5%, com 37 variáveis abaixo do limiar, entre elas o alvo do efeito e o comparador (κ 0,38 cada), o estimando (κ 0,15) e a direção da estimativa principal (50%).</w:t>
      </w:r>
    </w:p>
    <w:p>
      <w:pPr>
        <w:pStyle w:val="BodyText"/>
      </w:pPr>
      <w:r>
        <w:rPr>
          <w:b/>
          <w:bCs/>
        </w:rPr>
        <w:t xml:space="preserve">Correções aplicadas por IA.</w:t>
      </w:r>
      <w:r>
        <w:t xml:space="preserve"> </w:t>
      </w:r>
      <w:r>
        <w:t xml:space="preserve">As 772 correções dos efeitos foram decididas por um árbitro de IA e aplicadas pelo coordenador de IA, que estendeu 240 delas a linhas análogas sem nova arbitragem. Outras 40 propostas, nascidas de um erro do coordenador no</w:t>
      </w:r>
      <w:r>
        <w:t xml:space="preserve"> </w:t>
      </w:r>
      <w:r>
        <w:rPr>
          <w:i/>
          <w:iCs/>
        </w:rPr>
        <w:t xml:space="preserve">prompt</w:t>
      </w:r>
      <w:r>
        <w:t xml:space="preserve"> </w:t>
      </w:r>
      <w:r>
        <w:t xml:space="preserve">do árbitro, foram barradas antes da aplicação.</w:t>
      </w:r>
    </w:p>
    <w:p>
      <w:pPr>
        <w:pStyle w:val="BodyText"/>
      </w:pPr>
      <w:r>
        <w:rPr>
          <w:b/>
          <w:bCs/>
        </w:rPr>
        <w:t xml:space="preserve">Defeitos da</w:t>
      </w:r>
      <w:r>
        <w:rPr>
          <w:b/>
          <w:bCs/>
        </w:rPr>
        <w:t xml:space="preserve"> </w:t>
      </w:r>
      <w:r>
        <w:rPr>
          <w:b/>
          <w:bCs/>
          <w:i/>
          <w:iCs/>
        </w:rPr>
        <w:t xml:space="preserve">skill</w:t>
      </w:r>
      <w:r>
        <w:rPr>
          <w:b/>
          <w:bCs/>
        </w:rPr>
        <w:t xml:space="preserve">.</w:t>
      </w:r>
      <w:r>
        <w:t xml:space="preserve"> </w:t>
      </w:r>
      <w:r>
        <w:t xml:space="preserve">A função que confere trechos literais remove o travessão sem inserir espaço, o que recusou citações corretas de dois triadores. A função que classifica respostas trata como inconclusiva qualquer resposta com a sequência</w:t>
      </w:r>
      <w:r>
        <w:t xml:space="preserve"> </w:t>
      </w:r>
      <w:r>
        <w:t xml:space="preserve">“incert”</w:t>
      </w:r>
      <w:r>
        <w:t xml:space="preserve">.</w:t>
      </w:r>
    </w:p>
    <w:p>
      <w:pPr>
        <w:pStyle w:val="BodyText"/>
      </w:pPr>
      <w:r>
        <w:rPr>
          <w:b/>
          <w:bCs/>
        </w:rPr>
        <w:t xml:space="preserve">PDFs não recuperados.</w:t>
      </w:r>
      <w:r>
        <w:t xml:space="preserve"> </w:t>
      </w:r>
      <w:r>
        <w:t xml:space="preserve">Não recuperamos 158 relatos das bases e 184 dos outros métodos, sem contato com autores (atalho A5). Parte é de acesso aberto, mas o servidor bloqueou o</w:t>
      </w:r>
      <w:r>
        <w:t xml:space="preserve"> </w:t>
      </w:r>
      <w:r>
        <w:rPr>
          <w:i/>
          <w:iCs/>
        </w:rPr>
        <w:t xml:space="preserve">download</w:t>
      </w:r>
      <w:r>
        <w:t xml:space="preserve"> </w:t>
      </w:r>
      <w:r>
        <w:t xml:space="preserve">automatizado, e o bloqueio não foi contornado. Em</w:t>
      </w:r>
      <w:r>
        <w:t xml:space="preserve"> </w:t>
      </w:r>
      <w:r>
        <w:t xml:space="preserve">Fredén (2016)</w:t>
      </w:r>
      <w:r>
        <w:t xml:space="preserve">, o PDF obtido não traz o artigo empírico.</w:t>
      </w:r>
    </w:p>
    <w:p>
      <w:pPr>
        <w:pStyle w:val="BodyText"/>
      </w:pPr>
      <w:r>
        <w:rPr>
          <w:b/>
          <w:bCs/>
        </w:rPr>
        <w:t xml:space="preserve">ROBINS-I no lugar de ROBINS-E.</w:t>
      </w:r>
      <w:r>
        <w:t xml:space="preserve"> </w:t>
      </w:r>
      <w:r>
        <w:t xml:space="preserve">Para exposição não atribuída, o ROBINS-I V2 pode julgar mal domínios próprios da exposição.</w:t>
      </w:r>
    </w:p>
    <w:p>
      <w:pPr>
        <w:pStyle w:val="BodyText"/>
      </w:pPr>
      <w:r>
        <w:rPr>
          <w:b/>
          <w:bCs/>
        </w:rPr>
        <w:t xml:space="preserve">Decisões tomadas depois de ver os dados.</w:t>
      </w:r>
      <w:r>
        <w:t xml:space="preserve"> </w:t>
      </w:r>
      <w:r>
        <w:t xml:space="preserve">A Emenda 5 (agrupamento, sinal por alvo, efeitos fora da contagem, classe de desenho de dois estudos, nulos por ±δ, sinal por</w:t>
      </w:r>
      <w:r>
        <w:t xml:space="preserve"> </w:t>
      </w:r>
      <w:r>
        <w:rPr>
          <w:i/>
          <w:iCs/>
        </w:rPr>
        <w:t xml:space="preserve">proxy</w:t>
      </w:r>
      <w:r>
        <w:t xml:space="preserve"> </w:t>
      </w:r>
      <w:r>
        <w:t xml:space="preserve">e sensibilidades), a Emenda 1, a Emenda 6b e as reclassificações de alvo e comparador feitas pelos árbitros vieram depois de ver os dados. Por isso, o agrupamento amplo é só descritivo.</w:t>
      </w:r>
    </w:p>
    <w:p>
      <w:pPr>
        <w:pStyle w:val="BodyText"/>
      </w:pPr>
      <w:r>
        <w:rPr>
          <w:b/>
          <w:bCs/>
        </w:rPr>
        <w:t xml:space="preserve">Outras.</w:t>
      </w:r>
      <w:r>
        <w:t xml:space="preserve"> </w:t>
      </w:r>
      <w:r>
        <w:t xml:space="preserve">O recorte por data deixa uma lacuna entre o fim da cobertura de</w:t>
      </w:r>
      <w:r>
        <w:t xml:space="preserve"> </w:t>
      </w:r>
      <w:r>
        <w:t xml:space="preserve">Hardmeier (2008)</w:t>
      </w:r>
      <w:r>
        <w:t xml:space="preserve">, não verificado, e 2009. As estratégias cobrem três idiomas, e 145 pares candidatos de duplicata não foram revistos. Algumas análises planejadas não foram feitas (moderadores, subgrupos de equidade, avaliação separada de resultados faltantes). A meta-análise da célula do mesmo candidato atrás foi rodada depois do GRADE, que não a considerou. Por fim, este documento e o relatório técnico foram redigidos por subagente de IA.</w:t>
      </w:r>
    </w:p>
    <w:bookmarkEnd w:id="93"/>
    <w:bookmarkEnd w:id="94"/>
    <w:bookmarkStart w:id="97" w:name="informações-adicionais"/>
    <w:p>
      <w:pPr>
        <w:pStyle w:val="Heading1"/>
      </w:pPr>
      <w:r>
        <w:t xml:space="preserve">11. Informações adicionais</w:t>
      </w:r>
    </w:p>
    <w:p>
      <w:pPr>
        <w:pStyle w:val="FirstParagraph"/>
      </w:pPr>
      <w:r>
        <w:rPr>
          <w:b/>
          <w:bCs/>
        </w:rPr>
        <w:t xml:space="preserve">Dados e código.</w:t>
      </w:r>
      <w:r>
        <w:t xml:space="preserve"> </w:t>
      </w:r>
      <w:r>
        <w:t xml:space="preserve">Protocolo, emendas,</w:t>
      </w:r>
      <w:r>
        <w:t xml:space="preserve"> </w:t>
      </w:r>
      <w:r>
        <w:rPr>
          <w:i/>
          <w:iCs/>
        </w:rPr>
        <w:t xml:space="preserve">strings</w:t>
      </w:r>
      <w:r>
        <w:t xml:space="preserve"> </w:t>
      </w:r>
      <w:r>
        <w:t xml:space="preserve">e</w:t>
      </w:r>
      <w:r>
        <w:t xml:space="preserve"> </w:t>
      </w:r>
      <w:r>
        <w:rPr>
          <w:i/>
          <w:iCs/>
        </w:rPr>
        <w:t xml:space="preserve">log</w:t>
      </w:r>
      <w:r>
        <w:t xml:space="preserve"> </w:t>
      </w:r>
      <w:r>
        <w:t xml:space="preserve">de buscas, registros e decisões,</w:t>
      </w:r>
      <w:r>
        <w:t xml:space="preserve"> </w:t>
      </w:r>
      <w:r>
        <w:rPr>
          <w:i/>
          <w:iCs/>
        </w:rPr>
        <w:t xml:space="preserve">codebooks</w:t>
      </w:r>
      <w:r>
        <w:t xml:space="preserve">, fichas, efeitos extraídos, avaliações de risco de viés, entradas e saídas das análises,</w:t>
      </w:r>
      <w:r>
        <w:t xml:space="preserve"> </w:t>
      </w:r>
      <w:r>
        <w:rPr>
          <w:i/>
          <w:iCs/>
        </w:rPr>
        <w:t xml:space="preserve">scripts</w:t>
      </w:r>
      <w:r>
        <w:t xml:space="preserve">, pacotes de revisão humana e o</w:t>
      </w:r>
      <w:r>
        <w:t xml:space="preserve"> </w:t>
      </w:r>
      <w:r>
        <w:rPr>
          <w:i/>
          <w:iCs/>
        </w:rPr>
        <w:t xml:space="preserve">log</w:t>
      </w:r>
      <w:r>
        <w:t xml:space="preserve"> </w:t>
      </w:r>
      <w:r>
        <w:t xml:space="preserve">auditável (</w:t>
      </w:r>
      <w:r>
        <w:rPr>
          <w:rStyle w:val="VerbatimChar"/>
        </w:rPr>
        <w:t xml:space="preserve">rs_log.jsonl</w:t>
      </w:r>
      <w:r>
        <w:t xml:space="preserve">) estão no repositório privado</w:t>
      </w:r>
      <w:r>
        <w:t xml:space="preserve"> </w:t>
      </w:r>
      <w:r>
        <w:rPr>
          <w:rStyle w:val="VerbatimChar"/>
        </w:rPr>
        <w:t xml:space="preserve">felipelmc/pesquisas-eleitorais-rs</w:t>
      </w:r>
      <w:r>
        <w:t xml:space="preserve">, no GitHub. A revisão está publicada em</w:t>
      </w:r>
      <w:r>
        <w:t xml:space="preserve"> </w:t>
      </w:r>
      <w:hyperlink r:id="rId95">
        <w:r>
          <w:rPr>
            <w:rStyle w:val="Hyperlink"/>
          </w:rPr>
          <w:t xml:space="preserve">https://felipelamarca.com/pesquisas-eleitorais-rs/</w:t>
        </w:r>
      </w:hyperlink>
      <w:r>
        <w:t xml:space="preserve">. Os PDFs de terceiros não são redistribuídos.</w:t>
      </w:r>
    </w:p>
    <w:p>
      <w:pPr>
        <w:pStyle w:val="BodyText"/>
      </w:pPr>
      <w:r>
        <w:rPr>
          <w:b/>
          <w:bCs/>
        </w:rPr>
        <w:t xml:space="preserve">Relatório técnico completo.</w:t>
      </w:r>
      <w:r>
        <w:t xml:space="preserve"> </w:t>
      </w:r>
      <w:r>
        <w:t xml:space="preserve">O manuscrito no formato PRISMA 2020, com todas as tabelas de características, risco de viés por domínio, efeitos individuais, sensibilidades e estratégias de busca, está em</w:t>
      </w:r>
      <w:r>
        <w:t xml:space="preserve"> </w:t>
      </w:r>
      <w:hyperlink r:id="rId96">
        <w:r>
          <w:rPr>
            <w:rStyle w:val="VerbatimChar"/>
          </w:rPr>
          <w:t xml:space="preserve">relatorio-tecnico.html</w:t>
        </w:r>
      </w:hyperlink>
      <w:r>
        <w:t xml:space="preserve">, na mesma página.</w:t>
      </w:r>
    </w:p>
    <w:p>
      <w:pPr>
        <w:pStyle w:val="BodyText"/>
      </w:pPr>
      <w:r>
        <w:rPr>
          <w:b/>
          <w:bCs/>
        </w:rPr>
        <w:t xml:space="preserve">Financiamento.</w:t>
      </w:r>
      <w:r>
        <w:t xml:space="preserve"> </w:t>
      </w:r>
      <w:r>
        <w:t xml:space="preserve">Nenhum financiamento específico.</w:t>
      </w:r>
    </w:p>
    <w:p>
      <w:pPr>
        <w:pStyle w:val="BodyText"/>
      </w:pPr>
      <w:r>
        <w:rPr>
          <w:b/>
          <w:bCs/>
        </w:rPr>
        <w:t xml:space="preserve">Conflitos de interesse.</w:t>
      </w:r>
      <w:r>
        <w:t xml:space="preserve"> </w:t>
      </w:r>
      <w:r>
        <w:t xml:space="preserve">Nenhum conflito de interesse declarado, inclusive com o provedor das ferramentas de IA.</w:t>
      </w:r>
    </w:p>
    <w:p>
      <w:pPr>
        <w:pStyle w:val="BodyText"/>
      </w:pPr>
      <w:r>
        <w:rPr>
          <w:b/>
          <w:bCs/>
        </w:rPr>
        <w:t xml:space="preserve">Uso de inteligência artificial.</w:t>
      </w:r>
      <w:r>
        <w:t xml:space="preserve"> </w:t>
      </w:r>
      <w:r>
        <w:t xml:space="preserve">Usamos modelos da Anthropic, pelo Claude Code, entre 19/09/2026 e 24/09/2026, com um coordenador</w:t>
      </w:r>
      <w:r>
        <w:t xml:space="preserve"> </w:t>
      </w:r>
      <w:r>
        <w:rPr>
          <w:rStyle w:val="VerbatimChar"/>
        </w:rPr>
        <w:t xml:space="preserve">claude-opus-5-5</w:t>
      </w:r>
      <w:r>
        <w:t xml:space="preserve"> </w:t>
      </w:r>
      <w:r>
        <w:t xml:space="preserve">e subagentes</w:t>
      </w:r>
      <w:r>
        <w:t xml:space="preserve"> </w:t>
      </w:r>
      <w:r>
        <w:rPr>
          <w:rStyle w:val="VerbatimChar"/>
        </w:rPr>
        <w:t xml:space="preserve">claude-sonnet-5</w:t>
      </w:r>
      <w:r>
        <w:t xml:space="preserve">,</w:t>
      </w:r>
      <w:r>
        <w:t xml:space="preserve"> </w:t>
      </w:r>
      <w:r>
        <w:rPr>
          <w:rStyle w:val="VerbatimChar"/>
        </w:rPr>
        <w:t xml:space="preserve">claude-opus-5</w:t>
      </w:r>
      <w:r>
        <w:t xml:space="preserve"> </w:t>
      </w:r>
      <w:r>
        <w:t xml:space="preserve">e</w:t>
      </w:r>
      <w:r>
        <w:t xml:space="preserve"> </w:t>
      </w:r>
      <w:r>
        <w:rPr>
          <w:rStyle w:val="VerbatimChar"/>
        </w:rPr>
        <w:t xml:space="preserve">claude-opus-5-5</w:t>
      </w:r>
      <w:r>
        <w:t xml:space="preserve">. A IA decidiu a triagem de títulos e resumos e a triagem complementar dos registros sem resumo, e propôs, sem validação humana, a elegibilidade, a extração, as correções dos efeitos, o risco de viés e a certeza. Um subagente redigiu este documento a partir dos arquivos do projeto. A concordância entre os triadores de IA na primeira onda foi 0,97 (κ 0,90), e a da recodificação cega da extração foi 58,5%. Ambas são medidas de consistência, e não de acurácia. A declaração completa, gerada do</w:t>
      </w:r>
      <w:r>
        <w:t xml:space="preserve"> </w:t>
      </w:r>
      <w:r>
        <w:rPr>
          <w:i/>
          <w:iCs/>
        </w:rPr>
        <w:t xml:space="preserve">log</w:t>
      </w:r>
      <w:r>
        <w:t xml:space="preserve">, está no relatório técnico.</w:t>
      </w:r>
    </w:p>
    <w:p>
      <w:pPr>
        <w:pStyle w:val="BodyText"/>
      </w:pPr>
      <w:r>
        <w:rPr>
          <w:b/>
          <w:bCs/>
        </w:rPr>
        <w:t xml:space="preserve">Como citar.</w:t>
      </w:r>
      <w:r>
        <w:t xml:space="preserve"> </w:t>
      </w:r>
      <w:r>
        <w:t xml:space="preserve">Lamarca, Felipe.</w:t>
      </w:r>
      <w:r>
        <w:t xml:space="preserve"> </w:t>
      </w:r>
      <w:r>
        <w:rPr>
          <w:i/>
          <w:iCs/>
        </w:rPr>
        <w:t xml:space="preserve">Pesquisas eleitorais publicadas mudam o voto? Revisão sistemática rápida no formato O que funciona?</w:t>
      </w:r>
      <w:r>
        <w:t xml:space="preserve"> </w:t>
      </w:r>
      <w:r>
        <w:t xml:space="preserve">Rascunho não validado, 24/09/2026. MAPE/IESP-UERJ. Disponível em</w:t>
      </w:r>
      <w:r>
        <w:t xml:space="preserve"> </w:t>
      </w:r>
      <w:hyperlink r:id="rId95">
        <w:r>
          <w:rPr>
            <w:rStyle w:val="Hyperlink"/>
          </w:rPr>
          <w:t xml:space="preserve">https://felipelamarca.com/pesquisas-eleitorais-rs/</w:t>
        </w:r>
      </w:hyperlink>
      <w:r>
        <w:t xml:space="preserve">.</w:t>
      </w:r>
    </w:p>
    <w:bookmarkEnd w:id="97"/>
    <w:bookmarkStart w:id="198" w:name="referências"/>
    <w:p>
      <w:pPr>
        <w:pStyle w:val="Heading1"/>
      </w:pPr>
      <w:r>
        <w:t xml:space="preserve">Referências</w:t>
      </w:r>
    </w:p>
    <w:bookmarkStart w:id="197" w:name="refs"/>
    <w:bookmarkStart w:id="99" w:name="ref-SenadoNoticias2022CPIPesquisas"/>
    <w:p>
      <w:pPr>
        <w:pStyle w:val="Bibliography"/>
      </w:pPr>
      <w:r>
        <w:t xml:space="preserve">Agência Senado. 2022.</w:t>
      </w:r>
      <w:r>
        <w:t xml:space="preserve"> </w:t>
      </w:r>
      <w:r>
        <w:rPr>
          <w:i/>
          <w:iCs/>
        </w:rPr>
        <w:t xml:space="preserve">Marcos do Val apresenta pedido de criação de CPI sobre pesquisas eleitorais</w:t>
      </w:r>
      <w:r>
        <w:t xml:space="preserve">. Senado Notícias, 07/10/2022.</w:t>
      </w:r>
      <w:r>
        <w:t xml:space="preserve"> </w:t>
      </w:r>
      <w:hyperlink r:id="rId98">
        <w:r>
          <w:rPr>
            <w:rStyle w:val="Hyperlink"/>
          </w:rPr>
          <w:t xml:space="preserve">https://www12.senado.leg.br/noticias/materias/2022/10/07/marcos-do-val-apresenta-pedido-de-criacao-de-cpi-sobre-pesquisas-eleitorais</w:t>
        </w:r>
      </w:hyperlink>
      <w:r>
        <w:t xml:space="preserve">.</w:t>
      </w:r>
    </w:p>
    <w:bookmarkEnd w:id="99"/>
    <w:bookmarkStart w:id="101" w:name="ref-Agranov2017a"/>
    <w:p>
      <w:pPr>
        <w:pStyle w:val="Bibliography"/>
      </w:pPr>
      <w:r>
        <w:t xml:space="preserve">Agranov, Marina, Jacob K. Goeree, Julian Romero, e Leeat Yariv. 2017.</w:t>
      </w:r>
      <w:r>
        <w:t xml:space="preserve"> </w:t>
      </w:r>
      <w:r>
        <w:t xml:space="preserve">“What Makes Voters Turn Out: The Effects of Polls and Beliefs”</w:t>
      </w:r>
      <w:r>
        <w:t xml:space="preserve">.</w:t>
      </w:r>
      <w:r>
        <w:t xml:space="preserve"> </w:t>
      </w:r>
      <w:r>
        <w:rPr>
          <w:i/>
          <w:iCs/>
        </w:rPr>
        <w:t xml:space="preserve">Journal of the European Economic Association</w:t>
      </w:r>
      <w:r>
        <w:t xml:space="preserve">, publicação prévia em linha.</w:t>
      </w:r>
      <w:r>
        <w:t xml:space="preserve"> </w:t>
      </w:r>
      <w:hyperlink r:id="rId100">
        <w:r>
          <w:rPr>
            <w:rStyle w:val="Hyperlink"/>
          </w:rPr>
          <w:t xml:space="preserve">https://doi.org/10.1093/jeea/jvx023</w:t>
        </w:r>
      </w:hyperlink>
      <w:r>
        <w:t xml:space="preserve">.</w:t>
      </w:r>
    </w:p>
    <w:bookmarkEnd w:id="101"/>
    <w:bookmarkStart w:id="103" w:name="ref-Alabrese2024a"/>
    <w:p>
      <w:pPr>
        <w:pStyle w:val="Bibliography"/>
      </w:pPr>
      <w:r>
        <w:t xml:space="preserve">Alabrese, Eleonora, e Thiemo Fetzer. 2024.</w:t>
      </w:r>
      <w:r>
        <w:t xml:space="preserve"> </w:t>
      </w:r>
      <w:r>
        <w:rPr>
          <w:i/>
          <w:iCs/>
        </w:rPr>
        <w:t xml:space="preserve">Opinion Polls, Turnout and the Demand for Safe Seats</w:t>
      </w:r>
      <w:r>
        <w:t xml:space="preserve">. SSRN Electronic Journal.</w:t>
      </w:r>
      <w:r>
        <w:t xml:space="preserve"> </w:t>
      </w:r>
      <w:hyperlink r:id="rId102">
        <w:r>
          <w:rPr>
            <w:rStyle w:val="Hyperlink"/>
          </w:rPr>
          <w:t xml:space="preserve">https://doi.org/10.2139/ssrn.4803850</w:t>
        </w:r>
      </w:hyperlink>
      <w:r>
        <w:t xml:space="preserve">.</w:t>
      </w:r>
    </w:p>
    <w:bookmarkEnd w:id="103"/>
    <w:bookmarkStart w:id="105" w:name="ref-Araujo2021a"/>
    <w:p>
      <w:pPr>
        <w:pStyle w:val="Bibliography"/>
      </w:pPr>
      <w:r>
        <w:t xml:space="preserve">Araujo, Víctor, e Malu A. C. Gatto. 2021.</w:t>
      </w:r>
      <w:r>
        <w:t xml:space="preserve"> </w:t>
      </w:r>
      <w:r>
        <w:t xml:space="preserve">“Casting Ballots When Knowing Results”</w:t>
      </w:r>
      <w:r>
        <w:t xml:space="preserve">.</w:t>
      </w:r>
      <w:r>
        <w:t xml:space="preserve"> </w:t>
      </w:r>
      <w:r>
        <w:rPr>
          <w:i/>
          <w:iCs/>
        </w:rPr>
        <w:t xml:space="preserve">British Journal of Political Science</w:t>
      </w:r>
      <w:r>
        <w:t xml:space="preserve">, publicação prévia em linha.</w:t>
      </w:r>
      <w:r>
        <w:t xml:space="preserve"> </w:t>
      </w:r>
      <w:hyperlink r:id="rId104">
        <w:r>
          <w:rPr>
            <w:rStyle w:val="Hyperlink"/>
          </w:rPr>
          <w:t xml:space="preserve">https://doi.org/10.1017/s000712342100034x</w:t>
        </w:r>
      </w:hyperlink>
      <w:r>
        <w:t xml:space="preserve">.</w:t>
      </w:r>
    </w:p>
    <w:bookmarkEnd w:id="105"/>
    <w:bookmarkStart w:id="107" w:name="ref-Barnfield2019"/>
    <w:p>
      <w:pPr>
        <w:pStyle w:val="Bibliography"/>
      </w:pPr>
      <w:r>
        <w:t xml:space="preserve">Barnfield, Matthew. 2020.</w:t>
      </w:r>
      <w:r>
        <w:t xml:space="preserve"> </w:t>
      </w:r>
      <w:r>
        <w:t xml:space="preserve">“Think Twice before Jumping on the Bandwagon: Clarifying Concepts in Research on the Bandwagon Effect”</w:t>
      </w:r>
      <w:r>
        <w:t xml:space="preserve">.</w:t>
      </w:r>
      <w:r>
        <w:t xml:space="preserve"> </w:t>
      </w:r>
      <w:r>
        <w:rPr>
          <w:i/>
          <w:iCs/>
        </w:rPr>
        <w:t xml:space="preserve">Political Studies Review</w:t>
      </w:r>
      <w:r>
        <w:t xml:space="preserve"> </w:t>
      </w:r>
      <w:r>
        <w:t xml:space="preserve">18 (4): 553–74.</w:t>
      </w:r>
      <w:r>
        <w:t xml:space="preserve"> </w:t>
      </w:r>
      <w:hyperlink r:id="rId106">
        <w:r>
          <w:rPr>
            <w:rStyle w:val="Hyperlink"/>
          </w:rPr>
          <w:t xml:space="preserve">https://doi.org/10.1177/1478929919870691</w:t>
        </w:r>
      </w:hyperlink>
      <w:r>
        <w:t xml:space="preserve">.</w:t>
      </w:r>
    </w:p>
    <w:bookmarkEnd w:id="107"/>
    <w:bookmarkStart w:id="109" w:name="ref-Boukouras2020a"/>
    <w:p>
      <w:pPr>
        <w:pStyle w:val="Bibliography"/>
      </w:pPr>
      <w:r>
        <w:t xml:space="preserve">Boukouras, Aristotelis, Will Jennings, Lunzheng Li, e Zacharias Maniadis. 2020.</w:t>
      </w:r>
      <w:r>
        <w:t xml:space="preserve"> </w:t>
      </w:r>
      <w:r>
        <w:rPr>
          <w:i/>
          <w:iCs/>
        </w:rPr>
        <w:t xml:space="preserve">Can Biased Polls Distort Electoral Results? Evidence From The Lab</w:t>
      </w:r>
      <w:r>
        <w:t xml:space="preserve">. SSRN Electronic Journal.</w:t>
      </w:r>
      <w:r>
        <w:t xml:space="preserve"> </w:t>
      </w:r>
      <w:hyperlink r:id="rId108">
        <w:r>
          <w:rPr>
            <w:rStyle w:val="Hyperlink"/>
          </w:rPr>
          <w:t xml:space="preserve">https://doi.org/10.2139/ssrn.3644952</w:t>
        </w:r>
      </w:hyperlink>
      <w:r>
        <w:t xml:space="preserve">.</w:t>
      </w:r>
    </w:p>
    <w:bookmarkEnd w:id="109"/>
    <w:bookmarkStart w:id="111" w:name="ref-Brasil1997Lei9504"/>
    <w:p>
      <w:pPr>
        <w:pStyle w:val="Bibliography"/>
      </w:pPr>
      <w:r>
        <w:t xml:space="preserve">Brasil. Presidência da República. 1997.</w:t>
      </w:r>
      <w:r>
        <w:t xml:space="preserve"> </w:t>
      </w:r>
      <w:r>
        <w:rPr>
          <w:i/>
          <w:iCs/>
        </w:rPr>
        <w:t xml:space="preserve">Lei nº 9.504, de 30 de setembro de 1997: estabelece normas para as eleições</w:t>
      </w:r>
      <w:r>
        <w:t xml:space="preserve">. Diário Oficial da União.</w:t>
      </w:r>
      <w:r>
        <w:t xml:space="preserve"> </w:t>
      </w:r>
      <w:hyperlink r:id="rId110">
        <w:r>
          <w:rPr>
            <w:rStyle w:val="Hyperlink"/>
          </w:rPr>
          <w:t xml:space="preserve">https://www.planalto.gov.br/ccivil_03/leis/l9504.htm</w:t>
        </w:r>
      </w:hyperlink>
      <w:r>
        <w:t xml:space="preserve">.</w:t>
      </w:r>
    </w:p>
    <w:bookmarkEnd w:id="111"/>
    <w:bookmarkStart w:id="113" w:name="ref-Brugarolas2021"/>
    <w:p>
      <w:pPr>
        <w:pStyle w:val="Bibliography"/>
      </w:pPr>
      <w:r>
        <w:t xml:space="preserve">Brugarolas, Pablo, e Luis Miller. 2021.</w:t>
      </w:r>
      <w:r>
        <w:t xml:space="preserve"> </w:t>
      </w:r>
      <w:r>
        <w:t xml:space="preserve">“The Causal Effect of Polls on Turnout Intention: A Local Randomization Regression Discontinuity Approach”</w:t>
      </w:r>
      <w:r>
        <w:t xml:space="preserve">.</w:t>
      </w:r>
      <w:r>
        <w:t xml:space="preserve"> </w:t>
      </w:r>
      <w:r>
        <w:rPr>
          <w:i/>
          <w:iCs/>
        </w:rPr>
        <w:t xml:space="preserve">Political Analysis</w:t>
      </w:r>
      <w:r>
        <w:t xml:space="preserve">, publicação prévia em linha.</w:t>
      </w:r>
      <w:r>
        <w:t xml:space="preserve"> </w:t>
      </w:r>
      <w:hyperlink r:id="rId112">
        <w:r>
          <w:rPr>
            <w:rStyle w:val="Hyperlink"/>
          </w:rPr>
          <w:t xml:space="preserve">https://doi.org/10.1017/pan.2020.50</w:t>
        </w:r>
      </w:hyperlink>
      <w:r>
        <w:t xml:space="preserve">.</w:t>
      </w:r>
    </w:p>
    <w:bookmarkEnd w:id="113"/>
    <w:bookmarkStart w:id="115" w:name="ref-Bursztyn2023a"/>
    <w:p>
      <w:pPr>
        <w:pStyle w:val="Bibliography"/>
      </w:pPr>
      <w:r>
        <w:t xml:space="preserve">Bursztyn, Leonardo, Davide Cantoni, Patricia Funk, Felix Schönenberger, e Noam Yuchtman. 2023.</w:t>
      </w:r>
      <w:r>
        <w:t xml:space="preserve"> </w:t>
      </w:r>
      <w:r>
        <w:t xml:space="preserve">“Identifying the Effect of Election Closeness on Voter Turnout: Evidence from Swiss Referenda”</w:t>
      </w:r>
      <w:r>
        <w:t xml:space="preserve">.</w:t>
      </w:r>
      <w:r>
        <w:t xml:space="preserve"> </w:t>
      </w:r>
      <w:r>
        <w:rPr>
          <w:i/>
          <w:iCs/>
        </w:rPr>
        <w:t xml:space="preserve">Journal of the European Economic Association</w:t>
      </w:r>
      <w:r>
        <w:t xml:space="preserve">, publicação prévia em linha.</w:t>
      </w:r>
      <w:r>
        <w:t xml:space="preserve"> </w:t>
      </w:r>
      <w:hyperlink r:id="rId114">
        <w:r>
          <w:rPr>
            <w:rStyle w:val="Hyperlink"/>
          </w:rPr>
          <w:t xml:space="preserve">https://doi.org/10.1093/jeea/jvad038</w:t>
        </w:r>
      </w:hyperlink>
      <w:r>
        <w:t xml:space="preserve">.</w:t>
      </w:r>
    </w:p>
    <w:bookmarkEnd w:id="115"/>
    <w:bookmarkStart w:id="117" w:name="ref-BrasilCamara2022PL2567"/>
    <w:p>
      <w:pPr>
        <w:pStyle w:val="Bibliography"/>
      </w:pPr>
      <w:r>
        <w:t xml:space="preserve">Câmara dos Deputados. 2022.</w:t>
      </w:r>
      <w:r>
        <w:t xml:space="preserve"> </w:t>
      </w:r>
      <w:r>
        <w:rPr>
          <w:i/>
          <w:iCs/>
        </w:rPr>
        <w:t xml:space="preserve">Projeto de Lei nº 2.567, de 2022: altera a Lei nº 9.504, de 30 de setembro de 1997, para tipificar a conduta de publicar pesquisa eleitoral com dados que divergem, além da margem de erro, dos resultados apurados nas urnas e dá outras providências</w:t>
      </w:r>
      <w:r>
        <w:t xml:space="preserve">. Projeto de Lei, autoria do Deputado Ricardo Barros (PP-PR), apresentado em 06/10/2022.</w:t>
      </w:r>
      <w:r>
        <w:t xml:space="preserve"> </w:t>
      </w:r>
      <w:hyperlink r:id="rId116">
        <w:r>
          <w:rPr>
            <w:rStyle w:val="Hyperlink"/>
          </w:rPr>
          <w:t xml:space="preserve">https://www.camara.leg.br/proposicoesWeb/fichadetramitacao?idProposicao=2335321</w:t>
        </w:r>
      </w:hyperlink>
      <w:r>
        <w:t xml:space="preserve">.</w:t>
      </w:r>
    </w:p>
    <w:bookmarkEnd w:id="117"/>
    <w:bookmarkStart w:id="119" w:name="ref-Chatterjee2019a"/>
    <w:p>
      <w:pPr>
        <w:pStyle w:val="Bibliography"/>
      </w:pPr>
      <w:r>
        <w:t xml:space="preserve">Chatterjee, Somdeep, e Jai Kamal. 2019.</w:t>
      </w:r>
      <w:r>
        <w:t xml:space="preserve"> </w:t>
      </w:r>
      <w:r>
        <w:rPr>
          <w:i/>
          <w:iCs/>
        </w:rPr>
        <w:t xml:space="preserve">Voting for the Underdog or Jumping on the Bandwagon? Evidence from India’s Exit Poll Ban</w:t>
      </w:r>
      <w:r>
        <w:t xml:space="preserve">. SSRN Electronic Journal.</w:t>
      </w:r>
      <w:r>
        <w:t xml:space="preserve"> </w:t>
      </w:r>
      <w:hyperlink r:id="rId118">
        <w:r>
          <w:rPr>
            <w:rStyle w:val="Hyperlink"/>
          </w:rPr>
          <w:t xml:space="preserve">https://doi.org/10.2139/ssrn.3332196</w:t>
        </w:r>
      </w:hyperlink>
      <w:r>
        <w:t xml:space="preserve">.</w:t>
      </w:r>
    </w:p>
    <w:bookmarkEnd w:id="119"/>
    <w:bookmarkStart w:id="121" w:name="ref-Cornejo2023a"/>
    <w:p>
      <w:pPr>
        <w:pStyle w:val="Bibliography"/>
      </w:pPr>
      <w:r>
        <w:t xml:space="preserve">Cornejo, Rodrigo Castro. 2023.</w:t>
      </w:r>
      <w:r>
        <w:t xml:space="preserve"> </w:t>
      </w:r>
      <w:r>
        <w:t xml:space="preserve">“Do (Perceptions of) Electoral Polling Affect Voters’ Behavior? Campaigns, Partisan Bias, and Strategic Voting”</w:t>
      </w:r>
      <w:r>
        <w:t xml:space="preserve">.</w:t>
      </w:r>
      <w:r>
        <w:t xml:space="preserve"> </w:t>
      </w:r>
      <w:r>
        <w:rPr>
          <w:i/>
          <w:iCs/>
        </w:rPr>
        <w:t xml:space="preserve">Revista Latinoamericana de Opinión Pública</w:t>
      </w:r>
      <w:r>
        <w:t xml:space="preserve">, publicação prévia em linha.</w:t>
      </w:r>
      <w:r>
        <w:t xml:space="preserve"> </w:t>
      </w:r>
      <w:hyperlink r:id="rId120">
        <w:r>
          <w:rPr>
            <w:rStyle w:val="Hyperlink"/>
          </w:rPr>
          <w:t xml:space="preserve">https://doi.org/10.14201/rlop.29606</w:t>
        </w:r>
      </w:hyperlink>
      <w:r>
        <w:t xml:space="preserve">.</w:t>
      </w:r>
    </w:p>
    <w:bookmarkEnd w:id="121"/>
    <w:bookmarkStart w:id="123" w:name="ref-Dahlgaard2016a"/>
    <w:p>
      <w:pPr>
        <w:pStyle w:val="Bibliography"/>
      </w:pPr>
      <w:r>
        <w:t xml:space="preserve">Dahlgaard, Jens Olav, Jonas Hedegaard Hansen, Kasper Møller Hansen, e Martin Vinæs Larsen. 2016.</w:t>
      </w:r>
      <w:r>
        <w:t xml:space="preserve"> </w:t>
      </w:r>
      <w:r>
        <w:t xml:space="preserve">“How are Voters Influenced by Opinion Polls? The Effect of Polls on Voting Behavior and Party Sympathy”</w:t>
      </w:r>
      <w:r>
        <w:t xml:space="preserve">.</w:t>
      </w:r>
      <w:r>
        <w:t xml:space="preserve"> </w:t>
      </w:r>
      <w:r>
        <w:rPr>
          <w:i/>
          <w:iCs/>
        </w:rPr>
        <w:t xml:space="preserve">World Political Science</w:t>
      </w:r>
      <w:r>
        <w:t xml:space="preserve">, publicação prévia em linha.</w:t>
      </w:r>
      <w:r>
        <w:t xml:space="preserve"> </w:t>
      </w:r>
      <w:hyperlink r:id="rId122">
        <w:r>
          <w:rPr>
            <w:rStyle w:val="Hyperlink"/>
          </w:rPr>
          <w:t xml:space="preserve">https://doi.org/10.1515/wps-2016-0012</w:t>
        </w:r>
      </w:hyperlink>
      <w:r>
        <w:t xml:space="preserve">.</w:t>
      </w:r>
    </w:p>
    <w:bookmarkEnd w:id="123"/>
    <w:bookmarkStart w:id="125" w:name="ref-Erlich2023"/>
    <w:p>
      <w:pPr>
        <w:pStyle w:val="Bibliography"/>
      </w:pPr>
      <w:r>
        <w:t xml:space="preserve">Erlich, Aaron. 2023.</w:t>
      </w:r>
      <w:r>
        <w:t xml:space="preserve"> </w:t>
      </w:r>
      <w:r>
        <w:rPr>
          <w:i/>
          <w:iCs/>
        </w:rPr>
        <w:t xml:space="preserve">Measuring How Information Changes Electoral Uncertainty in a Developing Democracy: Experimental Evidence from the Country of Georgia</w:t>
      </w:r>
      <w:r>
        <w:t xml:space="preserve">.</w:t>
      </w:r>
      <w:r>
        <w:t xml:space="preserve"> </w:t>
      </w:r>
      <w:hyperlink r:id="rId124">
        <w:r>
          <w:rPr>
            <w:rStyle w:val="Hyperlink"/>
          </w:rPr>
          <w:t xml:space="preserve">https://doi.org/10.31219/osf.io/mwg7u</w:t>
        </w:r>
      </w:hyperlink>
      <w:r>
        <w:t xml:space="preserve">.</w:t>
      </w:r>
    </w:p>
    <w:bookmarkEnd w:id="125"/>
    <w:bookmarkStart w:id="127" w:name="ref-Farjam2020a"/>
    <w:p>
      <w:pPr>
        <w:pStyle w:val="Bibliography"/>
      </w:pPr>
      <w:r>
        <w:t xml:space="preserve">Farjam, Mike. 2020.</w:t>
      </w:r>
      <w:r>
        <w:t xml:space="preserve"> </w:t>
      </w:r>
      <w:r>
        <w:t xml:space="preserve">“The Bandwagon Effect in an Online Voting Experiment With Real Political Organizations”</w:t>
      </w:r>
      <w:r>
        <w:t xml:space="preserve">.</w:t>
      </w:r>
      <w:r>
        <w:t xml:space="preserve"> </w:t>
      </w:r>
      <w:r>
        <w:rPr>
          <w:i/>
          <w:iCs/>
        </w:rPr>
        <w:t xml:space="preserve">International Journal of Public Opinion Research</w:t>
      </w:r>
      <w:r>
        <w:t xml:space="preserve">, publicação prévia em linha.</w:t>
      </w:r>
      <w:r>
        <w:t xml:space="preserve"> </w:t>
      </w:r>
      <w:hyperlink r:id="rId126">
        <w:r>
          <w:rPr>
            <w:rStyle w:val="Hyperlink"/>
          </w:rPr>
          <w:t xml:space="preserve">https://doi.org/10.1093/ijpor/edaa008</w:t>
        </w:r>
      </w:hyperlink>
      <w:r>
        <w:t xml:space="preserve">.</w:t>
      </w:r>
    </w:p>
    <w:bookmarkEnd w:id="127"/>
    <w:bookmarkStart w:id="129" w:name="ref-Feltovich2022"/>
    <w:p>
      <w:pPr>
        <w:pStyle w:val="Bibliography"/>
      </w:pPr>
      <w:r>
        <w:t xml:space="preserve">Feltovich, Nick, e Francesco Giovannoni. 2022.</w:t>
      </w:r>
      <w:r>
        <w:t xml:space="preserve"> </w:t>
      </w:r>
      <w:r>
        <w:t xml:space="preserve">“Campaign Messages, Polling, and Elections: Theory and Experimental Evidence”</w:t>
      </w:r>
      <w:r>
        <w:t xml:space="preserve">.</w:t>
      </w:r>
      <w:r>
        <w:t xml:space="preserve"> </w:t>
      </w:r>
      <w:r>
        <w:rPr>
          <w:i/>
          <w:iCs/>
        </w:rPr>
        <w:t xml:space="preserve">American Journal of Political Science</w:t>
      </w:r>
      <w:r>
        <w:t xml:space="preserve">, publicação prévia em linha.</w:t>
      </w:r>
      <w:r>
        <w:t xml:space="preserve"> </w:t>
      </w:r>
      <w:hyperlink r:id="rId128">
        <w:r>
          <w:rPr>
            <w:rStyle w:val="Hyperlink"/>
          </w:rPr>
          <w:t xml:space="preserve">https://doi.org/10.1111/ajps.12722</w:t>
        </w:r>
      </w:hyperlink>
      <w:r>
        <w:t xml:space="preserve">.</w:t>
      </w:r>
    </w:p>
    <w:bookmarkEnd w:id="129"/>
    <w:bookmarkStart w:id="130" w:name="ref-Fichnova2015a"/>
    <w:p>
      <w:pPr>
        <w:pStyle w:val="Bibliography"/>
      </w:pPr>
      <w:r>
        <w:t xml:space="preserve">Fichnová, Katarína, e P. Wojciechowski. 2015.</w:t>
      </w:r>
      <w:r>
        <w:t xml:space="preserve"> </w:t>
      </w:r>
      <w:r>
        <w:rPr>
          <w:i/>
          <w:iCs/>
        </w:rPr>
        <w:t xml:space="preserve">ELECTION OPINION POLLS AND THEIR IMPACTS ON VOTING PREFERENCES OF SLOVAK AND POLISH VOTERS</w:t>
      </w:r>
      <w:r>
        <w:t xml:space="preserve">.</w:t>
      </w:r>
    </w:p>
    <w:bookmarkEnd w:id="130"/>
    <w:bookmarkStart w:id="132" w:name="ref-ESOMARWAPOR2022"/>
    <w:p>
      <w:pPr>
        <w:pStyle w:val="Bibliography"/>
      </w:pPr>
      <w:r>
        <w:t xml:space="preserve">Frankovic, Kathy, David A. Jodice, Kseniya Kizilova, e Wai Yu See Toh. 2023.</w:t>
      </w:r>
      <w:r>
        <w:t xml:space="preserve"> </w:t>
      </w:r>
      <w:r>
        <w:rPr>
          <w:i/>
          <w:iCs/>
        </w:rPr>
        <w:t xml:space="preserve">The Freedom to Conduct and Publish Opinion Polls: A 2022 Worldwide Update</w:t>
      </w:r>
      <w:r>
        <w:t xml:space="preserve">. ESOMAR and WAPOR (World Association for Public Opinion Research); hospedado pelo Roper Center for Public Opinion Research, Cornell University.</w:t>
      </w:r>
      <w:r>
        <w:t xml:space="preserve"> </w:t>
      </w:r>
      <w:hyperlink r:id="rId131">
        <w:r>
          <w:rPr>
            <w:rStyle w:val="Hyperlink"/>
          </w:rPr>
          <w:t xml:space="preserve">https://ropercenter.cornell.edu/sites/default/files/freedom-to-conduct-and-publish-opinion-polls-july-2023.pdf</w:t>
        </w:r>
      </w:hyperlink>
      <w:r>
        <w:t xml:space="preserve">.</w:t>
      </w:r>
    </w:p>
    <w:bookmarkEnd w:id="132"/>
    <w:bookmarkStart w:id="134" w:name="ref-Freden2016b"/>
    <w:p>
      <w:pPr>
        <w:pStyle w:val="Bibliography"/>
      </w:pPr>
      <w:r>
        <w:t xml:space="preserve">Fredén, Annika. 2016.</w:t>
      </w:r>
      <w:r>
        <w:t xml:space="preserve"> </w:t>
      </w:r>
      <w:r>
        <w:t xml:space="preserve">“Strategic Voting under Coalition Governments”</w:t>
      </w:r>
      <w:r>
        <w:t xml:space="preserve">. Tese de doutorado, Lund University Publications (Lund University).</w:t>
      </w:r>
      <w:r>
        <w:t xml:space="preserve"> </w:t>
      </w:r>
      <w:hyperlink r:id="rId133">
        <w:r>
          <w:rPr>
            <w:rStyle w:val="Hyperlink"/>
          </w:rPr>
          <w:t xml:space="preserve">https://doi.org/10.13140/rg.2.1.3580.3125</w:t>
        </w:r>
      </w:hyperlink>
      <w:r>
        <w:t xml:space="preserve">.</w:t>
      </w:r>
    </w:p>
    <w:bookmarkEnd w:id="134"/>
    <w:bookmarkStart w:id="136" w:name="ref-Freden2024a"/>
    <w:p>
      <w:pPr>
        <w:pStyle w:val="Bibliography"/>
      </w:pPr>
      <w:r>
        <w:t xml:space="preserve">Fredén, Annika, Bastiaan Bruinsma, Nora Theorin, e Henrik Oscarsson. 2024.</w:t>
      </w:r>
      <w:r>
        <w:t xml:space="preserve"> </w:t>
      </w:r>
      <w:r>
        <w:t xml:space="preserve">“Insurance Voting in the Centre: An Experimental Approach”</w:t>
      </w:r>
      <w:r>
        <w:t xml:space="preserve">.</w:t>
      </w:r>
      <w:r>
        <w:t xml:space="preserve"> </w:t>
      </w:r>
      <w:r>
        <w:rPr>
          <w:i/>
          <w:iCs/>
        </w:rPr>
        <w:t xml:space="preserve">International Journal of Public Opinion Research</w:t>
      </w:r>
      <w:r>
        <w:t xml:space="preserve">, publicação prévia em linha.</w:t>
      </w:r>
      <w:r>
        <w:t xml:space="preserve"> </w:t>
      </w:r>
      <w:hyperlink r:id="rId135">
        <w:r>
          <w:rPr>
            <w:rStyle w:val="Hyperlink"/>
          </w:rPr>
          <w:t xml:space="preserve">https://doi.org/10.1093/ijpor/edae041</w:t>
        </w:r>
      </w:hyperlink>
      <w:r>
        <w:t xml:space="preserve">.</w:t>
      </w:r>
    </w:p>
    <w:bookmarkEnd w:id="136"/>
    <w:bookmarkStart w:id="138" w:name="ref-Gandhi2019"/>
    <w:p>
      <w:pPr>
        <w:pStyle w:val="Bibliography"/>
      </w:pPr>
      <w:r>
        <w:t xml:space="preserve">Gandhi, Jennifer, e Elvin Ong. 2019.</w:t>
      </w:r>
      <w:r>
        <w:t xml:space="preserve"> </w:t>
      </w:r>
      <w:r>
        <w:t xml:space="preserve">“Committed or Conditional Democrats? Opposition Dynamics in Electoral Autocracies”</w:t>
      </w:r>
      <w:r>
        <w:t xml:space="preserve">.</w:t>
      </w:r>
      <w:r>
        <w:t xml:space="preserve"> </w:t>
      </w:r>
      <w:r>
        <w:rPr>
          <w:i/>
          <w:iCs/>
        </w:rPr>
        <w:t xml:space="preserve">American Journal of Political Science</w:t>
      </w:r>
      <w:r>
        <w:t xml:space="preserve">, publicação prévia em linha.</w:t>
      </w:r>
      <w:r>
        <w:t xml:space="preserve"> </w:t>
      </w:r>
      <w:hyperlink r:id="rId137">
        <w:r>
          <w:rPr>
            <w:rStyle w:val="Hyperlink"/>
          </w:rPr>
          <w:t xml:space="preserve">https://doi.org/10.1111/ajps.12441</w:t>
        </w:r>
      </w:hyperlink>
      <w:r>
        <w:t xml:space="preserve">.</w:t>
      </w:r>
    </w:p>
    <w:bookmarkEnd w:id="138"/>
    <w:bookmarkStart w:id="140" w:name="ref-Gasperoni2015a"/>
    <w:p>
      <w:pPr>
        <w:pStyle w:val="Bibliography"/>
      </w:pPr>
      <w:r>
        <w:t xml:space="preserve">Gasperoni, Giancarlo, e Debora Mantovani. 2015.</w:t>
      </w:r>
      <w:r>
        <w:t xml:space="preserve"> </w:t>
      </w:r>
      <w:r>
        <w:t xml:space="preserve">“The impact of exposure to pre-election polls on voting behaviour”</w:t>
      </w:r>
      <w:r>
        <w:t xml:space="preserve">.</w:t>
      </w:r>
      <w:r>
        <w:t xml:space="preserve"> </w:t>
      </w:r>
      <w:r>
        <w:rPr>
          <w:i/>
          <w:iCs/>
        </w:rPr>
        <w:t xml:space="preserve">Italian Political Science Review/Rivista Italiana di Scienza Politica</w:t>
      </w:r>
      <w:r>
        <w:t xml:space="preserve">, publicação prévia em linha.</w:t>
      </w:r>
      <w:r>
        <w:t xml:space="preserve"> </w:t>
      </w:r>
      <w:hyperlink r:id="rId139">
        <w:r>
          <w:rPr>
            <w:rStyle w:val="Hyperlink"/>
          </w:rPr>
          <w:t xml:space="preserve">https://doi.org/10.1017/ipo.2015.3</w:t>
        </w:r>
      </w:hyperlink>
      <w:r>
        <w:t xml:space="preserve">.</w:t>
      </w:r>
    </w:p>
    <w:bookmarkEnd w:id="140"/>
    <w:bookmarkStart w:id="142" w:name="ref-Geers2018"/>
    <w:p>
      <w:pPr>
        <w:pStyle w:val="Bibliography"/>
      </w:pPr>
      <w:r>
        <w:t xml:space="preserve">Geers, Sabine, L. Bos, e Claes H. de Vreese. 2018.</w:t>
      </w:r>
      <w:r>
        <w:t xml:space="preserve"> </w:t>
      </w:r>
      <w:r>
        <w:t xml:space="preserve">“Effects of issue and poll news on electoral volatility: conversion or crystallization?”</w:t>
      </w:r>
      <w:r>
        <w:t xml:space="preserve"> </w:t>
      </w:r>
      <w:r>
        <w:rPr>
          <w:i/>
          <w:iCs/>
        </w:rPr>
        <w:t xml:space="preserve">Acta Politica</w:t>
      </w:r>
      <w:r>
        <w:t xml:space="preserve">, publicação prévia em linha.</w:t>
      </w:r>
      <w:r>
        <w:t xml:space="preserve"> </w:t>
      </w:r>
      <w:hyperlink r:id="rId141">
        <w:r>
          <w:rPr>
            <w:rStyle w:val="Hyperlink"/>
          </w:rPr>
          <w:t xml:space="preserve">https://doi.org/10.1057/s41269-018-0089-x</w:t>
        </w:r>
      </w:hyperlink>
      <w:r>
        <w:t xml:space="preserve">.</w:t>
      </w:r>
    </w:p>
    <w:bookmarkEnd w:id="142"/>
    <w:bookmarkStart w:id="144" w:name="ref-Gerber2020a"/>
    <w:p>
      <w:pPr>
        <w:pStyle w:val="Bibliography"/>
      </w:pPr>
      <w:r>
        <w:t xml:space="preserve">Gerber, Alan S., Mitchell Hoffman, John Morgan, e Collin Raymond. 2020.</w:t>
      </w:r>
      <w:r>
        <w:t xml:space="preserve"> </w:t>
      </w:r>
      <w:r>
        <w:t xml:space="preserve">“One in a Million: Field Experiments on Perceived Closeness of the Election and Voter Turnout”</w:t>
      </w:r>
      <w:r>
        <w:t xml:space="preserve">.</w:t>
      </w:r>
      <w:r>
        <w:t xml:space="preserve"> </w:t>
      </w:r>
      <w:r>
        <w:rPr>
          <w:i/>
          <w:iCs/>
        </w:rPr>
        <w:t xml:space="preserve">American Economic Journal Applied Economics</w:t>
      </w:r>
      <w:r>
        <w:t xml:space="preserve">, publicação prévia em linha.</w:t>
      </w:r>
      <w:r>
        <w:t xml:space="preserve"> </w:t>
      </w:r>
      <w:hyperlink r:id="rId143">
        <w:r>
          <w:rPr>
            <w:rStyle w:val="Hyperlink"/>
          </w:rPr>
          <w:t xml:space="preserve">https://doi.org/10.1257/app.20180574</w:t>
        </w:r>
      </w:hyperlink>
      <w:r>
        <w:t xml:space="preserve">.</w:t>
      </w:r>
    </w:p>
    <w:bookmarkEnd w:id="144"/>
    <w:bookmarkStart w:id="146" w:name="ref-Grillo2024c"/>
    <w:p>
      <w:pPr>
        <w:pStyle w:val="Bibliography"/>
      </w:pPr>
      <w:r>
        <w:t xml:space="preserve">Grillo, Alberto, e Eva Raiber. 2024.</w:t>
      </w:r>
      <w:r>
        <w:t xml:space="preserve"> </w:t>
      </w:r>
      <w:r>
        <w:t xml:space="preserve">“Exit Polls and Voter Turnout in the 2017 French Elections”</w:t>
      </w:r>
      <w:r>
        <w:t xml:space="preserve">.</w:t>
      </w:r>
      <w:r>
        <w:t xml:space="preserve"> </w:t>
      </w:r>
      <w:r>
        <w:rPr>
          <w:i/>
          <w:iCs/>
        </w:rPr>
        <w:t xml:space="preserve">Revue économique</w:t>
      </w:r>
      <w:r>
        <w:t xml:space="preserve">, publicação prévia em linha.</w:t>
      </w:r>
      <w:r>
        <w:t xml:space="preserve"> </w:t>
      </w:r>
      <w:hyperlink r:id="rId145">
        <w:r>
          <w:rPr>
            <w:rStyle w:val="Hyperlink"/>
          </w:rPr>
          <w:t xml:space="preserve">https://doi.org/10.3917/reco.pr2.0188</w:t>
        </w:r>
      </w:hyperlink>
      <w:r>
        <w:t xml:space="preserve">.</w:t>
      </w:r>
    </w:p>
    <w:bookmarkEnd w:id="146"/>
    <w:bookmarkStart w:id="148" w:name="ref-Groer2010a"/>
    <w:p>
      <w:pPr>
        <w:pStyle w:val="Bibliography"/>
      </w:pPr>
      <w:r>
        <w:t xml:space="preserve">Großer, Jens, e Arthur Schram. 2010.</w:t>
      </w:r>
      <w:r>
        <w:t xml:space="preserve"> </w:t>
      </w:r>
      <w:r>
        <w:t xml:space="preserve">“Public Opinion Polls, Voter Turnout, and Welfare: An Experimental Study”</w:t>
      </w:r>
      <w:r>
        <w:t xml:space="preserve">.</w:t>
      </w:r>
      <w:r>
        <w:t xml:space="preserve"> </w:t>
      </w:r>
      <w:r>
        <w:rPr>
          <w:i/>
          <w:iCs/>
        </w:rPr>
        <w:t xml:space="preserve">American Journal of Political Science</w:t>
      </w:r>
      <w:r>
        <w:t xml:space="preserve">, publicação prévia em linha.</w:t>
      </w:r>
      <w:r>
        <w:t xml:space="preserve"> </w:t>
      </w:r>
      <w:hyperlink r:id="rId147">
        <w:r>
          <w:rPr>
            <w:rStyle w:val="Hyperlink"/>
          </w:rPr>
          <w:t xml:space="preserve">https://doi.org/10.1111/j.1540-5907.2010.00455.x</w:t>
        </w:r>
      </w:hyperlink>
      <w:r>
        <w:t xml:space="preserve">.</w:t>
      </w:r>
    </w:p>
    <w:bookmarkEnd w:id="148"/>
    <w:bookmarkStart w:id="150" w:name="ref-Hardmeier2008"/>
    <w:p>
      <w:pPr>
        <w:pStyle w:val="Bibliography"/>
      </w:pPr>
      <w:r>
        <w:t xml:space="preserve">Hardmeier. 2008.</w:t>
      </w:r>
      <w:r>
        <w:t xml:space="preserve"> </w:t>
      </w:r>
      <w:r>
        <w:t xml:space="preserve">“The effects of published polls on citizens”</w:t>
      </w:r>
      <w:r>
        <w:t xml:space="preserve">. Em</w:t>
      </w:r>
      <w:r>
        <w:t xml:space="preserve"> </w:t>
      </w:r>
      <w:r>
        <w:rPr>
          <w:i/>
          <w:iCs/>
        </w:rPr>
        <w:t xml:space="preserve">The SAGE Handbook of Public Opinion Research</w:t>
      </w:r>
      <w:r>
        <w:t xml:space="preserve">. SAGE.</w:t>
      </w:r>
      <w:r>
        <w:t xml:space="preserve"> </w:t>
      </w:r>
      <w:hyperlink r:id="rId149">
        <w:r>
          <w:rPr>
            <w:rStyle w:val="Hyperlink"/>
          </w:rPr>
          <w:t xml:space="preserve">https://doi.org/10.4135/9781848607910.n48</w:t>
        </w:r>
      </w:hyperlink>
      <w:r>
        <w:t xml:space="preserve">.</w:t>
      </w:r>
    </w:p>
    <w:bookmarkEnd w:id="150"/>
    <w:bookmarkStart w:id="152" w:name="ref-Kaplan2019a"/>
    <w:p>
      <w:pPr>
        <w:pStyle w:val="Bibliography"/>
      </w:pPr>
      <w:r>
        <w:t xml:space="preserve">Kaplan, Ben. 2019.</w:t>
      </w:r>
      <w:r>
        <w:t xml:space="preserve"> </w:t>
      </w:r>
      <w:r>
        <w:t xml:space="preserve">“Experimental Electionomics: How Election Forecasts Influence Voter Turnout”</w:t>
      </w:r>
      <w:r>
        <w:t xml:space="preserve">. Tese de doutorado, Figshare.</w:t>
      </w:r>
      <w:r>
        <w:t xml:space="preserve"> </w:t>
      </w:r>
      <w:hyperlink r:id="rId151">
        <w:r>
          <w:rPr>
            <w:rStyle w:val="Hyperlink"/>
          </w:rPr>
          <w:t xml:space="preserve">https://doi.org/10.1184/r1/9338318.v1</w:t>
        </w:r>
      </w:hyperlink>
      <w:r>
        <w:t xml:space="preserve">.</w:t>
      </w:r>
    </w:p>
    <w:bookmarkEnd w:id="152"/>
    <w:bookmarkStart w:id="154" w:name="ref-Klor2017a"/>
    <w:p>
      <w:pPr>
        <w:pStyle w:val="Bibliography"/>
      </w:pPr>
      <w:r>
        <w:t xml:space="preserve">Klor, Esteban F., e Eyal Winter. 2017.</w:t>
      </w:r>
      <w:r>
        <w:t xml:space="preserve"> </w:t>
      </w:r>
      <w:r>
        <w:t xml:space="preserve">“On public opinion polls and voters’ turnout”</w:t>
      </w:r>
      <w:r>
        <w:t xml:space="preserve">.</w:t>
      </w:r>
      <w:r>
        <w:t xml:space="preserve"> </w:t>
      </w:r>
      <w:r>
        <w:rPr>
          <w:i/>
          <w:iCs/>
        </w:rPr>
        <w:t xml:space="preserve">Journal of Public Economic Theory</w:t>
      </w:r>
      <w:r>
        <w:t xml:space="preserve">, publicação prévia em linha.</w:t>
      </w:r>
      <w:r>
        <w:t xml:space="preserve"> </w:t>
      </w:r>
      <w:hyperlink r:id="rId153">
        <w:r>
          <w:rPr>
            <w:rStyle w:val="Hyperlink"/>
          </w:rPr>
          <w:t xml:space="preserve">https://doi.org/10.1111/jpet.12274</w:t>
        </w:r>
      </w:hyperlink>
      <w:r>
        <w:t xml:space="preserve">.</w:t>
      </w:r>
    </w:p>
    <w:bookmarkEnd w:id="154"/>
    <w:bookmarkStart w:id="156" w:name="ref-Lago2015"/>
    <w:p>
      <w:pPr>
        <w:pStyle w:val="Bibliography"/>
      </w:pPr>
      <w:r>
        <w:t xml:space="preserve">Lago, Ignacio, Marc Guinjoan, e Sandra Bermúdez. 2015.</w:t>
      </w:r>
      <w:r>
        <w:t xml:space="preserve"> </w:t>
      </w:r>
      <w:r>
        <w:t xml:space="preserve">“Regulating Disinformation”</w:t>
      </w:r>
      <w:r>
        <w:t xml:space="preserve">.</w:t>
      </w:r>
      <w:r>
        <w:t xml:space="preserve"> </w:t>
      </w:r>
      <w:r>
        <w:rPr>
          <w:i/>
          <w:iCs/>
        </w:rPr>
        <w:t xml:space="preserve">Public Opinion Quarterly</w:t>
      </w:r>
      <w:r>
        <w:t xml:space="preserve">, publicação prévia em linha.</w:t>
      </w:r>
      <w:r>
        <w:t xml:space="preserve"> </w:t>
      </w:r>
      <w:hyperlink r:id="rId155">
        <w:r>
          <w:rPr>
            <w:rStyle w:val="Hyperlink"/>
          </w:rPr>
          <w:t xml:space="preserve">https://doi.org/10.1093/poq/nfv036</w:t>
        </w:r>
      </w:hyperlink>
      <w:r>
        <w:t xml:space="preserve">.</w:t>
      </w:r>
    </w:p>
    <w:bookmarkEnd w:id="156"/>
    <w:bookmarkStart w:id="158" w:name="ref-Lammers2022a"/>
    <w:p>
      <w:pPr>
        <w:pStyle w:val="Bibliography"/>
      </w:pPr>
      <w:r>
        <w:t xml:space="preserve">Lammers, Joris, Marcin Bukowski, Anna Potoczek, Alexandra Fleischmann, e Wilhelm Hofmann. 2022.</w:t>
      </w:r>
      <w:r>
        <w:t xml:space="preserve"> </w:t>
      </w:r>
      <w:r>
        <w:t xml:space="preserve">“Disentangling the factors behind shifting voting intentions: The bandwagon effect reflects heuristic processing, while the underdog effect reflects fairness concerns”</w:t>
      </w:r>
      <w:r>
        <w:t xml:space="preserve">.</w:t>
      </w:r>
      <w:r>
        <w:t xml:space="preserve"> </w:t>
      </w:r>
      <w:r>
        <w:rPr>
          <w:i/>
          <w:iCs/>
        </w:rPr>
        <w:t xml:space="preserve">Journal of Social and Political Psychology</w:t>
      </w:r>
      <w:r>
        <w:t xml:space="preserve">, publicação prévia em linha.</w:t>
      </w:r>
      <w:r>
        <w:t xml:space="preserve"> </w:t>
      </w:r>
      <w:hyperlink r:id="rId157">
        <w:r>
          <w:rPr>
            <w:rStyle w:val="Hyperlink"/>
          </w:rPr>
          <w:t xml:space="preserve">https://doi.org/10.5964/jspp.9241</w:t>
        </w:r>
      </w:hyperlink>
      <w:r>
        <w:t xml:space="preserve">.</w:t>
      </w:r>
    </w:p>
    <w:bookmarkEnd w:id="158"/>
    <w:bookmarkStart w:id="160" w:name="ref-Meer2015a"/>
    <w:p>
      <w:pPr>
        <w:pStyle w:val="Bibliography"/>
      </w:pPr>
      <w:r>
        <w:t xml:space="preserve">Meer, Tom van der, Armèn Hakhverdian, e Loes Aaldering. 2015.</w:t>
      </w:r>
      <w:r>
        <w:t xml:space="preserve"> </w:t>
      </w:r>
      <w:r>
        <w:t xml:space="preserve">“Off the Fence, Onto the Bandwagon? A Large-Scale Survey Experiment on Effect of Real-Life Poll Outcomes on Subsequent Vote Intentions”</w:t>
      </w:r>
      <w:r>
        <w:t xml:space="preserve">.</w:t>
      </w:r>
      <w:r>
        <w:t xml:space="preserve"> </w:t>
      </w:r>
      <w:r>
        <w:rPr>
          <w:i/>
          <w:iCs/>
        </w:rPr>
        <w:t xml:space="preserve">International Journal of Public Opinion Research</w:t>
      </w:r>
      <w:r>
        <w:t xml:space="preserve">, publicação prévia em linha.</w:t>
      </w:r>
      <w:r>
        <w:t xml:space="preserve"> </w:t>
      </w:r>
      <w:hyperlink r:id="rId159">
        <w:r>
          <w:rPr>
            <w:rStyle w:val="Hyperlink"/>
          </w:rPr>
          <w:t xml:space="preserve">https://doi.org/10.1093/ijpor/edu041</w:t>
        </w:r>
      </w:hyperlink>
      <w:r>
        <w:t xml:space="preserve">.</w:t>
      </w:r>
    </w:p>
    <w:bookmarkEnd w:id="160"/>
    <w:bookmarkStart w:id="162" w:name="ref-Meffert2011"/>
    <w:p>
      <w:pPr>
        <w:pStyle w:val="Bibliography"/>
      </w:pPr>
      <w:r>
        <w:t xml:space="preserve">Meffert, Michael F., e Thomas Gschwend. 2011.</w:t>
      </w:r>
      <w:r>
        <w:t xml:space="preserve"> </w:t>
      </w:r>
      <w:r>
        <w:t xml:space="preserve">“Polls, coalition signals and strategic voting: An experimental investigation of perceptions and effects”</w:t>
      </w:r>
      <w:r>
        <w:t xml:space="preserve">.</w:t>
      </w:r>
      <w:r>
        <w:t xml:space="preserve"> </w:t>
      </w:r>
      <w:r>
        <w:rPr>
          <w:i/>
          <w:iCs/>
        </w:rPr>
        <w:t xml:space="preserve">European Journal of Political Research</w:t>
      </w:r>
      <w:r>
        <w:t xml:space="preserve">, publicação prévia em linha.</w:t>
      </w:r>
      <w:r>
        <w:t xml:space="preserve"> </w:t>
      </w:r>
      <w:hyperlink r:id="rId161">
        <w:r>
          <w:rPr>
            <w:rStyle w:val="Hyperlink"/>
          </w:rPr>
          <w:t xml:space="preserve">https://doi.org/10.1111/j.1475-6765.2010.01986.x</w:t>
        </w:r>
      </w:hyperlink>
      <w:r>
        <w:t xml:space="preserve">.</w:t>
      </w:r>
    </w:p>
    <w:bookmarkEnd w:id="162"/>
    <w:bookmarkStart w:id="164" w:name="ref-Meireles2022"/>
    <w:p>
      <w:pPr>
        <w:pStyle w:val="Bibliography"/>
      </w:pPr>
      <w:r>
        <w:t xml:space="preserve">Meireles, Fernando, e Guilherme Russo. 2022.</w:t>
      </w:r>
      <w:r>
        <w:t xml:space="preserve"> </w:t>
      </w:r>
      <w:r>
        <w:t xml:space="preserve">“Pesquisas eleitorais no Brasil: tendências e desempenho”</w:t>
      </w:r>
      <w:r>
        <w:t xml:space="preserve">.</w:t>
      </w:r>
      <w:r>
        <w:t xml:space="preserve"> </w:t>
      </w:r>
      <w:r>
        <w:rPr>
          <w:i/>
          <w:iCs/>
        </w:rPr>
        <w:t xml:space="preserve">Estudos Avançados</w:t>
      </w:r>
      <w:r>
        <w:t xml:space="preserve"> </w:t>
      </w:r>
      <w:r>
        <w:t xml:space="preserve">36 (106): 117–31.</w:t>
      </w:r>
      <w:r>
        <w:t xml:space="preserve"> </w:t>
      </w:r>
      <w:hyperlink r:id="rId163">
        <w:r>
          <w:rPr>
            <w:rStyle w:val="Hyperlink"/>
          </w:rPr>
          <w:t xml:space="preserve">https://doi.org/10.1590/s0103-4014.2022.36106.007</w:t>
        </w:r>
      </w:hyperlink>
      <w:r>
        <w:t xml:space="preserve">.</w:t>
      </w:r>
    </w:p>
    <w:bookmarkEnd w:id="164"/>
    <w:bookmarkStart w:id="166" w:name="ref-Morton2015a"/>
    <w:p>
      <w:pPr>
        <w:pStyle w:val="Bibliography"/>
      </w:pPr>
      <w:r>
        <w:t xml:space="preserve">Morton, Rebecca B., Daniel Müller, Lionel Page, e Benno Torgler. 2015.</w:t>
      </w:r>
      <w:r>
        <w:t xml:space="preserve"> </w:t>
      </w:r>
      <w:r>
        <w:t xml:space="preserve">“Exit polls, turnout, and bandwagon voting: Evidence from a natural experiment”</w:t>
      </w:r>
      <w:r>
        <w:t xml:space="preserve">.</w:t>
      </w:r>
      <w:r>
        <w:t xml:space="preserve"> </w:t>
      </w:r>
      <w:r>
        <w:rPr>
          <w:i/>
          <w:iCs/>
        </w:rPr>
        <w:t xml:space="preserve">European Economic Review</w:t>
      </w:r>
      <w:r>
        <w:t xml:space="preserve">, publicação prévia em linha.</w:t>
      </w:r>
      <w:r>
        <w:t xml:space="preserve"> </w:t>
      </w:r>
      <w:hyperlink r:id="rId165">
        <w:r>
          <w:rPr>
            <w:rStyle w:val="Hyperlink"/>
          </w:rPr>
          <w:t xml:space="preserve">https://doi.org/10.1016/j.euroecorev.2015.03.012</w:t>
        </w:r>
      </w:hyperlink>
      <w:r>
        <w:t xml:space="preserve">.</w:t>
      </w:r>
    </w:p>
    <w:bookmarkEnd w:id="166"/>
    <w:bookmarkStart w:id="168" w:name="ref-MoyRinke2012"/>
    <w:p>
      <w:pPr>
        <w:pStyle w:val="Bibliography"/>
      </w:pPr>
      <w:r>
        <w:t xml:space="preserve">Moy, e Rinke. 2012.</w:t>
      </w:r>
      <w:r>
        <w:t xml:space="preserve"> </w:t>
      </w:r>
      <w:r>
        <w:rPr>
          <w:i/>
          <w:iCs/>
        </w:rPr>
        <w:t xml:space="preserve">Attitudinal and behavioral consequences of published opinion polls</w:t>
      </w:r>
      <w:r>
        <w:t xml:space="preserve">. Organizado por Holtz-Bacha e Strömbäck.</w:t>
      </w:r>
      <w:r>
        <w:t xml:space="preserve"> </w:t>
      </w:r>
      <w:hyperlink r:id="rId167">
        <w:r>
          <w:rPr>
            <w:rStyle w:val="Hyperlink"/>
          </w:rPr>
          <w:t xml:space="preserve">https://doi.org/10.1057/9780230374959_11</w:t>
        </w:r>
      </w:hyperlink>
      <w:r>
        <w:t xml:space="preserve">.</w:t>
      </w:r>
    </w:p>
    <w:bookmarkEnd w:id="168"/>
    <w:bookmarkStart w:id="170" w:name="ref-PereiraNunes2024"/>
    <w:p>
      <w:pPr>
        <w:pStyle w:val="Bibliography"/>
      </w:pPr>
      <w:r>
        <w:t xml:space="preserve">Pereira, Frederico Batista, e Felipe Nunes. 2024.</w:t>
      </w:r>
      <w:r>
        <w:t xml:space="preserve"> </w:t>
      </w:r>
      <w:r>
        <w:t xml:space="preserve">“Pesquisas eleitorais e mudanças tardias na decisão do voto”</w:t>
      </w:r>
      <w:r>
        <w:t xml:space="preserve">.</w:t>
      </w:r>
      <w:r>
        <w:t xml:space="preserve"> </w:t>
      </w:r>
      <w:r>
        <w:rPr>
          <w:i/>
          <w:iCs/>
        </w:rPr>
        <w:t xml:space="preserve">Opinião Pública</w:t>
      </w:r>
      <w:r>
        <w:t xml:space="preserve"> </w:t>
      </w:r>
      <w:r>
        <w:t xml:space="preserve">30 (1).</w:t>
      </w:r>
      <w:r>
        <w:t xml:space="preserve"> </w:t>
      </w:r>
      <w:hyperlink r:id="rId169">
        <w:r>
          <w:rPr>
            <w:rStyle w:val="Hyperlink"/>
          </w:rPr>
          <w:t xml:space="preserve">https://doi.org/10.1590/1807-019120243011</w:t>
        </w:r>
      </w:hyperlink>
      <w:r>
        <w:t xml:space="preserve">.</w:t>
      </w:r>
    </w:p>
    <w:bookmarkEnd w:id="170"/>
    <w:bookmarkStart w:id="172" w:name="ref-Schlegel2023"/>
    <w:p>
      <w:pPr>
        <w:pStyle w:val="Bibliography"/>
      </w:pPr>
      <w:r>
        <w:t xml:space="preserve">Schlegel, Benjamin E., Lukas F. Stoetzer, e Patrick Kraft. 2023.</w:t>
      </w:r>
      <w:r>
        <w:t xml:space="preserve"> </w:t>
      </w:r>
      <w:r>
        <w:t xml:space="preserve">“When information is not enough for strategic voting”</w:t>
      </w:r>
      <w:r>
        <w:t xml:space="preserve">.</w:t>
      </w:r>
      <w:r>
        <w:t xml:space="preserve"> </w:t>
      </w:r>
      <w:r>
        <w:rPr>
          <w:i/>
          <w:iCs/>
        </w:rPr>
        <w:t xml:space="preserve">Electoral Studies</w:t>
      </w:r>
      <w:r>
        <w:t xml:space="preserve">, publicação prévia em linha.</w:t>
      </w:r>
      <w:r>
        <w:t xml:space="preserve"> </w:t>
      </w:r>
      <w:hyperlink r:id="rId171">
        <w:r>
          <w:rPr>
            <w:rStyle w:val="Hyperlink"/>
          </w:rPr>
          <w:t xml:space="preserve">https://doi.org/10.1016/j.electstud.2023.102692</w:t>
        </w:r>
      </w:hyperlink>
      <w:r>
        <w:t xml:space="preserve">.</w:t>
      </w:r>
    </w:p>
    <w:bookmarkEnd w:id="172"/>
    <w:bookmarkStart w:id="174" w:name="ref-BrasilSenado2022PL2558"/>
    <w:p>
      <w:pPr>
        <w:pStyle w:val="Bibliography"/>
      </w:pPr>
      <w:r>
        <w:t xml:space="preserve">Senado Federal. 2022.</w:t>
      </w:r>
      <w:r>
        <w:t xml:space="preserve"> </w:t>
      </w:r>
      <w:r>
        <w:rPr>
          <w:i/>
          <w:iCs/>
        </w:rPr>
        <w:t xml:space="preserve">Projeto de Lei nº 2.558, de 2022: altera a Lei nº 9.504, de 30 de setembro de 1997, para determinar penalização às entidades e empresas que realizarem pesquisas de opinião pública relativas às eleições ou aos candidatos com resultados fora das margens de erro estabelecidas</w:t>
      </w:r>
      <w:r>
        <w:t xml:space="preserve">. Projeto de Lei, autoria do Senador Marcos do Val (Podemos-ES), apresentado em 05/10/2022.</w:t>
      </w:r>
      <w:r>
        <w:t xml:space="preserve"> </w:t>
      </w:r>
      <w:hyperlink r:id="rId173">
        <w:r>
          <w:rPr>
            <w:rStyle w:val="Hyperlink"/>
          </w:rPr>
          <w:t xml:space="preserve">https://www25.senado.leg.br/web/atividade/materias/-/materia/154812</w:t>
        </w:r>
      </w:hyperlink>
      <w:r>
        <w:t xml:space="preserve">.</w:t>
      </w:r>
    </w:p>
    <w:bookmarkEnd w:id="174"/>
    <w:bookmarkStart w:id="176" w:name="ref-Stolwijk2019b"/>
    <w:p>
      <w:pPr>
        <w:pStyle w:val="Bibliography"/>
      </w:pPr>
      <w:r>
        <w:t xml:space="preserve">Stolwijk, Sjoerd, e Andreas Schuck. 2019.</w:t>
      </w:r>
      <w:r>
        <w:t xml:space="preserve"> </w:t>
      </w:r>
      <w:r>
        <w:t xml:space="preserve">“More interest in interest: Does poll coverage help or hurt efforts to make more young voters show up at the ballot box?”</w:t>
      </w:r>
      <w:r>
        <w:t xml:space="preserve"> </w:t>
      </w:r>
      <w:r>
        <w:rPr>
          <w:i/>
          <w:iCs/>
        </w:rPr>
        <w:t xml:space="preserve">European Union Politics</w:t>
      </w:r>
      <w:r>
        <w:t xml:space="preserve">, publicação prévia em linha.</w:t>
      </w:r>
      <w:r>
        <w:t xml:space="preserve"> </w:t>
      </w:r>
      <w:hyperlink r:id="rId175">
        <w:r>
          <w:rPr>
            <w:rStyle w:val="Hyperlink"/>
          </w:rPr>
          <w:t xml:space="preserve">https://doi.org/10.1177/1465116519837351</w:t>
        </w:r>
      </w:hyperlink>
      <w:r>
        <w:t xml:space="preserve">.</w:t>
      </w:r>
    </w:p>
    <w:bookmarkEnd w:id="176"/>
    <w:bookmarkStart w:id="178" w:name="ref-Stolwijk2016a"/>
    <w:p>
      <w:pPr>
        <w:pStyle w:val="Bibliography"/>
      </w:pPr>
      <w:r>
        <w:t xml:space="preserve">Stolwijk, Sjoerd, Andreas Schuck, e Claes H. de Vreese. 2016.</w:t>
      </w:r>
      <w:r>
        <w:t xml:space="preserve"> </w:t>
      </w:r>
      <w:r>
        <w:t xml:space="preserve">“How Anxiety and Enthusiasm Help Explain the Bandwagon Effect”</w:t>
      </w:r>
      <w:r>
        <w:t xml:space="preserve">.</w:t>
      </w:r>
      <w:r>
        <w:t xml:space="preserve"> </w:t>
      </w:r>
      <w:r>
        <w:rPr>
          <w:i/>
          <w:iCs/>
        </w:rPr>
        <w:t xml:space="preserve">International Journal of Public Opinion Research</w:t>
      </w:r>
      <w:r>
        <w:t xml:space="preserve">, publicação prévia em linha.</w:t>
      </w:r>
      <w:r>
        <w:t xml:space="preserve"> </w:t>
      </w:r>
      <w:hyperlink r:id="rId177">
        <w:r>
          <w:rPr>
            <w:rStyle w:val="Hyperlink"/>
          </w:rPr>
          <w:t xml:space="preserve">https://doi.org/10.1093/ijpor/edw018</w:t>
        </w:r>
      </w:hyperlink>
      <w:r>
        <w:t xml:space="preserve">.</w:t>
      </w:r>
    </w:p>
    <w:bookmarkEnd w:id="178"/>
    <w:bookmarkStart w:id="180" w:name="ref-STF2006ADI3741"/>
    <w:p>
      <w:pPr>
        <w:pStyle w:val="Bibliography"/>
      </w:pPr>
      <w:r>
        <w:t xml:space="preserve">Supremo Tribunal Federal. 2006.</w:t>
      </w:r>
      <w:r>
        <w:t xml:space="preserve"> </w:t>
      </w:r>
      <w:r>
        <w:rPr>
          <w:i/>
          <w:iCs/>
        </w:rPr>
        <w:t xml:space="preserve">Direto do Plenário: STF declara inconstitucional, em parte, lei que regula campanhas políticas (ADI 3.741, 3.742 e 3.743)</w:t>
      </w:r>
      <w:r>
        <w:t xml:space="preserve">. Notícias STF.</w:t>
      </w:r>
      <w:r>
        <w:t xml:space="preserve"> </w:t>
      </w:r>
      <w:hyperlink r:id="rId179">
        <w:r>
          <w:rPr>
            <w:rStyle w:val="Hyperlink"/>
          </w:rPr>
          <w:t xml:space="preserve">https://noticias.stf.jus.br/postsnoticias/direto-do-plenario-stf-declara-inconstitucional-em-parte-lei-que-regula-campanhas-politicas/</w:t>
        </w:r>
      </w:hyperlink>
      <w:r>
        <w:t xml:space="preserve">.</w:t>
      </w:r>
    </w:p>
    <w:bookmarkEnd w:id="180"/>
    <w:bookmarkStart w:id="182" w:name="ref-Tal2015a"/>
    <w:p>
      <w:pPr>
        <w:pStyle w:val="Bibliography"/>
      </w:pPr>
      <w:r>
        <w:t xml:space="preserve">Tal, Maor, Reshef Meir, e Ya’akov Gal. 2015.</w:t>
      </w:r>
      <w:r>
        <w:t xml:space="preserve"> </w:t>
      </w:r>
      <w:r>
        <w:t xml:space="preserve">“A Study of Human Behavior in Online Voting”</w:t>
      </w:r>
      <w:r>
        <w:t xml:space="preserve">.</w:t>
      </w:r>
      <w:r>
        <w:t xml:space="preserve"> </w:t>
      </w:r>
      <w:hyperlink r:id="rId181">
        <w:r>
          <w:rPr>
            <w:rStyle w:val="Hyperlink"/>
          </w:rPr>
          <w:t xml:space="preserve">https://doi.org/10.65109/dngc7810</w:t>
        </w:r>
      </w:hyperlink>
      <w:r>
        <w:t xml:space="preserve">.</w:t>
      </w:r>
    </w:p>
    <w:bookmarkEnd w:id="182"/>
    <w:bookmarkStart w:id="183" w:name="ref-Timotei2013a"/>
    <w:p>
      <w:pPr>
        <w:pStyle w:val="Bibliography"/>
      </w:pPr>
      <w:r>
        <w:t xml:space="preserve">Timotei, Vierasu. 2013.</w:t>
      </w:r>
      <w:r>
        <w:t xml:space="preserve"> </w:t>
      </w:r>
      <w:r>
        <w:t xml:space="preserve">“HOW MUCH CAN WE TRUST PUBLIC OPINION POLLS?”</w:t>
      </w:r>
      <w:r>
        <w:t xml:space="preserve"> </w:t>
      </w:r>
      <w:r>
        <w:rPr>
          <w:i/>
          <w:iCs/>
        </w:rPr>
        <w:t xml:space="preserve">RePEc: Research Papers in Economics</w:t>
      </w:r>
      <w:r>
        <w:t xml:space="preserve">.</w:t>
      </w:r>
    </w:p>
    <w:bookmarkEnd w:id="183"/>
    <w:bookmarkStart w:id="185" w:name="ref-TSE2019Res23600"/>
    <w:p>
      <w:pPr>
        <w:pStyle w:val="Bibliography"/>
      </w:pPr>
      <w:r>
        <w:t xml:space="preserve">Tribunal Superior Eleitoral. 2019.</w:t>
      </w:r>
      <w:r>
        <w:t xml:space="preserve"> </w:t>
      </w:r>
      <w:r>
        <w:rPr>
          <w:i/>
          <w:iCs/>
        </w:rPr>
        <w:t xml:space="preserve">Resolução TSE nº 23.600, de 12 de dezembro de 2019: dispõe sobre pesquisas eleitorais</w:t>
      </w:r>
      <w:r>
        <w:t xml:space="preserve">. Diário da Justiça Eletrônico do Tribunal Superior Eleitoral (DJE/TSE), republicação de 7 de março de 2022.</w:t>
      </w:r>
      <w:r>
        <w:t xml:space="preserve"> </w:t>
      </w:r>
      <w:hyperlink r:id="rId184">
        <w:r>
          <w:rPr>
            <w:rStyle w:val="Hyperlink"/>
          </w:rPr>
          <w:t xml:space="preserve">https://sintse.tse.jus.br/documentos/2022/Mar/7/diario-da-justica-eletronico-tse-edicao-extraordinaria/republicacao-resolucao-no-23-600-de-12-de-dezembro-de-2019-dispoe-sobre-pesquisas-eleitorais</w:t>
        </w:r>
      </w:hyperlink>
      <w:r>
        <w:t xml:space="preserve">.</w:t>
      </w:r>
    </w:p>
    <w:bookmarkEnd w:id="185"/>
    <w:bookmarkStart w:id="187" w:name="ref-Tyszler2013"/>
    <w:p>
      <w:pPr>
        <w:pStyle w:val="Bibliography"/>
      </w:pPr>
      <w:r>
        <w:t xml:space="preserve">Tyszler, Marcelo, e Arthur Schram. 2013.</w:t>
      </w:r>
      <w:r>
        <w:t xml:space="preserve"> </w:t>
      </w:r>
      <w:r>
        <w:t xml:space="preserve">“Strategic Voting in Heterogeneous Electorates: An Experimental Study”</w:t>
      </w:r>
      <w:r>
        <w:t xml:space="preserve">.</w:t>
      </w:r>
      <w:r>
        <w:t xml:space="preserve"> </w:t>
      </w:r>
      <w:r>
        <w:rPr>
          <w:i/>
          <w:iCs/>
        </w:rPr>
        <w:t xml:space="preserve">Games</w:t>
      </w:r>
      <w:r>
        <w:t xml:space="preserve">, publicação prévia em linha.</w:t>
      </w:r>
      <w:r>
        <w:t xml:space="preserve"> </w:t>
      </w:r>
      <w:hyperlink r:id="rId186">
        <w:r>
          <w:rPr>
            <w:rStyle w:val="Hyperlink"/>
          </w:rPr>
          <w:t xml:space="preserve">https://doi.org/10.3390/g4040624</w:t>
        </w:r>
      </w:hyperlink>
      <w:r>
        <w:t xml:space="preserve">.</w:t>
      </w:r>
    </w:p>
    <w:bookmarkEnd w:id="187"/>
    <w:bookmarkStart w:id="189" w:name="ref-Tyszler2015"/>
    <w:p>
      <w:pPr>
        <w:pStyle w:val="Bibliography"/>
      </w:pPr>
      <w:r>
        <w:t xml:space="preserve">Tyszler, Marcelo, e Arthur Schram. 2015.</w:t>
      </w:r>
      <w:r>
        <w:t xml:space="preserve"> </w:t>
      </w:r>
      <w:r>
        <w:t xml:space="preserve">“Information and strategic voting”</w:t>
      </w:r>
      <w:r>
        <w:t xml:space="preserve">.</w:t>
      </w:r>
      <w:r>
        <w:t xml:space="preserve"> </w:t>
      </w:r>
      <w:r>
        <w:rPr>
          <w:i/>
          <w:iCs/>
        </w:rPr>
        <w:t xml:space="preserve">Experimental Economics</w:t>
      </w:r>
      <w:r>
        <w:t xml:space="preserve">, publicação prévia em linha.</w:t>
      </w:r>
      <w:r>
        <w:t xml:space="preserve"> </w:t>
      </w:r>
      <w:hyperlink r:id="rId188">
        <w:r>
          <w:rPr>
            <w:rStyle w:val="Hyperlink"/>
          </w:rPr>
          <w:t xml:space="preserve">https://doi.org/10.1007/s10683-015-9443-2</w:t>
        </w:r>
      </w:hyperlink>
      <w:r>
        <w:t xml:space="preserve">.</w:t>
      </w:r>
    </w:p>
    <w:bookmarkEnd w:id="189"/>
    <w:bookmarkStart w:id="191" w:name="ref-Unkelbach2022a"/>
    <w:p>
      <w:pPr>
        <w:pStyle w:val="Bibliography"/>
      </w:pPr>
      <w:r>
        <w:t xml:space="preserve">Unkelbach, Fabienne, Melvin John, e Vera Vogel. 2022.</w:t>
      </w:r>
      <w:r>
        <w:t xml:space="preserve"> </w:t>
      </w:r>
      <w:r>
        <w:t xml:space="preserve">“Jumping on the Bandwagon: The Role of Voters’ Social Class in Poll Effects in the Context of the 2021 German Federal Election”</w:t>
      </w:r>
      <w:r>
        <w:t xml:space="preserve">.</w:t>
      </w:r>
      <w:r>
        <w:t xml:space="preserve"> </w:t>
      </w:r>
      <w:r>
        <w:rPr>
          <w:i/>
          <w:iCs/>
        </w:rPr>
        <w:t xml:space="preserve">Politische Vierteljahresschrift</w:t>
      </w:r>
      <w:r>
        <w:t xml:space="preserve">, publicação prévia em linha.</w:t>
      </w:r>
      <w:r>
        <w:t xml:space="preserve"> </w:t>
      </w:r>
      <w:hyperlink r:id="rId190">
        <w:r>
          <w:rPr>
            <w:rStyle w:val="Hyperlink"/>
          </w:rPr>
          <w:t xml:space="preserve">https://doi.org/10.1007/s11615-022-00417-3</w:t>
        </w:r>
      </w:hyperlink>
      <w:r>
        <w:t xml:space="preserve">.</w:t>
      </w:r>
    </w:p>
    <w:bookmarkEnd w:id="191"/>
    <w:bookmarkStart w:id="193" w:name="ref-Urminsky2019"/>
    <w:p>
      <w:pPr>
        <w:pStyle w:val="Bibliography"/>
      </w:pPr>
      <w:r>
        <w:t xml:space="preserve">Urminsky, Oleg, e Lucy Shen. 2019.</w:t>
      </w:r>
      <w:r>
        <w:t xml:space="preserve"> </w:t>
      </w:r>
      <w:r>
        <w:rPr>
          <w:i/>
          <w:iCs/>
        </w:rPr>
        <w:t xml:space="preserve">High Chances and Close Margins: How Equivalent Forecasts Yield Different Beliefs</w:t>
      </w:r>
      <w:r>
        <w:t xml:space="preserve">. SSRN Electronic Journal.</w:t>
      </w:r>
      <w:r>
        <w:t xml:space="preserve"> </w:t>
      </w:r>
      <w:hyperlink r:id="rId192">
        <w:r>
          <w:rPr>
            <w:rStyle w:val="Hyperlink"/>
          </w:rPr>
          <w:t xml:space="preserve">https://doi.org/10.2139/ssrn.3448172</w:t>
        </w:r>
      </w:hyperlink>
      <w:r>
        <w:t xml:space="preserve">.</w:t>
      </w:r>
    </w:p>
    <w:bookmarkEnd w:id="193"/>
    <w:bookmarkStart w:id="195" w:name="ref-Westwood2020a"/>
    <w:p>
      <w:pPr>
        <w:pStyle w:val="Bibliography"/>
      </w:pPr>
      <w:r>
        <w:t xml:space="preserve">Westwood, Sean, Solomon Messing, e Yphtach Lelkes. 2020.</w:t>
      </w:r>
      <w:r>
        <w:t xml:space="preserve"> </w:t>
      </w:r>
      <w:r>
        <w:t xml:space="preserve">“Projecting Confidence: How the Probabilistic Horse Race Confuses and Demobilizes the Public”</w:t>
      </w:r>
      <w:r>
        <w:t xml:space="preserve">.</w:t>
      </w:r>
      <w:r>
        <w:t xml:space="preserve"> </w:t>
      </w:r>
      <w:r>
        <w:rPr>
          <w:i/>
          <w:iCs/>
        </w:rPr>
        <w:t xml:space="preserve">The Journal of Politics</w:t>
      </w:r>
      <w:r>
        <w:t xml:space="preserve">, publicação prévia em linha.</w:t>
      </w:r>
      <w:r>
        <w:t xml:space="preserve"> </w:t>
      </w:r>
      <w:hyperlink r:id="rId194">
        <w:r>
          <w:rPr>
            <w:rStyle w:val="Hyperlink"/>
          </w:rPr>
          <w:t xml:space="preserve">https://doi.org/10.1086/708682</w:t>
        </w:r>
      </w:hyperlink>
      <w:r>
        <w:t xml:space="preserve">.</w:t>
      </w:r>
    </w:p>
    <w:bookmarkEnd w:id="195"/>
    <w:bookmarkStart w:id="196" w:name="ref-Witsman2016a"/>
    <w:p>
      <w:pPr>
        <w:pStyle w:val="Bibliography"/>
      </w:pPr>
      <w:r>
        <w:t xml:space="preserve">Witsman, Katherine A. 2016.</w:t>
      </w:r>
      <w:r>
        <w:t xml:space="preserve"> </w:t>
      </w:r>
      <w:r>
        <w:t xml:space="preserve">“The effect of polling data on independent voting behavior”</w:t>
      </w:r>
      <w:r>
        <w:t xml:space="preserve">. Tese de doutorado, Holmes Museum Of Anthropology (Wichita State University).</w:t>
      </w:r>
    </w:p>
    <w:bookmarkEnd w:id="196"/>
    <w:bookmarkEnd w:id="197"/>
    <w:bookmarkEnd w:id="198"/>
    <w:bookmarkStart w:id="201" w:name="sec-pendencias"/>
    <w:p>
      <w:pPr>
        <w:pStyle w:val="Heading1"/>
      </w:pPr>
      <w:r>
        <w:t xml:space="preserve">Apêndice A: pendências humanas abertas</w:t>
      </w:r>
    </w:p>
    <w:p>
      <w:pPr>
        <w:pStyle w:val="FirstParagraph"/>
      </w:pPr>
      <w:r>
        <w:t xml:space="preserve">Estas são as 18 pendências abertas no estado da revisão. Todas exigem decisão humana. A IA não fecha nenhuma delas, e nenhuma sugestão de IA preparada nos pacotes conta como validação. A ordem segue as etapas, porque decisões de busca e de triagem podem mudar o conjunto de incluídos e, com ele, tudo o que vem depois. O guia da revisão humana, com os pacotes prontos e o modo de registrar cada decisão, está em</w:t>
      </w:r>
      <w:r>
        <w:t xml:space="preserve"> </w:t>
      </w:r>
      <w:hyperlink r:id="rId199">
        <w:r>
          <w:rPr>
            <w:rStyle w:val="VerbatimChar"/>
          </w:rPr>
          <w:t xml:space="preserve">revisao-humana.html</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tbl-pendencias"/>
          <w:p>
            <w:pPr>
              <w:jc w:val="center"/>
            </w:pPr>
            <w:pPr>
              <w:jc w:val="left"/>
              <w:spacing w:before="200"/>
              <w:pStyle w:val="ImageCaption"/>
            </w:pPr>
            <w:r>
              <w:t xml:space="preserve">Tabela 6: Pendências humanas abertas (18), de</w:t>
            </w:r>
            <w:r>
              <w:t xml:space="preserve"> </w:t>
            </w:r>
            <w:r>
              <w:rPr>
                <w:rStyle w:val="VerbatimChar"/>
              </w:rPr>
              <w:t xml:space="preserve">07-relatorio/_pendencias_abertas.json</w:t>
            </w:r>
            <w:r>
              <w:t xml:space="preserve">; etapa, tarefa, pacote e esforço copiados de</w:t>
            </w:r>
            <w:r>
              <w:t xml:space="preserve"> </w:t>
            </w:r>
            <w:r>
              <w:rPr>
                <w:rStyle w:val="VerbatimChar"/>
              </w:rPr>
              <w:t xml:space="preserve">08-revisao-humana/README.md</w:t>
            </w:r>
            <w:r>
              <w:t xml:space="preserve"> </w:t>
            </w:r>
            <w:r>
              <w:t xml:space="preserve">(a tarefa da P042, do registro da pendência), na ordem das etapas.</w:t>
            </w:r>
          </w:p>
          <w:tbl>
            <w:tblPr>
              <w:tblStyle w:val="Table"/>
              <w:tblW w:type="pct" w:w="5000"/>
              <w:tblLayout w:type="fixed"/>
              <w:tblLook w:firstRow="1" w:lastRow="0" w:firstColumn="0" w:lastColumn="0" w:noHBand="0" w:noVBand="0" w:val="0020"/>
            </w:tblPr>
            <w:tblGrid>
              <w:gridCol w:w="554"/>
              <w:gridCol w:w="1188"/>
              <w:gridCol w:w="3801"/>
              <w:gridCol w:w="1425"/>
              <w:gridCol w:w="950"/>
            </w:tblGrid>
            <w:tr>
              <w:trPr>
                <w:tblHeader w:val="on"/>
              </w:trPr>
              <w:tc>
                <w:tcPr/>
                <w:p>
                  <w:pPr>
                    <w:pStyle w:val="Compact"/>
                    <w:jc w:val="center"/>
                  </w:pPr>
                  <w:r>
                    <w:t xml:space="preserve">Id</w:t>
                  </w:r>
                </w:p>
              </w:tc>
              <w:tc>
                <w:tcPr/>
                <w:p>
                  <w:pPr>
                    <w:pStyle w:val="Compact"/>
                    <w:jc w:val="center"/>
                  </w:pPr>
                  <w:r>
                    <w:t xml:space="preserve">Etapa</w:t>
                  </w:r>
                </w:p>
              </w:tc>
              <w:tc>
                <w:tcPr/>
                <w:p>
                  <w:pPr>
                    <w:pStyle w:val="Compact"/>
                    <w:jc w:val="center"/>
                  </w:pPr>
                  <w:r>
                    <w:t xml:space="preserve">O que falta</w:t>
                  </w:r>
                </w:p>
              </w:tc>
              <w:tc>
                <w:tcPr/>
                <w:p>
                  <w:pPr>
                    <w:pStyle w:val="Compact"/>
                    <w:jc w:val="center"/>
                  </w:pPr>
                  <w:r>
                    <w:t xml:space="preserve">Pacote em</w:t>
                  </w:r>
                  <w:r>
                    <w:t xml:space="preserve"> </w:t>
                  </w:r>
                  <w:r>
                    <w:rPr>
                      <w:rStyle w:val="VerbatimChar"/>
                    </w:rPr>
                    <w:t xml:space="preserve">08-revisao-humana/</w:t>
                  </w:r>
                </w:p>
              </w:tc>
              <w:tc>
                <w:tcPr/>
                <w:p>
                  <w:pPr>
                    <w:pStyle w:val="Compact"/>
                    <w:jc w:val="center"/>
                  </w:pPr>
                  <w:r>
                    <w:t xml:space="preserve">Esforço</w:t>
                  </w:r>
                </w:p>
              </w:tc>
            </w:tr>
            <w:tr>
              <w:tc>
                <w:tcPr/>
                <w:p>
                  <w:pPr>
                    <w:pStyle w:val="Compact"/>
                    <w:jc w:val="center"/>
                  </w:pPr>
                  <w:r>
                    <w:t xml:space="preserve">P001</w:t>
                  </w:r>
                </w:p>
              </w:tc>
              <w:tc>
                <w:tcPr/>
                <w:p>
                  <w:pPr>
                    <w:pStyle w:val="Compact"/>
                    <w:jc w:val="center"/>
                  </w:pPr>
                  <w:r>
                    <w:t xml:space="preserve">busca (G3)</w:t>
                  </w:r>
                </w:p>
              </w:tc>
              <w:tc>
                <w:tcPr/>
                <w:p>
                  <w:pPr>
                    <w:pStyle w:val="Compact"/>
                    <w:jc w:val="center"/>
                  </w:pPr>
                  <w:r>
                    <w:t xml:space="preserve">PRESS humano da string</w:t>
                  </w:r>
                  <w:r>
                    <w:t xml:space="preserve"> </w:t>
                  </w:r>
                  <w:r>
                    <w:rPr>
                      <w:b/>
                      <w:bCs/>
                    </w:rPr>
                    <w:t xml:space="preserve">ativa</w:t>
                  </w:r>
                  <w:r>
                    <w:t xml:space="preserve">, S-oa-en-v5. A pendência cita a v4, que foi substituída</w:t>
                  </w:r>
                </w:p>
              </w:tc>
              <w:tc>
                <w:tcPr/>
                <w:p>
                  <w:pPr>
                    <w:pStyle w:val="Compact"/>
                    <w:jc w:val="center"/>
                  </w:pPr>
                  <w:r>
                    <w:rPr>
                      <w:rStyle w:val="VerbatimChar"/>
                    </w:rPr>
                    <w:t xml:space="preserve">P001_press/</w:t>
                  </w:r>
                </w:p>
              </w:tc>
              <w:tc>
                <w:tcPr/>
                <w:p>
                  <w:pPr>
                    <w:pStyle w:val="Compact"/>
                    <w:jc w:val="center"/>
                  </w:pPr>
                  <w:r>
                    <w:t xml:space="preserve">2,5 a 3,5 h</w:t>
                  </w:r>
                </w:p>
              </w:tc>
            </w:tr>
            <w:tr>
              <w:tc>
                <w:tcPr/>
                <w:p>
                  <w:pPr>
                    <w:pStyle w:val="Compact"/>
                    <w:jc w:val="center"/>
                  </w:pPr>
                  <w:r>
                    <w:t xml:space="preserve">P004</w:t>
                  </w:r>
                </w:p>
              </w:tc>
              <w:tc>
                <w:tcPr/>
                <w:p>
                  <w:pPr>
                    <w:pStyle w:val="Compact"/>
                    <w:jc w:val="center"/>
                  </w:pPr>
                  <w:r>
                    <w:t xml:space="preserve">portão G3</w:t>
                  </w:r>
                </w:p>
              </w:tc>
              <w:tc>
                <w:tcPr/>
                <w:p>
                  <w:pPr>
                    <w:pStyle w:val="Compact"/>
                    <w:jc w:val="center"/>
                  </w:pPr>
                  <w:r>
                    <w:t xml:space="preserve">confirmar o G3</w:t>
                  </w:r>
                </w:p>
              </w:tc>
              <w:tc>
                <w:tcPr/>
                <w:p>
                  <w:pPr>
                    <w:pStyle w:val="Compact"/>
                    <w:jc w:val="center"/>
                  </w:pPr>
                  <w:r>
                    <w:rPr>
                      <w:rStyle w:val="VerbatimChar"/>
                    </w:rPr>
                    <w:t xml:space="preserve">README.md</w:t>
                  </w:r>
                  <w:r>
                    <w:t xml:space="preserve">, seção dos portões</w:t>
                  </w:r>
                </w:p>
              </w:tc>
              <w:tc>
                <w:tcPr/>
                <w:p>
                  <w:pPr>
                    <w:pStyle w:val="Compact"/>
                    <w:jc w:val="center"/>
                  </w:pPr>
                  <w:r>
                    <w:t xml:space="preserve">5 min</w:t>
                  </w:r>
                </w:p>
              </w:tc>
            </w:tr>
            <w:tr>
              <w:tc>
                <w:tcPr/>
                <w:p>
                  <w:pPr>
                    <w:pStyle w:val="Compact"/>
                    <w:jc w:val="center"/>
                  </w:pPr>
                  <w:r>
                    <w:t xml:space="preserve">P019</w:t>
                  </w:r>
                </w:p>
              </w:tc>
              <w:tc>
                <w:tcPr/>
                <w:p>
                  <w:pPr>
                    <w:pStyle w:val="Compact"/>
                    <w:jc w:val="center"/>
                  </w:pPr>
                  <w:r>
                    <w:t xml:space="preserve">organização</w:t>
                  </w:r>
                </w:p>
              </w:tc>
              <w:tc>
                <w:tcPr/>
                <w:p>
                  <w:pPr>
                    <w:pStyle w:val="Compact"/>
                    <w:jc w:val="center"/>
                  </w:pPr>
                  <w:r>
                    <w:t xml:space="preserve">145 pares candidatos de duplicata, com sugestão da IA por par</w:t>
                  </w:r>
                </w:p>
              </w:tc>
              <w:tc>
                <w:tcPr/>
                <w:p>
                  <w:pPr>
                    <w:pStyle w:val="Compact"/>
                    <w:jc w:val="center"/>
                  </w:pPr>
                  <w:r>
                    <w:rPr>
                      <w:rStyle w:val="VerbatimChar"/>
                    </w:rPr>
                    <w:t xml:space="preserve">P019_dedup/</w:t>
                  </w:r>
                </w:p>
              </w:tc>
              <w:tc>
                <w:tcPr/>
                <w:p>
                  <w:pPr>
                    <w:pStyle w:val="Compact"/>
                    <w:jc w:val="center"/>
                  </w:pPr>
                  <w:r>
                    <w:t xml:space="preserve">1 a 1,5 h</w:t>
                  </w:r>
                </w:p>
              </w:tc>
            </w:tr>
            <w:tr>
              <w:tc>
                <w:tcPr/>
                <w:p>
                  <w:pPr>
                    <w:pStyle w:val="Compact"/>
                    <w:jc w:val="center"/>
                  </w:pPr>
                  <w:r>
                    <w:t xml:space="preserve">P020</w:t>
                  </w:r>
                </w:p>
              </w:tc>
              <w:tc>
                <w:tcPr/>
                <w:p>
                  <w:pPr>
                    <w:pStyle w:val="Compact"/>
                    <w:jc w:val="center"/>
                  </w:pPr>
                  <w:r>
                    <w:t xml:space="preserve">triagem T/A</w:t>
                  </w:r>
                </w:p>
              </w:tc>
              <w:tc>
                <w:tcPr/>
                <w:p>
                  <w:pPr>
                    <w:pStyle w:val="Compact"/>
                    <w:jc w:val="center"/>
                  </w:pPr>
                  <w:r>
                    <w:t xml:space="preserve">81 divergências entre os triadores A e B, com sugestão de um terceiro leitor cego</w:t>
                  </w:r>
                </w:p>
              </w:tc>
              <w:tc>
                <w:tcPr/>
                <w:p>
                  <w:pPr>
                    <w:pStyle w:val="Compact"/>
                    <w:jc w:val="center"/>
                  </w:pPr>
                  <w:r>
                    <w:rPr>
                      <w:rStyle w:val="VerbatimChar"/>
                    </w:rPr>
                    <w:t xml:space="preserve">P020_triagem/</w:t>
                  </w:r>
                </w:p>
              </w:tc>
              <w:tc>
                <w:tcPr/>
                <w:p>
                  <w:pPr>
                    <w:pStyle w:val="Compact"/>
                    <w:jc w:val="center"/>
                  </w:pPr>
                  <w:r>
                    <w:t xml:space="preserve">1 h</w:t>
                  </w:r>
                </w:p>
              </w:tc>
            </w:tr>
            <w:tr>
              <w:tc>
                <w:tcPr/>
                <w:p>
                  <w:pPr>
                    <w:pStyle w:val="Compact"/>
                    <w:jc w:val="center"/>
                  </w:pPr>
                  <w:r>
                    <w:t xml:space="preserve">P006</w:t>
                  </w:r>
                </w:p>
              </w:tc>
              <w:tc>
                <w:tcPr/>
                <w:p>
                  <w:pPr>
                    <w:pStyle w:val="Compact"/>
                    <w:jc w:val="center"/>
                  </w:pPr>
                  <w:r>
                    <w:t xml:space="preserve">triagem T/A</w:t>
                  </w:r>
                </w:p>
              </w:tc>
              <w:tc>
                <w:tcPr/>
                <w:p>
                  <w:pPr>
                    <w:pStyle w:val="Compact"/>
                    <w:jc w:val="center"/>
                  </w:pPr>
                  <w:r>
                    <w:t xml:space="preserve">amostra de validação cega: 141 registros, dois codificadores</w:t>
                  </w:r>
                </w:p>
              </w:tc>
              <w:tc>
                <w:tcPr/>
                <w:p>
                  <w:pPr>
                    <w:pStyle w:val="Compact"/>
                    <w:jc w:val="center"/>
                  </w:pPr>
                  <w:r>
                    <w:rPr>
                      <w:rStyle w:val="VerbatimChar"/>
                    </w:rPr>
                    <w:t xml:space="preserve">P006_P007_validacao/</w:t>
                  </w:r>
                </w:p>
              </w:tc>
              <w:tc>
                <w:tcPr/>
                <w:p>
                  <w:pPr>
                    <w:pStyle w:val="Compact"/>
                    <w:jc w:val="center"/>
                  </w:pPr>
                  <w:r>
                    <w:t xml:space="preserve">2 × 1,5 h</w:t>
                  </w:r>
                </w:p>
              </w:tc>
            </w:tr>
            <w:tr>
              <w:tc>
                <w:tcPr/>
                <w:p>
                  <w:pPr>
                    <w:pStyle w:val="Compact"/>
                    <w:jc w:val="center"/>
                  </w:pPr>
                  <w:r>
                    <w:t xml:space="preserve">P007</w:t>
                  </w:r>
                </w:p>
              </w:tc>
              <w:tc>
                <w:tcPr/>
                <w:p>
                  <w:pPr>
                    <w:pStyle w:val="Compact"/>
                    <w:jc w:val="center"/>
                  </w:pPr>
                  <w:r>
                    <w:t xml:space="preserve">triagem T/A</w:t>
                  </w:r>
                </w:p>
              </w:tc>
              <w:tc>
                <w:tcPr/>
                <w:p>
                  <w:pPr>
                    <w:pStyle w:val="Compact"/>
                    <w:jc w:val="center"/>
                  </w:pPr>
                  <w:r>
                    <w:t xml:space="preserve">amostra de elusão cega: 300 registros excluídos pela IA</w:t>
                  </w:r>
                </w:p>
              </w:tc>
              <w:tc>
                <w:tcPr/>
                <w:p>
                  <w:pPr>
                    <w:pStyle w:val="Compact"/>
                    <w:jc w:val="center"/>
                  </w:pPr>
                  <w:r>
                    <w:rPr>
                      <w:rStyle w:val="VerbatimChar"/>
                    </w:rPr>
                    <w:t xml:space="preserve">P006_P007_validacao/</w:t>
                  </w:r>
                </w:p>
              </w:tc>
              <w:tc>
                <w:tcPr/>
                <w:p>
                  <w:pPr>
                    <w:pStyle w:val="Compact"/>
                    <w:jc w:val="center"/>
                  </w:pPr>
                  <w:r>
                    <w:t xml:space="preserve">2 h</w:t>
                  </w:r>
                </w:p>
              </w:tc>
            </w:tr>
            <w:tr>
              <w:tc>
                <w:tcPr/>
                <w:p>
                  <w:pPr>
                    <w:pStyle w:val="Compact"/>
                    <w:jc w:val="center"/>
                  </w:pPr>
                  <w:r>
                    <w:t xml:space="preserve">P008</w:t>
                  </w:r>
                </w:p>
              </w:tc>
              <w:tc>
                <w:tcPr/>
                <w:p>
                  <w:pPr>
                    <w:pStyle w:val="Compact"/>
                    <w:jc w:val="center"/>
                  </w:pPr>
                  <w:r>
                    <w:t xml:space="preserve">portão G4</w:t>
                  </w:r>
                </w:p>
              </w:tc>
              <w:tc>
                <w:tcPr/>
                <w:p>
                  <w:pPr>
                    <w:pStyle w:val="Compact"/>
                    <w:jc w:val="center"/>
                  </w:pPr>
                  <w:r>
                    <w:t xml:space="preserve">confirmar o G4</w:t>
                  </w:r>
                </w:p>
              </w:tc>
              <w:tc>
                <w:tcPr/>
                <w:p>
                  <w:pPr>
                    <w:pStyle w:val="Compact"/>
                    <w:jc w:val="center"/>
                  </w:pPr>
                  <w:r>
                    <w:rPr>
                      <w:rStyle w:val="VerbatimChar"/>
                    </w:rPr>
                    <w:t xml:space="preserve">README.md</w:t>
                  </w:r>
                  <w:r>
                    <w:t xml:space="preserve">, seção dos portões</w:t>
                  </w:r>
                </w:p>
              </w:tc>
              <w:tc>
                <w:tcPr/>
                <w:p>
                  <w:pPr>
                    <w:pStyle w:val="Compact"/>
                    <w:jc w:val="center"/>
                  </w:pPr>
                  <w:r>
                    <w:t xml:space="preserve">5 min</w:t>
                  </w:r>
                </w:p>
              </w:tc>
            </w:tr>
            <w:tr>
              <w:tc>
                <w:tcPr/>
                <w:p>
                  <w:pPr>
                    <w:pStyle w:val="Compact"/>
                    <w:jc w:val="center"/>
                  </w:pPr>
                  <w:r>
                    <w:t xml:space="preserve">P041</w:t>
                  </w:r>
                </w:p>
              </w:tc>
              <w:tc>
                <w:tcPr/>
                <w:p>
                  <w:pPr>
                    <w:pStyle w:val="Compact"/>
                    <w:jc w:val="center"/>
                  </w:pPr>
                  <w:r>
                    <w:t xml:space="preserve">texto completo</w:t>
                  </w:r>
                </w:p>
              </w:tc>
              <w:tc>
                <w:tcPr/>
                <w:p>
                  <w:pPr>
                    <w:pStyle w:val="Compact"/>
                    <w:jc w:val="center"/>
                  </w:pPr>
                  <w:r>
                    <w:t xml:space="preserve">165 decisões de elegibilidade propostas pela IA (antes P028)</w:t>
                  </w:r>
                </w:p>
              </w:tc>
              <w:tc>
                <w:tcPr/>
                <w:p>
                  <w:pPr>
                    <w:pStyle w:val="Compact"/>
                    <w:jc w:val="center"/>
                  </w:pPr>
                  <w:r>
                    <w:rPr>
                      <w:rStyle w:val="VerbatimChar"/>
                    </w:rPr>
                    <w:t xml:space="preserve">P041_elegibilidade/</w:t>
                  </w:r>
                </w:p>
              </w:tc>
              <w:tc>
                <w:tcPr/>
                <w:p>
                  <w:pPr>
                    <w:pStyle w:val="Compact"/>
                    <w:jc w:val="center"/>
                  </w:pPr>
                  <w:r>
                    <w:t xml:space="preserve">3 a 4 h</w:t>
                  </w:r>
                </w:p>
              </w:tc>
            </w:tr>
            <w:tr>
              <w:tc>
                <w:tcPr/>
                <w:p>
                  <w:pPr>
                    <w:pStyle w:val="Compact"/>
                    <w:jc w:val="center"/>
                  </w:pPr>
                  <w:r>
                    <w:t xml:space="preserve">P023</w:t>
                  </w:r>
                </w:p>
              </w:tc>
              <w:tc>
                <w:tcPr/>
                <w:p>
                  <w:pPr>
                    <w:pStyle w:val="Compact"/>
                    <w:jc w:val="center"/>
                  </w:pPr>
                  <w:r>
                    <w:t xml:space="preserve">portão G5</w:t>
                  </w:r>
                </w:p>
              </w:tc>
              <w:tc>
                <w:tcPr/>
                <w:p>
                  <w:pPr>
                    <w:pStyle w:val="Compact"/>
                    <w:jc w:val="center"/>
                  </w:pPr>
                  <w:r>
                    <w:t xml:space="preserve">confirmar o G5</w:t>
                  </w:r>
                </w:p>
              </w:tc>
              <w:tc>
                <w:tcPr/>
                <w:p>
                  <w:pPr>
                    <w:pStyle w:val="Compact"/>
                    <w:jc w:val="center"/>
                  </w:pPr>
                  <w:r>
                    <w:rPr>
                      <w:rStyle w:val="VerbatimChar"/>
                    </w:rPr>
                    <w:t xml:space="preserve">README.md</w:t>
                  </w:r>
                  <w:r>
                    <w:t xml:space="preserve">, seção dos portões</w:t>
                  </w:r>
                </w:p>
              </w:tc>
              <w:tc>
                <w:tcPr/>
                <w:p>
                  <w:pPr>
                    <w:pStyle w:val="Compact"/>
                    <w:jc w:val="center"/>
                  </w:pPr>
                  <w:r>
                    <w:t xml:space="preserve">5 min</w:t>
                  </w:r>
                </w:p>
              </w:tc>
            </w:tr>
            <w:tr>
              <w:tc>
                <w:tcPr/>
                <w:p>
                  <w:pPr>
                    <w:pStyle w:val="Compact"/>
                    <w:jc w:val="center"/>
                  </w:pPr>
                  <w:r>
                    <w:t xml:space="preserve">P025</w:t>
                  </w:r>
                </w:p>
              </w:tc>
              <w:tc>
                <w:tcPr/>
                <w:p>
                  <w:pPr>
                    <w:pStyle w:val="Compact"/>
                    <w:jc w:val="center"/>
                  </w:pPr>
                  <w:r>
                    <w:t xml:space="preserve">piloto</w:t>
                  </w:r>
                </w:p>
              </w:tc>
              <w:tc>
                <w:tcPr/>
                <w:p>
                  <w:pPr>
                    <w:pStyle w:val="Compact"/>
                    <w:jc w:val="center"/>
                  </w:pPr>
                  <w:r>
                    <w:t xml:space="preserve">conferir os 3 estudos do piloto</w:t>
                  </w:r>
                </w:p>
              </w:tc>
              <w:tc>
                <w:tcPr/>
                <w:p>
                  <w:pPr>
                    <w:pStyle w:val="Compact"/>
                    <w:jc w:val="center"/>
                  </w:pPr>
                  <w:r>
                    <w:rPr>
                      <w:rStyle w:val="VerbatimChar"/>
                    </w:rPr>
                    <w:t xml:space="preserve">P025_piloto/</w:t>
                  </w:r>
                </w:p>
              </w:tc>
              <w:tc>
                <w:tcPr/>
                <w:p>
                  <w:pPr>
                    <w:pStyle w:val="Compact"/>
                    <w:jc w:val="center"/>
                  </w:pPr>
                  <w:r>
                    <w:t xml:space="preserve">1 h</w:t>
                  </w:r>
                </w:p>
              </w:tc>
            </w:tr>
            <w:tr>
              <w:tc>
                <w:tcPr/>
                <w:p>
                  <w:pPr>
                    <w:pStyle w:val="Compact"/>
                    <w:jc w:val="center"/>
                  </w:pPr>
                  <w:r>
                    <w:t xml:space="preserve">P026</w:t>
                  </w:r>
                </w:p>
              </w:tc>
              <w:tc>
                <w:tcPr/>
                <w:p>
                  <w:pPr>
                    <w:pStyle w:val="Compact"/>
                    <w:jc w:val="center"/>
                  </w:pPr>
                  <w:r>
                    <w:t xml:space="preserve">portão G6</w:t>
                  </w:r>
                </w:p>
              </w:tc>
              <w:tc>
                <w:tcPr/>
                <w:p>
                  <w:pPr>
                    <w:pStyle w:val="Compact"/>
                    <w:jc w:val="center"/>
                  </w:pPr>
                  <w:r>
                    <w:t xml:space="preserve">confirmar o G6</w:t>
                  </w:r>
                </w:p>
              </w:tc>
              <w:tc>
                <w:tcPr/>
                <w:p>
                  <w:pPr>
                    <w:pStyle w:val="Compact"/>
                    <w:jc w:val="center"/>
                  </w:pPr>
                  <w:r>
                    <w:rPr>
                      <w:rStyle w:val="VerbatimChar"/>
                    </w:rPr>
                    <w:t xml:space="preserve">README.md</w:t>
                  </w:r>
                  <w:r>
                    <w:t xml:space="preserve">, seção dos portões</w:t>
                  </w:r>
                </w:p>
              </w:tc>
              <w:tc>
                <w:tcPr/>
                <w:p>
                  <w:pPr>
                    <w:pStyle w:val="Compact"/>
                    <w:jc w:val="center"/>
                  </w:pPr>
                  <w:r>
                    <w:t xml:space="preserve">5 min</w:t>
                  </w:r>
                </w:p>
              </w:tc>
            </w:tr>
            <w:tr>
              <w:tc>
                <w:tcPr/>
                <w:p>
                  <w:pPr>
                    <w:pStyle w:val="Compact"/>
                    <w:jc w:val="center"/>
                  </w:pPr>
                  <w:r>
                    <w:t xml:space="preserve">P039</w:t>
                  </w:r>
                </w:p>
              </w:tc>
              <w:tc>
                <w:tcPr/>
                <w:p>
                  <w:pPr>
                    <w:pStyle w:val="Compact"/>
                    <w:jc w:val="center"/>
                  </w:pPr>
                  <w:r>
                    <w:t xml:space="preserve">extração</w:t>
                  </w:r>
                </w:p>
              </w:tc>
              <w:tc>
                <w:tcPr/>
                <w:p>
                  <w:pPr>
                    <w:pStyle w:val="Compact"/>
                    <w:jc w:val="center"/>
                  </w:pPr>
                  <w:r>
                    <w:t xml:space="preserve">conferir os 560 efeitos na página do PDF (antes P032). Comece pelos principais e pelos pontos que os árbitros levantaram</w:t>
                  </w:r>
                </w:p>
              </w:tc>
              <w:tc>
                <w:tcPr/>
                <w:p>
                  <w:pPr>
                    <w:pStyle w:val="Compact"/>
                    <w:jc w:val="center"/>
                  </w:pPr>
                  <w:r>
                    <w:rPr>
                      <w:rStyle w:val="VerbatimChar"/>
                    </w:rPr>
                    <w:t xml:space="preserve">efeitos/</w:t>
                  </w:r>
                </w:p>
              </w:tc>
              <w:tc>
                <w:tcPr/>
                <w:p>
                  <w:pPr>
                    <w:pStyle w:val="Compact"/>
                    <w:jc w:val="center"/>
                  </w:pPr>
                  <w:r>
                    <w:t xml:space="preserve">6 a 10 h</w:t>
                  </w:r>
                </w:p>
              </w:tc>
            </w:tr>
            <w:tr>
              <w:tc>
                <w:tcPr/>
                <w:p>
                  <w:pPr>
                    <w:pStyle w:val="Compact"/>
                    <w:jc w:val="center"/>
                  </w:pPr>
                  <w:r>
                    <w:t xml:space="preserve">P037</w:t>
                  </w:r>
                </w:p>
              </w:tc>
              <w:tc>
                <w:tcPr/>
                <w:p>
                  <w:pPr>
                    <w:pStyle w:val="Compact"/>
                    <w:jc w:val="center"/>
                  </w:pPr>
                  <w:r>
                    <w:t xml:space="preserve">extração</w:t>
                  </w:r>
                </w:p>
              </w:tc>
              <w:tc>
                <w:tcPr/>
                <w:p>
                  <w:pPr>
                    <w:pStyle w:val="Compact"/>
                    <w:jc w:val="center"/>
                  </w:pPr>
                  <w:r>
                    <w:t xml:space="preserve">259 divergências da recodificação cega, com sugestão de um terceiro leitor</w:t>
                  </w:r>
                </w:p>
              </w:tc>
              <w:tc>
                <w:tcPr/>
                <w:p>
                  <w:pPr>
                    <w:pStyle w:val="Compact"/>
                    <w:jc w:val="center"/>
                  </w:pPr>
                  <w:r>
                    <w:rPr>
                      <w:rStyle w:val="VerbatimChar"/>
                    </w:rPr>
                    <w:t xml:space="preserve">P037_concordancia/</w:t>
                  </w:r>
                </w:p>
              </w:tc>
              <w:tc>
                <w:tcPr/>
                <w:p>
                  <w:pPr>
                    <w:pStyle w:val="Compact"/>
                    <w:jc w:val="center"/>
                  </w:pPr>
                  <w:r>
                    <w:t xml:space="preserve">2 a 3 h</w:t>
                  </w:r>
                </w:p>
              </w:tc>
            </w:tr>
            <w:tr>
              <w:tc>
                <w:tcPr/>
                <w:p>
                  <w:pPr>
                    <w:pStyle w:val="Compact"/>
                    <w:jc w:val="center"/>
                  </w:pPr>
                  <w:r>
                    <w:t xml:space="preserve">P033</w:t>
                  </w:r>
                </w:p>
              </w:tc>
              <w:tc>
                <w:tcPr/>
                <w:p>
                  <w:pPr>
                    <w:pStyle w:val="Compact"/>
                    <w:jc w:val="center"/>
                  </w:pPr>
                  <w:r>
                    <w:t xml:space="preserve">portão G7 e RoB</w:t>
                  </w:r>
                </w:p>
              </w:tc>
              <w:tc>
                <w:tcPr/>
                <w:p>
                  <w:pPr>
                    <w:pStyle w:val="Compact"/>
                    <w:jc w:val="center"/>
                  </w:pPr>
                  <w:r>
                    <w:t xml:space="preserve">validar os 259 domínios de RoB (88 desacordos primeiro)</w:t>
                  </w:r>
                </w:p>
              </w:tc>
              <w:tc>
                <w:tcPr/>
                <w:p>
                  <w:pPr>
                    <w:pStyle w:val="Compact"/>
                    <w:jc w:val="center"/>
                  </w:pPr>
                  <w:r>
                    <w:rPr>
                      <w:rStyle w:val="VerbatimChar"/>
                    </w:rPr>
                    <w:t xml:space="preserve">P033_rob/</w:t>
                  </w:r>
                </w:p>
              </w:tc>
              <w:tc>
                <w:tcPr/>
                <w:p>
                  <w:pPr>
                    <w:pStyle w:val="Compact"/>
                    <w:jc w:val="center"/>
                  </w:pPr>
                  <w:r>
                    <w:t xml:space="preserve">4 a 6 h</w:t>
                  </w:r>
                </w:p>
              </w:tc>
            </w:tr>
            <w:tr>
              <w:tc>
                <w:tcPr/>
                <w:p>
                  <w:pPr>
                    <w:pStyle w:val="Compact"/>
                    <w:jc w:val="center"/>
                  </w:pPr>
                  <w:r>
                    <w:t xml:space="preserve">P036</w:t>
                  </w:r>
                </w:p>
              </w:tc>
              <w:tc>
                <w:tcPr/>
                <w:p>
                  <w:pPr>
                    <w:pStyle w:val="Compact"/>
                    <w:jc w:val="center"/>
                  </w:pPr>
                  <w:r>
                    <w:t xml:space="preserve">síntese</w:t>
                  </w:r>
                </w:p>
              </w:tc>
              <w:tc>
                <w:tcPr/>
                <w:p>
                  <w:pPr>
                    <w:pStyle w:val="Compact"/>
                    <w:jc w:val="center"/>
                  </w:pPr>
                  <w:r>
                    <w:t xml:space="preserve">validar os juízos GRADE. A P042 foi aberta pelo</w:t>
                  </w:r>
                  <w:r>
                    <w:t xml:space="preserve"> </w:t>
                  </w:r>
                  <w:r>
                    <w:rPr>
                      <w:rStyle w:val="VerbatimChar"/>
                    </w:rPr>
                    <w:t xml:space="preserve">rs caixa</w:t>
                  </w:r>
                  <w:r>
                    <w:t xml:space="preserve"> </w:t>
                  </w:r>
                  <w:r>
                    <w:t xml:space="preserve">em 24/09 e pede o mesmo</w:t>
                  </w:r>
                </w:p>
              </w:tc>
              <w:tc>
                <w:tcPr/>
                <w:p>
                  <w:pPr>
                    <w:pStyle w:val="Compact"/>
                    <w:jc w:val="center"/>
                  </w:pPr>
                  <w:r>
                    <w:rPr>
                      <w:rStyle w:val="VerbatimChar"/>
                    </w:rPr>
                    <w:t xml:space="preserve">P036_grade/</w:t>
                  </w:r>
                </w:p>
              </w:tc>
              <w:tc>
                <w:tcPr/>
                <w:p>
                  <w:pPr>
                    <w:pStyle w:val="Compact"/>
                    <w:jc w:val="center"/>
                  </w:pPr>
                  <w:r>
                    <w:t xml:space="preserve">1 h</w:t>
                  </w:r>
                </w:p>
              </w:tc>
            </w:tr>
            <w:tr>
              <w:tc>
                <w:tcPr/>
                <w:p>
                  <w:pPr>
                    <w:pStyle w:val="Compact"/>
                    <w:jc w:val="center"/>
                  </w:pPr>
                  <w:r>
                    <w:t xml:space="preserve">P042</w:t>
                  </w:r>
                </w:p>
              </w:tc>
              <w:tc>
                <w:tcPr/>
                <w:p>
                  <w:pPr>
                    <w:pStyle w:val="Compact"/>
                    <w:jc w:val="center"/>
                  </w:pPr>
                  <w:r>
                    <w:t xml:space="preserve">síntese</w:t>
                  </w:r>
                </w:p>
              </w:tc>
              <w:tc>
                <w:tcPr/>
                <w:p>
                  <w:pPr>
                    <w:pStyle w:val="Compact"/>
                    <w:jc w:val="center"/>
                  </w:pPr>
                  <w:r>
                    <w:t xml:space="preserve">completar a certeza (GRADE/CERQual) e os enunciados das 22 células pendentes que o</w:t>
                  </w:r>
                  <w:r>
                    <w:t xml:space="preserve"> </w:t>
                  </w:r>
                  <w:r>
                    <w:rPr>
                      <w:rStyle w:val="VerbatimChar"/>
                    </w:rPr>
                    <w:t xml:space="preserve">rs caixa</w:t>
                  </w:r>
                  <w:r>
                    <w:t xml:space="preserve"> </w:t>
                  </w:r>
                  <w:r>
                    <w:t xml:space="preserve">apontou; na prática, pede a mesma validação da P036</w:t>
                  </w:r>
                </w:p>
              </w:tc>
              <w:tc>
                <w:tcPr/>
                <w:p>
                  <w:pPr>
                    <w:pStyle w:val="Compact"/>
                    <w:jc w:val="center"/>
                  </w:pPr>
                  <w:r>
                    <w:rPr>
                      <w:rStyle w:val="VerbatimChar"/>
                    </w:rPr>
                    <w:t xml:space="preserve">P036_grade/</w:t>
                  </w:r>
                </w:p>
              </w:tc>
              <w:tc>
                <w:tcPr/>
                <w:p>
                  <w:pPr>
                    <w:pStyle w:val="Compact"/>
                    <w:jc w:val="center"/>
                  </w:pPr>
                  <w:r>
                    <w:t xml:space="preserve">1 h</w:t>
                  </w:r>
                </w:p>
              </w:tc>
            </w:tr>
            <w:tr>
              <w:tc>
                <w:tcPr/>
                <w:p>
                  <w:pPr>
                    <w:pStyle w:val="Compact"/>
                    <w:jc w:val="center"/>
                  </w:pPr>
                  <w:r>
                    <w:t xml:space="preserve">P035</w:t>
                  </w:r>
                </w:p>
              </w:tc>
              <w:tc>
                <w:tcPr/>
                <w:p>
                  <w:pPr>
                    <w:pStyle w:val="Compact"/>
                    <w:jc w:val="center"/>
                  </w:pPr>
                  <w:r>
                    <w:t xml:space="preserve">portão G8</w:t>
                  </w:r>
                </w:p>
              </w:tc>
              <w:tc>
                <w:tcPr/>
                <w:p>
                  <w:pPr>
                    <w:pStyle w:val="Compact"/>
                    <w:jc w:val="center"/>
                  </w:pPr>
                  <w:r>
                    <w:t xml:space="preserve">confirmar o G8</w:t>
                  </w:r>
                </w:p>
              </w:tc>
              <w:tc>
                <w:tcPr/>
                <w:p>
                  <w:pPr>
                    <w:pStyle w:val="Compact"/>
                    <w:jc w:val="center"/>
                  </w:pPr>
                  <w:r>
                    <w:rPr>
                      <w:rStyle w:val="VerbatimChar"/>
                    </w:rPr>
                    <w:t xml:space="preserve">README.md</w:t>
                  </w:r>
                  <w:r>
                    <w:t xml:space="preserve">, seção dos portões</w:t>
                  </w:r>
                </w:p>
              </w:tc>
              <w:tc>
                <w:tcPr/>
                <w:p>
                  <w:pPr>
                    <w:pStyle w:val="Compact"/>
                    <w:jc w:val="center"/>
                  </w:pPr>
                  <w:r>
                    <w:t xml:space="preserve">5 min</w:t>
                  </w:r>
                </w:p>
              </w:tc>
            </w:tr>
            <w:tr>
              <w:tc>
                <w:tcPr/>
                <w:p>
                  <w:pPr>
                    <w:pStyle w:val="Compact"/>
                    <w:jc w:val="center"/>
                  </w:pPr>
                  <w:r>
                    <w:t xml:space="preserve">P038</w:t>
                  </w:r>
                </w:p>
              </w:tc>
              <w:tc>
                <w:tcPr/>
                <w:p>
                  <w:pPr>
                    <w:pStyle w:val="Compact"/>
                    <w:jc w:val="center"/>
                  </w:pPr>
                  <w:r>
                    <w:t xml:space="preserve">portão G9</w:t>
                  </w:r>
                </w:p>
              </w:tc>
              <w:tc>
                <w:tcPr/>
                <w:p>
                  <w:pPr>
                    <w:pStyle w:val="Compact"/>
                    <w:jc w:val="center"/>
                  </w:pPr>
                  <w:r>
                    <w:t xml:space="preserve">ler o manuscrito e confirmar o G9</w:t>
                  </w:r>
                </w:p>
              </w:tc>
              <w:tc>
                <w:tcPr/>
                <w:p>
                  <w:pPr>
                    <w:pStyle w:val="Compact"/>
                    <w:jc w:val="center"/>
                  </w:pPr>
                  <w:r>
                    <w:rPr>
                      <w:rStyle w:val="VerbatimChar"/>
                    </w:rPr>
                    <w:t xml:space="preserve">07-relatorio/relatorio.html</w:t>
                  </w:r>
                </w:p>
              </w:tc>
              <w:tc>
                <w:tcPr/>
                <w:p>
                  <w:pPr>
                    <w:pStyle w:val="Compact"/>
                    <w:jc w:val="center"/>
                  </w:pPr>
                  <w:r>
                    <w:t xml:space="preserve">2 h</w:t>
                  </w:r>
                </w:p>
              </w:tc>
            </w:tr>
          </w:tbl>
          <w:bookmarkEnd w:id="200"/>
          <w:p/>
        </w:tc>
      </w:tr>
    </w:tbl>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Tramitação na Câmara dos Deputados, consultada em 24/09/2026:</w:t>
      </w:r>
      <w:r>
        <w:t xml:space="preserve"> </w:t>
      </w:r>
      <w:hyperlink r:id="rId24">
        <w:r>
          <w:rPr>
            <w:rStyle w:val="Hyperlink"/>
          </w:rPr>
          <w:t xml:space="preserve">https://dadosabertos.camara.leg.br/api/v2/proposicoes/491042</w:t>
        </w:r>
      </w:hyperlink>
      <w:r>
        <w:t xml:space="preserve">.</w:t>
      </w:r>
    </w:p>
  </w:footnote>
  <w:footnote w:id="29">
    <w:p>
      <w:pPr>
        <w:pStyle w:val="FootnoteText"/>
      </w:pPr>
      <w:r>
        <w:rPr>
          <w:rStyle w:val="FootnoteReference"/>
        </w:rPr>
        <w:footnoteRef/>
      </w:r>
      <w:r>
        <w:t xml:space="preserve"> </w:t>
      </w:r>
      <w:r>
        <w:t xml:space="preserve">Revisões</w:t>
      </w:r>
      <w:r>
        <w:t xml:space="preserve"> </w:t>
      </w:r>
      <w:r>
        <w:rPr>
          <w:i/>
          <w:iCs/>
        </w:rPr>
        <w:t xml:space="preserve">O que funciona?</w:t>
      </w:r>
      <w:r>
        <w:t xml:space="preserve"> </w:t>
      </w:r>
      <w:r>
        <w:t xml:space="preserve">do Laboratório de Monitoramento e Avaliação de Políticas e Eleições (MAPE, IESP-UERJ), com a proposta metodológica de Schaefer, Borges e Freitas (2025):</w:t>
      </w:r>
      <w:r>
        <w:t xml:space="preserve"> </w:t>
      </w:r>
      <w:hyperlink r:id="rId30">
        <w:r>
          <w:rPr>
            <w:rStyle w:val="Hyperlink"/>
          </w:rPr>
          <w:t xml:space="preserve">https://mape.org.br/oqf/</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73" Target="media/rId73.png"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hyperlink" Id="rId24" Target="https://dadosabertos.camara.leg.br/api/v2/proposicoes/491042" TargetMode="External" /><Relationship Type="http://schemas.openxmlformats.org/officeDocument/2006/relationships/hyperlink" Id="rId188" Target="https://doi.org/10.1007/s10683-015-9443-2" TargetMode="External" /><Relationship Type="http://schemas.openxmlformats.org/officeDocument/2006/relationships/hyperlink" Id="rId190" Target="https://doi.org/10.1007/s11615-022-00417-3" TargetMode="External" /><Relationship Type="http://schemas.openxmlformats.org/officeDocument/2006/relationships/hyperlink" Id="rId171" Target="https://doi.org/10.1016/j.electstud.2023.102692" TargetMode="External" /><Relationship Type="http://schemas.openxmlformats.org/officeDocument/2006/relationships/hyperlink" Id="rId165" Target="https://doi.org/10.1016/j.euroecorev.2015.03.012" TargetMode="External" /><Relationship Type="http://schemas.openxmlformats.org/officeDocument/2006/relationships/hyperlink" Id="rId139" Target="https://doi.org/10.1017/ipo.2015.3" TargetMode="External" /><Relationship Type="http://schemas.openxmlformats.org/officeDocument/2006/relationships/hyperlink" Id="rId112" Target="https://doi.org/10.1017/pan.2020.50" TargetMode="External" /><Relationship Type="http://schemas.openxmlformats.org/officeDocument/2006/relationships/hyperlink" Id="rId104" Target="https://doi.org/10.1017/s000712342100034x" TargetMode="External" /><Relationship Type="http://schemas.openxmlformats.org/officeDocument/2006/relationships/hyperlink" Id="rId167" Target="https://doi.org/10.1057/9780230374959_11" TargetMode="External" /><Relationship Type="http://schemas.openxmlformats.org/officeDocument/2006/relationships/hyperlink" Id="rId141" Target="https://doi.org/10.1057/s41269-018-0089-x" TargetMode="External" /><Relationship Type="http://schemas.openxmlformats.org/officeDocument/2006/relationships/hyperlink" Id="rId194" Target="https://doi.org/10.1086/708682" TargetMode="External" /><Relationship Type="http://schemas.openxmlformats.org/officeDocument/2006/relationships/hyperlink" Id="rId126" Target="https://doi.org/10.1093/ijpor/edaa008" TargetMode="External" /><Relationship Type="http://schemas.openxmlformats.org/officeDocument/2006/relationships/hyperlink" Id="rId135" Target="https://doi.org/10.1093/ijpor/edae041" TargetMode="External" /><Relationship Type="http://schemas.openxmlformats.org/officeDocument/2006/relationships/hyperlink" Id="rId159" Target="https://doi.org/10.1093/ijpor/edu041" TargetMode="External" /><Relationship Type="http://schemas.openxmlformats.org/officeDocument/2006/relationships/hyperlink" Id="rId177" Target="https://doi.org/10.1093/ijpor/edw018" TargetMode="External" /><Relationship Type="http://schemas.openxmlformats.org/officeDocument/2006/relationships/hyperlink" Id="rId114" Target="https://doi.org/10.1093/jeea/jvad038" TargetMode="External" /><Relationship Type="http://schemas.openxmlformats.org/officeDocument/2006/relationships/hyperlink" Id="rId100" Target="https://doi.org/10.1093/jeea/jvx023" TargetMode="External" /><Relationship Type="http://schemas.openxmlformats.org/officeDocument/2006/relationships/hyperlink" Id="rId155" Target="https://doi.org/10.1093/poq/nfv036" TargetMode="External" /><Relationship Type="http://schemas.openxmlformats.org/officeDocument/2006/relationships/hyperlink" Id="rId137" Target="https://doi.org/10.1111/ajps.12441" TargetMode="External" /><Relationship Type="http://schemas.openxmlformats.org/officeDocument/2006/relationships/hyperlink" Id="rId128" Target="https://doi.org/10.1111/ajps.12722" TargetMode="External" /><Relationship Type="http://schemas.openxmlformats.org/officeDocument/2006/relationships/hyperlink" Id="rId161" Target="https://doi.org/10.1111/j.1475-6765.2010.01986.x" TargetMode="External" /><Relationship Type="http://schemas.openxmlformats.org/officeDocument/2006/relationships/hyperlink" Id="rId147" Target="https://doi.org/10.1111/j.1540-5907.2010.00455.x" TargetMode="External" /><Relationship Type="http://schemas.openxmlformats.org/officeDocument/2006/relationships/hyperlink" Id="rId153" Target="https://doi.org/10.1111/jpet.12274" TargetMode="External" /><Relationship Type="http://schemas.openxmlformats.org/officeDocument/2006/relationships/hyperlink" Id="rId175" Target="https://doi.org/10.1177/1465116519837351" TargetMode="External" /><Relationship Type="http://schemas.openxmlformats.org/officeDocument/2006/relationships/hyperlink" Id="rId106" Target="https://doi.org/10.1177/1478929919870691" TargetMode="External" /><Relationship Type="http://schemas.openxmlformats.org/officeDocument/2006/relationships/hyperlink" Id="rId151" Target="https://doi.org/10.1184/r1/9338318.v1" TargetMode="External" /><Relationship Type="http://schemas.openxmlformats.org/officeDocument/2006/relationships/hyperlink" Id="rId143" Target="https://doi.org/10.1257/app.20180574" TargetMode="External" /><Relationship Type="http://schemas.openxmlformats.org/officeDocument/2006/relationships/hyperlink" Id="rId133" Target="https://doi.org/10.13140/rg.2.1.3580.3125" TargetMode="External" /><Relationship Type="http://schemas.openxmlformats.org/officeDocument/2006/relationships/hyperlink" Id="rId120" Target="https://doi.org/10.14201/rlop.29606" TargetMode="External" /><Relationship Type="http://schemas.openxmlformats.org/officeDocument/2006/relationships/hyperlink" Id="rId122" Target="https://doi.org/10.1515/wps-2016-0012" TargetMode="External" /><Relationship Type="http://schemas.openxmlformats.org/officeDocument/2006/relationships/hyperlink" Id="rId169" Target="https://doi.org/10.1590/1807-019120243011" TargetMode="External" /><Relationship Type="http://schemas.openxmlformats.org/officeDocument/2006/relationships/hyperlink" Id="rId163" Target="https://doi.org/10.1590/s0103-4014.2022.36106.007" TargetMode="External" /><Relationship Type="http://schemas.openxmlformats.org/officeDocument/2006/relationships/hyperlink" Id="rId118" Target="https://doi.org/10.2139/ssrn.3332196" TargetMode="External" /><Relationship Type="http://schemas.openxmlformats.org/officeDocument/2006/relationships/hyperlink" Id="rId192" Target="https://doi.org/10.2139/ssrn.3448172" TargetMode="External" /><Relationship Type="http://schemas.openxmlformats.org/officeDocument/2006/relationships/hyperlink" Id="rId108" Target="https://doi.org/10.2139/ssrn.3644952" TargetMode="External" /><Relationship Type="http://schemas.openxmlformats.org/officeDocument/2006/relationships/hyperlink" Id="rId102" Target="https://doi.org/10.2139/ssrn.4803850" TargetMode="External" /><Relationship Type="http://schemas.openxmlformats.org/officeDocument/2006/relationships/hyperlink" Id="rId124" Target="https://doi.org/10.31219/osf.io/mwg7u" TargetMode="External" /><Relationship Type="http://schemas.openxmlformats.org/officeDocument/2006/relationships/hyperlink" Id="rId186" Target="https://doi.org/10.3390/g4040624" TargetMode="External" /><Relationship Type="http://schemas.openxmlformats.org/officeDocument/2006/relationships/hyperlink" Id="rId145" Target="https://doi.org/10.3917/reco.pr2.0188" TargetMode="External" /><Relationship Type="http://schemas.openxmlformats.org/officeDocument/2006/relationships/hyperlink" Id="rId149" Target="https://doi.org/10.4135/9781848607910.n48" TargetMode="External" /><Relationship Type="http://schemas.openxmlformats.org/officeDocument/2006/relationships/hyperlink" Id="rId157" Target="https://doi.org/10.5964/jspp.9241" TargetMode="External" /><Relationship Type="http://schemas.openxmlformats.org/officeDocument/2006/relationships/hyperlink" Id="rId181" Target="https://doi.org/10.65109/dngc7810" TargetMode="External" /><Relationship Type="http://schemas.openxmlformats.org/officeDocument/2006/relationships/hyperlink" Id="rId95" Target="https://felipelamarca.com/pesquisas-eleitorais-rs/" TargetMode="External" /><Relationship Type="http://schemas.openxmlformats.org/officeDocument/2006/relationships/hyperlink" Id="rId96" Target="https://felipelamarca.com/pesquisas-eleitorais-rs/relatorio-tecnico.html" TargetMode="External" /><Relationship Type="http://schemas.openxmlformats.org/officeDocument/2006/relationships/hyperlink" Id="rId199" Target="https://felipelamarca.com/pesquisas-eleitorais-rs/revisao-humana.html" TargetMode="External" /><Relationship Type="http://schemas.openxmlformats.org/officeDocument/2006/relationships/hyperlink" Id="rId30" Target="https://mape.org.br/oqf/" TargetMode="External" /><Relationship Type="http://schemas.openxmlformats.org/officeDocument/2006/relationships/hyperlink" Id="rId179" Target="https://noticias.stf.jus.br/postsnoticias/direto-do-plenario-stf-declara-inconstitucional-em-parte-lei-que-regula-campanhas-politicas/" TargetMode="External" /><Relationship Type="http://schemas.openxmlformats.org/officeDocument/2006/relationships/hyperlink" Id="rId131" Target="https://ropercenter.cornell.edu/sites/default/files/freedom-to-conduct-and-publish-opinion-polls-july-2023.pdf" TargetMode="External" /><Relationship Type="http://schemas.openxmlformats.org/officeDocument/2006/relationships/hyperlink" Id="rId184" Target="https://sintse.tse.jus.br/documentos/2022/Mar/7/diario-da-justica-eletronico-tse-edicao-extraordinaria/republicacao-resolucao-no-23-600-de-12-de-dezembro-de-2019-dispoe-sobre-pesquisas-eleitorais" TargetMode="External" /><Relationship Type="http://schemas.openxmlformats.org/officeDocument/2006/relationships/hyperlink" Id="rId116" Target="https://www.camara.leg.br/proposicoesWeb/fichadetramitacao?idProposicao=2335321" TargetMode="External" /><Relationship Type="http://schemas.openxmlformats.org/officeDocument/2006/relationships/hyperlink" Id="rId110" Target="https://www.planalto.gov.br/ccivil_03/leis/l9504.htm" TargetMode="External" /><Relationship Type="http://schemas.openxmlformats.org/officeDocument/2006/relationships/hyperlink" Id="rId98" Target="https://www12.senado.leg.br/noticias/materias/2022/10/07/marcos-do-val-apresenta-pedido-de-criacao-de-cpi-sobre-pesquisas-eleitorais" TargetMode="External" /><Relationship Type="http://schemas.openxmlformats.org/officeDocument/2006/relationships/hyperlink" Id="rId173" Target="https://www25.senado.leg.br/web/atividade/materias/-/materia/154812" TargetMode="External" /></Relationships>
</file>

<file path=word/_rels/footnotes.xml.rels><?xml version="1.0" encoding="UTF-8"?><Relationships xmlns="http://schemas.openxmlformats.org/package/2006/relationships"><Relationship Type="http://schemas.openxmlformats.org/officeDocument/2006/relationships/hyperlink" Id="rId24" Target="https://dadosabertos.camara.leg.br/api/v2/proposicoes/491042" TargetMode="External" /><Relationship Type="http://schemas.openxmlformats.org/officeDocument/2006/relationships/hyperlink" Id="rId188" Target="https://doi.org/10.1007/s10683-015-9443-2" TargetMode="External" /><Relationship Type="http://schemas.openxmlformats.org/officeDocument/2006/relationships/hyperlink" Id="rId190" Target="https://doi.org/10.1007/s11615-022-00417-3" TargetMode="External" /><Relationship Type="http://schemas.openxmlformats.org/officeDocument/2006/relationships/hyperlink" Id="rId171" Target="https://doi.org/10.1016/j.electstud.2023.102692" TargetMode="External" /><Relationship Type="http://schemas.openxmlformats.org/officeDocument/2006/relationships/hyperlink" Id="rId165" Target="https://doi.org/10.1016/j.euroecorev.2015.03.012" TargetMode="External" /><Relationship Type="http://schemas.openxmlformats.org/officeDocument/2006/relationships/hyperlink" Id="rId139" Target="https://doi.org/10.1017/ipo.2015.3" TargetMode="External" /><Relationship Type="http://schemas.openxmlformats.org/officeDocument/2006/relationships/hyperlink" Id="rId112" Target="https://doi.org/10.1017/pan.2020.50" TargetMode="External" /><Relationship Type="http://schemas.openxmlformats.org/officeDocument/2006/relationships/hyperlink" Id="rId104" Target="https://doi.org/10.1017/s000712342100034x" TargetMode="External" /><Relationship Type="http://schemas.openxmlformats.org/officeDocument/2006/relationships/hyperlink" Id="rId167" Target="https://doi.org/10.1057/9780230374959_11" TargetMode="External" /><Relationship Type="http://schemas.openxmlformats.org/officeDocument/2006/relationships/hyperlink" Id="rId141" Target="https://doi.org/10.1057/s41269-018-0089-x" TargetMode="External" /><Relationship Type="http://schemas.openxmlformats.org/officeDocument/2006/relationships/hyperlink" Id="rId194" Target="https://doi.org/10.1086/708682" TargetMode="External" /><Relationship Type="http://schemas.openxmlformats.org/officeDocument/2006/relationships/hyperlink" Id="rId126" Target="https://doi.org/10.1093/ijpor/edaa008" TargetMode="External" /><Relationship Type="http://schemas.openxmlformats.org/officeDocument/2006/relationships/hyperlink" Id="rId135" Target="https://doi.org/10.1093/ijpor/edae041" TargetMode="External" /><Relationship Type="http://schemas.openxmlformats.org/officeDocument/2006/relationships/hyperlink" Id="rId159" Target="https://doi.org/10.1093/ijpor/edu041" TargetMode="External" /><Relationship Type="http://schemas.openxmlformats.org/officeDocument/2006/relationships/hyperlink" Id="rId177" Target="https://doi.org/10.1093/ijpor/edw018" TargetMode="External" /><Relationship Type="http://schemas.openxmlformats.org/officeDocument/2006/relationships/hyperlink" Id="rId114" Target="https://doi.org/10.1093/jeea/jvad038" TargetMode="External" /><Relationship Type="http://schemas.openxmlformats.org/officeDocument/2006/relationships/hyperlink" Id="rId100" Target="https://doi.org/10.1093/jeea/jvx023" TargetMode="External" /><Relationship Type="http://schemas.openxmlformats.org/officeDocument/2006/relationships/hyperlink" Id="rId155" Target="https://doi.org/10.1093/poq/nfv036" TargetMode="External" /><Relationship Type="http://schemas.openxmlformats.org/officeDocument/2006/relationships/hyperlink" Id="rId137" Target="https://doi.org/10.1111/ajps.12441" TargetMode="External" /><Relationship Type="http://schemas.openxmlformats.org/officeDocument/2006/relationships/hyperlink" Id="rId128" Target="https://doi.org/10.1111/ajps.12722" TargetMode="External" /><Relationship Type="http://schemas.openxmlformats.org/officeDocument/2006/relationships/hyperlink" Id="rId161" Target="https://doi.org/10.1111/j.1475-6765.2010.01986.x" TargetMode="External" /><Relationship Type="http://schemas.openxmlformats.org/officeDocument/2006/relationships/hyperlink" Id="rId147" Target="https://doi.org/10.1111/j.1540-5907.2010.00455.x" TargetMode="External" /><Relationship Type="http://schemas.openxmlformats.org/officeDocument/2006/relationships/hyperlink" Id="rId153" Target="https://doi.org/10.1111/jpet.12274" TargetMode="External" /><Relationship Type="http://schemas.openxmlformats.org/officeDocument/2006/relationships/hyperlink" Id="rId175" Target="https://doi.org/10.1177/1465116519837351" TargetMode="External" /><Relationship Type="http://schemas.openxmlformats.org/officeDocument/2006/relationships/hyperlink" Id="rId106" Target="https://doi.org/10.1177/1478929919870691" TargetMode="External" /><Relationship Type="http://schemas.openxmlformats.org/officeDocument/2006/relationships/hyperlink" Id="rId151" Target="https://doi.org/10.1184/r1/9338318.v1" TargetMode="External" /><Relationship Type="http://schemas.openxmlformats.org/officeDocument/2006/relationships/hyperlink" Id="rId143" Target="https://doi.org/10.1257/app.20180574" TargetMode="External" /><Relationship Type="http://schemas.openxmlformats.org/officeDocument/2006/relationships/hyperlink" Id="rId133" Target="https://doi.org/10.13140/rg.2.1.3580.3125" TargetMode="External" /><Relationship Type="http://schemas.openxmlformats.org/officeDocument/2006/relationships/hyperlink" Id="rId120" Target="https://doi.org/10.14201/rlop.29606" TargetMode="External" /><Relationship Type="http://schemas.openxmlformats.org/officeDocument/2006/relationships/hyperlink" Id="rId122" Target="https://doi.org/10.1515/wps-2016-0012" TargetMode="External" /><Relationship Type="http://schemas.openxmlformats.org/officeDocument/2006/relationships/hyperlink" Id="rId169" Target="https://doi.org/10.1590/1807-019120243011" TargetMode="External" /><Relationship Type="http://schemas.openxmlformats.org/officeDocument/2006/relationships/hyperlink" Id="rId163" Target="https://doi.org/10.1590/s0103-4014.2022.36106.007" TargetMode="External" /><Relationship Type="http://schemas.openxmlformats.org/officeDocument/2006/relationships/hyperlink" Id="rId118" Target="https://doi.org/10.2139/ssrn.3332196" TargetMode="External" /><Relationship Type="http://schemas.openxmlformats.org/officeDocument/2006/relationships/hyperlink" Id="rId192" Target="https://doi.org/10.2139/ssrn.3448172" TargetMode="External" /><Relationship Type="http://schemas.openxmlformats.org/officeDocument/2006/relationships/hyperlink" Id="rId108" Target="https://doi.org/10.2139/ssrn.3644952" TargetMode="External" /><Relationship Type="http://schemas.openxmlformats.org/officeDocument/2006/relationships/hyperlink" Id="rId102" Target="https://doi.org/10.2139/ssrn.4803850" TargetMode="External" /><Relationship Type="http://schemas.openxmlformats.org/officeDocument/2006/relationships/hyperlink" Id="rId124" Target="https://doi.org/10.31219/osf.io/mwg7u" TargetMode="External" /><Relationship Type="http://schemas.openxmlformats.org/officeDocument/2006/relationships/hyperlink" Id="rId186" Target="https://doi.org/10.3390/g4040624" TargetMode="External" /><Relationship Type="http://schemas.openxmlformats.org/officeDocument/2006/relationships/hyperlink" Id="rId145" Target="https://doi.org/10.3917/reco.pr2.0188" TargetMode="External" /><Relationship Type="http://schemas.openxmlformats.org/officeDocument/2006/relationships/hyperlink" Id="rId149" Target="https://doi.org/10.4135/9781848607910.n48" TargetMode="External" /><Relationship Type="http://schemas.openxmlformats.org/officeDocument/2006/relationships/hyperlink" Id="rId157" Target="https://doi.org/10.5964/jspp.9241" TargetMode="External" /><Relationship Type="http://schemas.openxmlformats.org/officeDocument/2006/relationships/hyperlink" Id="rId181" Target="https://doi.org/10.65109/dngc7810" TargetMode="External" /><Relationship Type="http://schemas.openxmlformats.org/officeDocument/2006/relationships/hyperlink" Id="rId95" Target="https://felipelamarca.com/pesquisas-eleitorais-rs/" TargetMode="External" /><Relationship Type="http://schemas.openxmlformats.org/officeDocument/2006/relationships/hyperlink" Id="rId96" Target="https://felipelamarca.com/pesquisas-eleitorais-rs/relatorio-tecnico.html" TargetMode="External" /><Relationship Type="http://schemas.openxmlformats.org/officeDocument/2006/relationships/hyperlink" Id="rId199" Target="https://felipelamarca.com/pesquisas-eleitorais-rs/revisao-humana.html" TargetMode="External" /><Relationship Type="http://schemas.openxmlformats.org/officeDocument/2006/relationships/hyperlink" Id="rId30" Target="https://mape.org.br/oqf/" TargetMode="External" /><Relationship Type="http://schemas.openxmlformats.org/officeDocument/2006/relationships/hyperlink" Id="rId179" Target="https://noticias.stf.jus.br/postsnoticias/direto-do-plenario-stf-declara-inconstitucional-em-parte-lei-que-regula-campanhas-politicas/" TargetMode="External" /><Relationship Type="http://schemas.openxmlformats.org/officeDocument/2006/relationships/hyperlink" Id="rId131" Target="https://ropercenter.cornell.edu/sites/default/files/freedom-to-conduct-and-publish-opinion-polls-july-2023.pdf" TargetMode="External" /><Relationship Type="http://schemas.openxmlformats.org/officeDocument/2006/relationships/hyperlink" Id="rId184" Target="https://sintse.tse.jus.br/documentos/2022/Mar/7/diario-da-justica-eletronico-tse-edicao-extraordinaria/republicacao-resolucao-no-23-600-de-12-de-dezembro-de-2019-dispoe-sobre-pesquisas-eleitorais" TargetMode="External" /><Relationship Type="http://schemas.openxmlformats.org/officeDocument/2006/relationships/hyperlink" Id="rId116" Target="https://www.camara.leg.br/proposicoesWeb/fichadetramitacao?idProposicao=2335321" TargetMode="External" /><Relationship Type="http://schemas.openxmlformats.org/officeDocument/2006/relationships/hyperlink" Id="rId110" Target="https://www.planalto.gov.br/ccivil_03/leis/l9504.htm" TargetMode="External" /><Relationship Type="http://schemas.openxmlformats.org/officeDocument/2006/relationships/hyperlink" Id="rId98" Target="https://www12.senado.leg.br/noticias/materias/2022/10/07/marcos-do-val-apresenta-pedido-de-criacao-de-cpi-sobre-pesquisas-eleitorais" TargetMode="External" /><Relationship Type="http://schemas.openxmlformats.org/officeDocument/2006/relationships/hyperlink" Id="rId173" Target="https://www25.senado.leg.br/web/atividade/materias/-/materia/1548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Pesquisas eleitorais publicadas mudam o voto?</dc:title>
  <dc:creator>Felipe Lamarca (MAPE/IESP-UERJ)</dc:creator>
  <dc:language>pt-BR</dc:language>
  <cp:keywords/>
  <dcterms:created xsi:type="dcterms:W3CDTF">2026-09-24T11:20:14Z</dcterms:created>
  <dcterms:modified xsi:type="dcterms:W3CDTF">2026-09-24T11:20:14Z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Revisão sistemática rápida no formato O que funciona?</vt:lpwstr>
  </property>
  <property fmtid="{D5CDD505-2E9C-101B-9397-08002B2CF9AE}" pid="12" name="toc-title">
    <vt:lpwstr>Índice</vt:lpwstr>
  </property>
</Properties>
</file>