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orpodotexto"/>
        <w:bidi w:val="0"/>
        <w:spacing w:lineRule="auto" w:line="429" w:before="0" w:after="0"/>
        <w:jc w:val="center"/>
        <w:rPr>
          <w:rFonts w:ascii="Times New Roman" w:hAnsi="Times New Roman"/>
          <w:b w:val="false"/>
          <w:i w:val="false"/>
          <w:caps w:val="false"/>
          <w:smallCaps w:val="false"/>
          <w:strike w:val="false"/>
          <w:dstrike w:val="false"/>
          <w:color w:val="000000"/>
          <w:sz w:val="24"/>
          <w:szCs w:val="24"/>
          <w:u w:val="none"/>
          <w:effect w:val="none"/>
        </w:rPr>
      </w:pPr>
      <w:bookmarkStart w:id="0" w:name="docs-internal-guid-dbfd1cab-7fff-7e2a-51"/>
      <w:bookmarkEnd w:id="0"/>
      <w:r>
        <w:rPr>
          <w:rFonts w:ascii="Times New Roman" w:hAnsi="Times New Roman"/>
          <w:b w:val="false"/>
          <w:i w:val="false"/>
          <w:caps w:val="false"/>
          <w:smallCaps w:val="false"/>
          <w:strike w:val="false"/>
          <w:dstrike w:val="false"/>
          <w:color w:val="000000"/>
          <w:sz w:val="24"/>
          <w:szCs w:val="24"/>
          <w:u w:val="none"/>
          <w:effect w:val="none"/>
        </w:rPr>
        <w:t>Cartilha de Redução de Municípios - Segunda Etapa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Introdução</w:t>
      </w:r>
    </w:p>
    <w:p>
      <w:pPr>
        <w:pStyle w:val="Corpodotexto"/>
        <w:numPr>
          <w:ilvl w:val="0"/>
          <w:numId w:val="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Distorções Causadas Pela Constituição Federal de 1988 </w:t>
      </w:r>
    </w:p>
    <w:p>
      <w:pPr>
        <w:pStyle w:val="Corpodotexto"/>
        <w:numPr>
          <w:ilvl w:val="0"/>
          <w:numId w:val="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Análise de Indicadores Socioeconômicos do Brasil Pós-1988</w:t>
      </w:r>
    </w:p>
    <w:p>
      <w:pPr>
        <w:pStyle w:val="Corpodotexto"/>
        <w:numPr>
          <w:ilvl w:val="0"/>
          <w:numId w:val="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Parecer Jurídico Sobre Fusão e Extinção de Municípios</w:t>
      </w:r>
    </w:p>
    <w:p>
      <w:pPr>
        <w:pStyle w:val="Corpodotexto"/>
        <w:numPr>
          <w:ilvl w:val="0"/>
          <w:numId w:val="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Proposta de Política Pública e Reorganização Territorial e Consórcios de Gestão de Risco Climático no Brasil para Redução de Municípios</w:t>
      </w:r>
    </w:p>
    <w:p>
      <w:pPr>
        <w:pStyle w:val="Corpodotexto"/>
        <w:numPr>
          <w:ilvl w:val="0"/>
          <w:numId w:val="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Plano de Integração e Propostas Para Fusão e Extinção de Municípios</w:t>
      </w:r>
    </w:p>
    <w:p>
      <w:pPr>
        <w:pStyle w:val="Corpodotexto"/>
        <w:numPr>
          <w:ilvl w:val="0"/>
          <w:numId w:val="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Conclusão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Introdução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 primeira etapa da cartilha, fizemos um diagnóstico das inúmeras distorções ocorridas na sociogênese da formação brasileira, seja pela criação em demasia de novos municípios, seja pela inconsistência da repartição tributária no pacto federativo brasileiro, que são advindas da falta de planejamento no nosso país. Já nesta segunda, falaremos exclusivamente sobre plano de ação consistente para a redução e a fusão de municípios.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Num primeiro momento, faremos uma revisão bibliográfica sobre as distorções causadas pelo federalismo brasileiro, principalmente no que concerne à fragilidade do modelo instituído pelo pacto de 1988. Já no segundo, uma profunda análise dos principais indicadores socioeconômicos, tais quais número de homicídios, aferição educacional (SAEB e IDEB), IDH-M, nível de pluviometria, dentre outros, para que possamos, posteriormente, tomar decisões a respeito de políticas públicas. No terceiro, um parecer jurídico sobre a fusão, incorporação e extinção dos municípios com base na doutrina, na jurisprudência e no arcabouço legal brasileiro. No quarto, um plano de infraestrutura que engloba as experiências ao redor do mundo do setor do agronegócio e da engenharia para a integração regional. Por fim, concluiremos este trabalho com um plano de ação para a redução dos municípios com base em experiências internacionais.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3"/>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Distorções Causadas Pela Constituição Federal de 1988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É inegável que, após o pacto de 1988 pela aprovação da referida Carta Magna, a situação do Brasil, principalmente em termos socioeconômicos, apresentou uma profunda melhora. Os níveis educacionais melhoraram, o índice de desenvolvimento humano também teve um acentuado incremento e a capacidade produtiva também apresentou uma positiva oscilação. Porém, na contramão, presenciamos um aumento indiscriminado da violência, uma perda sistemática do poder de compra via depreciação da nossa moeda e uma desvalorização institucional causadas por corrupção, principalmente por desvio de emendas parlamentares, falta de transparência em dotações orçamentárias e perpetuação do poder por parte de oligarquias regionais.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Neste aspecto, o Brasil apresenta uma capacidade orçamentária bastante irregular, devido ao fato de existir, preliminarmente, perda da capacidade fiscal, apesar de o município ser alçado a um ente federativo autônomo, e engessamento dos gastos vinculados, numa clara falta de planejamento e de revisões do Orçamento Público.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No aspecto-fim, a dotação orçamentária não consegue ser destinada aos serviços básicos contidas na Carta Magna, justamente pelo esgarçamento dos recursos públicos com o denominado “Custo-Brasil”, que engloba gastos com corrupção, </w:t>
      </w:r>
      <w:r>
        <w:rPr>
          <w:rFonts w:ascii="Times New Roman" w:hAnsi="Times New Roman"/>
          <w:b w:val="false"/>
          <w:i/>
          <w:caps w:val="false"/>
          <w:smallCaps w:val="false"/>
          <w:strike w:val="false"/>
          <w:dstrike w:val="false"/>
          <w:color w:val="000000"/>
          <w:sz w:val="24"/>
          <w:szCs w:val="24"/>
          <w:u w:val="none"/>
          <w:effect w:val="none"/>
        </w:rPr>
        <w:t>logrolling</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(“troca de favores”) e patrimonialismo familiar.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Feita essa análise preliminar, falaremos agora sobre as distorções causadas pelo federalismo brasileiro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 Distorções na Criação de Novos Municípios no Brasil e Experiências Internacionais Sobre Redução de Municípios ao Redor do Mundo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Desde 1988, o Brasil apresentou uma explosão da criação de novos municípios, especialmente impulsionada pelos Estados do Paraná e do Rio Grande do Sul, que aproveitaram, em certa medida, as distorções ocorridas nas legislações anteriores e o regime de transição da atual Constituição Federal, principalmente no que diz respeito às questões atinentes à jurisprudência não pacificada, para criarem novas cidades sem o devido amparo legal.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Vale também destacar que devido ao crescimento anterior ocorrido entre os anos de 1948 e de 1964 antes da promulgação da “Lei Orgânica dos Municípios”, a Lei Complementar 001 de 1967, litígios judiciais foram cada vez mais recorrentes, o que possibilitou uma infinidade de processos judiciais que distorceram as referidas condicionantes para a criação de novos municípios da lei supracitada.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Tudo isso representou um retrocesso, de acordo com Arretche (1996), principalmente no que diz respeito ao conceito de “municipalidade”, em que, embora o Brasil apresente federação completa, não se é sustentável no que concerne à autonomia tributária e à formulação de políticas públicas. E, comparado a outros países do mundo, sobretudo os europeus, como a Grécia, que reduziu em cerca de 90% o seus municípios, a Dinamarca em 87%, a Itália em cerca de 40% e também o Japão, que extinguiu cerca de 63% e demais países, o Brasil praticamente triplicou o seu número de municípios em 60 anos.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bibliografia também nos asserta que quase todos os países europeus, mesmo os que têm uma abordagem mais tradicionalista em termos de Direito Urbanístico, reduziram municípios, e isso impactou sobremaneira na redução dos custos de representação e no aumento da eficácia arrecadatória, principalmente na França, país que detém o maior número de municípios da Europa Ocidental.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 Distorções do Pacto Federativo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Embora a maioria dos artigos sejam críticos ao processo de distorção do pacto federativo causada pela CF/88, Afonso e Araújo (2000) apresentam uma visão prospectiva acerca do assunto: a tese destes é que os municípios, principalmente os menores, mesmo com dificuldades arrecadatórias e com falta de sustentabilidade, são possíveis de apresentarem um grande potencial de gestão das finanças públicas, principalmente se a eles forem concebidos maior autonomia. Então, para os dois autores, mesmo com uma carga tributária total de 17% e com participação de 5% em comparação com a receita total (conforme dados de 1998), uma descentralização mais ampla poderia proporcionar melhores resultados para a economia nacional, principalmente com o aumento das transferências sociais aos entes subnacionais, o que é uma visão díspar do nosso entendimento.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Como contraponto, Costa (2012), Arretche (1996) e Vergolino (2013) apresentam visões que se perfilham à nossa: a de que o federalismo à brasileira foi completamente distorcido com o pacto de 1988 e a de que a “municipalização” representou um retrocesso, principalmente no que tange à formulação de políticas públicas, ao controle social e à tomada de decisão. </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Os três autores argumentam que houve, mesmo que atravancado, crescimento proporcional em termos de Produto Interno Bruto para as regiões Sul e Sudeste em detrimento do Norte e Nordeste, que permaneceram com contribuições ao PIB constantes ao longo de mais de 50 anos, além de falta de liberdade dos Estados mais pobres do país em delimitar políticas públicas adequadas para o combate da pobreza e do subdesenvolvimento, visão corroborada por Abrucio et alli (2024).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Mesmo que alguns entes federativos como o Rio Grande do Sul e Espírito Santo apresentassem redução no ritmo de crescimento, é fato inegável que o certo nível de estacionariedade das Regiões Norte e Nordeste, que recebem aportes maiores de transferências constitucionais, é devido ao fato de existir forte centralismo da autonomia financeira, sobretudo no que diz respeito ao financiamento de gastos sem contrapartida de aumento da arrecadação, de acordo com Rezende (1995).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 autor supracitado afirma que tensões e conflitos de interesse oriundos, precipuamente, da super-representatividade dos políticos da região Nordeste no Congresso Nacional ocasionaram em distorções de repartição tributária e em desencontros “entre a distribuição espacial das demandas por serviços urbanos e sociais e a correspondente distribuição das receitas públicas”.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Por fim, Arretche (1996, 1999) argumenta que um Estado descentralizado necessita de uma coordenação centralizada para elaborar uma política pública, embora o conceito de “centralismo” seja mal visto pela opinião pública, especialmente a de intelectuais que manietaram o termo. A cientista política também defende que uma concentração em torno do governo central, em alguns momentos, serve para combater o clientelismo (e não o contrário do que se imagina) e reforça o controle social, sobretudo em políticas coordenadas.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 Desigualdades Regionais e Federalismo Brasileiro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Apesar de todos os esforços envidados pela Carta Magna de 1988 que melhorou a vida dos cidadãos, principalmente em aspectos de assistência básica à saúde, vemos que, em muitos aspectos, esta atravancou o desenvolvimento das duas regiões mais pobres do país e, em certos aspectos, aumentou ainda mais a desigualdade intersetorial de aspecto regional em alguns fatores, conforme Abrucio et alli (2024).</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Os autores também argumentam que as distorções causadas pelo pacto federativo, sobremaneira por meio de repasses oriundos dos fundos constitucionais, são causadas por clientelismo,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logrolling</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pork-barrel politics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e malversação do erário por parte de gestores de baixa escolaridade. Numa análise de clusterização, os autores concluem que em determinadas regiões que apresentam um peso de 1 frente às de peso 5 num critério de dependência exclusiva, sendo que a de menor peso é a mais “independente” e a de maior a mais “dependente”, o impacto que uma política de descentralização em municípios mais “dependentes” costuma ser o que mais aumenta a sua capacidade na gestão da saúde, porém os problemas descritos acima impedem uma melhor eficácia da política pública.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Também vale ressaltar as visões de Junqueira e Alcaraz (2024), especialmente a respeito da descentralização tributária e o efeito adverso que esta proporciona para a formulação de políticas sociais, devido, sobretudo, às desigualdades regionais latentes no Brasil, mesmo tendo o Fundo de Desenvolvimento da Educação Básica (FUNDEB) como grande mola propulsora para a redução das disparidades ao redor do nosso país.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Mora e Varsano (2015) também acrescentam que inúmeros entes federativos, devido ao fato de não terem as contas públicas sanadas, recorrem a sucessivos empréstimos ao governo federal, o que tem prejudicado o crescimento econômico dos entes e do Brasil como um todo.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Os autores projetam que uma harmonização da tributação poderia corrigir essa distorção e promover melhor desenvolvimento econômico.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Por fim, Fioravante et alli (2006) admitem que o gasto público com pessoal aumenta leva à subavaliação de outros tipos de gastos, como os investimentos, o que torna as contas públicas, principalmente de municípios menores, insanáveis. Como contraponto, numa análise clássica, Rezende (1982) argumenta que a poupança pública brasileira, mesmo que negativa e também forçada, solapou as decisões de investimento dos entes federativos, principalmente municípios, devido ao conflito redistributivo da descentralização. Esgotado este assunto, partiremos para a análise dos principais índices socioeconômicos do Brasil.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4"/>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Análise de Indicadores Socioeconômicos do Brasil Pós-1988</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Neste subcapítulo, analisaremos os principais índices do Brasil pós-1988 com foco em uma análise crítica. Sendo assim, comecemos com o primeiro deles, número de homicídios.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De acordo com Feltran et alli (2022), nos anos 1990, houve o que se convencionou chamar de “época das guerras” entre as facções. O acirramento das tensões entre as incipientes organizações criminosas, mesmo em períodos de estabilidade institucional nessa década, ocasionou uma interiorização do crime, principalmente em novos municípios emancipados, com crescimento, em geral, nas Regiões Nordeste e Sul do país. É peculiar constatar que, no Rio Grande do Sul, essa expansão foi ainda mais extensiva, principalmente porque as facções deste ente federativo são locais e regionais, mas não nacionais.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Isso culminou no que os autores chamam de “era da bandeira branca” em 2000, sobretudo em virtude da expansão das facções e dos novos rearranjos setoriais, que desembocaram em cenários de extrema violência, atingindo o pico em 2015, conforme dados do Atlas da Violência.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Vemos que a violência, computada por homicídios e demais mortes violentas intencionais (MVI) expandiu consideravelmente até o ponto de máximo e depois regrediu sobremaneira nos seguintes. Por outro lado, as ocorrências policiais crescem indefinidamente entre 2015 até 2017, numa alta aproximada de quase 8% e repicaram nos anos seguintes.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Embora, índices como IDH-M, SAEB, IDEB e outros que afiram a qualidade de vida tenham melhorado, os que mensuram a violência e a perda arrecadatória regrediram, como se pode constar nos picos entre 2015-2016, o que, segundo os estudos de Ingram e da Costa (2019), confirmam que o governo do PT reduziu em caráter geral a violência, porém não conseguiu conter o avanço da criminalidade nos municípios, o que podemos constatar que a expansão municipal desenfreada por ter, de certa forma, impacto nos índices de violência.  </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Os autores também fizeram um estudo de correlação entre pessoas que são filhos de mãe-solo, número de desempregados, presença de coronelismo na região e votos no Centrão como parâmetros com o fito de se um efeito de causalidade positiva entre essas variáveis e o número de homicídios. Na próxima sessão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18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3.1 Análise da Base de Dados do IBGE</w:t>
      </w:r>
    </w:p>
    <w:p>
      <w:pPr>
        <w:pStyle w:val="Corpodotexto"/>
        <w:bidi w:val="0"/>
        <w:spacing w:lineRule="auto" w:line="360"/>
        <w:jc w:val="both"/>
        <w:rPr>
          <w:rFonts w:ascii="Times New Roman" w:hAnsi="Times New Roman"/>
          <w:sz w:val="24"/>
          <w:szCs w:val="24"/>
        </w:rPr>
      </w:pPr>
      <w:r>
        <w:rPr>
          <w:rFonts w:ascii="Times New Roman" w:hAnsi="Times New Roman"/>
          <w:sz w:val="24"/>
          <w:szCs w:val="24"/>
        </w:rPr>
        <w:t xml:space="preserve">Esta sessão consistirá de parâmetro para se rodar um modelo econométrico futuro (que será apresentado em um momento posterior) a fim de que se explique, por critérios de territórios de identidade e de rearranjos por manchas de calor, quais serão os municípios que serão extintos no Brasil. É, sobretudo, um guia metodológico e explicativo sobre a base de dados encontrada, que é extremamente robusta e descontínua, o que explica a dificuldade de se fazer pesquisa no Brasil. </w:t>
      </w:r>
    </w:p>
    <w:p>
      <w:pPr>
        <w:pStyle w:val="Corpodotexto"/>
        <w:bidi w:val="0"/>
        <w:spacing w:lineRule="auto" w:line="360"/>
        <w:jc w:val="both"/>
        <w:rPr>
          <w:rFonts w:ascii="Times New Roman" w:hAnsi="Times New Roman"/>
          <w:sz w:val="24"/>
          <w:szCs w:val="24"/>
        </w:rPr>
      </w:pPr>
      <w:r>
        <w:rPr>
          <w:rFonts w:ascii="Times New Roman" w:hAnsi="Times New Roman"/>
          <w:sz w:val="24"/>
          <w:szCs w:val="24"/>
        </w:rPr>
        <w:t xml:space="preserve">Sendo assim, explica-se abaixo.   </w:t>
      </w:r>
    </w:p>
    <w:p>
      <w:pPr>
        <w:pStyle w:val="Corpodotexto"/>
        <w:bidi w:val="0"/>
        <w:spacing w:lineRule="auto" w:line="360"/>
        <w:jc w:val="both"/>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 pasta </w:t>
      </w:r>
      <w:r>
        <w:rPr>
          <w:rFonts w:ascii="Times New Roman" w:hAnsi="Times New Roman"/>
          <w:b/>
          <w:i w:val="false"/>
          <w:caps w:val="false"/>
          <w:smallCaps w:val="false"/>
          <w:strike w:val="false"/>
          <w:dstrike w:val="false"/>
          <w:color w:val="000000"/>
          <w:sz w:val="24"/>
          <w:szCs w:val="24"/>
          <w:u w:val="none"/>
          <w:effect w:val="none"/>
        </w:rPr>
        <w:t>referencias/IBGE/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contém as cinco bases de dados utilizadas neste estudo: </w:t>
      </w:r>
      <w:r>
        <w:rPr>
          <w:rFonts w:ascii="Times New Roman" w:hAnsi="Times New Roman"/>
          <w:b/>
          <w:i w:val="false"/>
          <w:caps w:val="false"/>
          <w:smallCaps w:val="false"/>
          <w:strike w:val="false"/>
          <w:dstrike w:val="false"/>
          <w:color w:val="000000"/>
          <w:sz w:val="24"/>
          <w:szCs w:val="24"/>
          <w:u w:val="none"/>
          <w:effect w:val="none"/>
        </w:rPr>
        <w:t>(1)</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painel-registral-pais-ausentes 2016-2025.csv</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painel regional de nascimentos e pais ausentes na certidão (IBGE Estatísticas Vitais); </w:t>
      </w:r>
      <w:r>
        <w:rPr>
          <w:rFonts w:ascii="Times New Roman" w:hAnsi="Times New Roman"/>
          <w:b/>
          <w:i w:val="false"/>
          <w:caps w:val="false"/>
          <w:smallCaps w:val="false"/>
          <w:strike w:val="false"/>
          <w:dstrike w:val="false"/>
          <w:color w:val="000000"/>
          <w:sz w:val="24"/>
          <w:szCs w:val="24"/>
          <w:u w:val="none"/>
          <w:effect w:val="none"/>
        </w:rPr>
        <w:t>(2)</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cnes_cnv_estabbr…csv</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cadastro municipal com código IBGE, UF, Região, População 2010 e Porte (CNES/DATASUS); </w:t>
      </w:r>
      <w:r>
        <w:rPr>
          <w:rFonts w:ascii="Times New Roman" w:hAnsi="Times New Roman"/>
          <w:b/>
          <w:i w:val="false"/>
          <w:caps w:val="false"/>
          <w:smallCaps w:val="false"/>
          <w:strike w:val="false"/>
          <w:dstrike w:val="false"/>
          <w:color w:val="000000"/>
          <w:sz w:val="24"/>
          <w:szCs w:val="24"/>
          <w:u w:val="none"/>
          <w:effect w:val="none"/>
        </w:rPr>
        <w:t>(3)</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Base de Dados e Notas Metodológicas dos Gestores Estaduais 2025.xlsx</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(aba in) — eventos de segurança pública por UF e município (MJSP/Sinesp); </w:t>
      </w:r>
      <w:r>
        <w:rPr>
          <w:rFonts w:ascii="Times New Roman" w:hAnsi="Times New Roman"/>
          <w:b/>
          <w:i w:val="false"/>
          <w:caps w:val="false"/>
          <w:smallCaps w:val="false"/>
          <w:strike w:val="false"/>
          <w:dstrike w:val="false"/>
          <w:color w:val="000000"/>
          <w:sz w:val="24"/>
          <w:szCs w:val="24"/>
          <w:u w:val="none"/>
          <w:effect w:val="none"/>
        </w:rPr>
        <w:t>(4)</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dados_beneficios_dez.xlsx</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quantidades de benefícios sociais por município e mês (CadÚnico/MDS); </w:t>
      </w:r>
      <w:r>
        <w:rPr>
          <w:rFonts w:ascii="Times New Roman" w:hAnsi="Times New Roman"/>
          <w:b/>
          <w:i w:val="false"/>
          <w:caps w:val="false"/>
          <w:smallCaps w:val="false"/>
          <w:strike w:val="false"/>
          <w:dstrike w:val="false"/>
          <w:color w:val="000000"/>
          <w:sz w:val="24"/>
          <w:szCs w:val="24"/>
          <w:u w:val="none"/>
          <w:effect w:val="none"/>
        </w:rPr>
        <w:t>(5)</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IBGE 2026.xlsx</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aba 2025: benefícios por município/mês; aba 2026: cadastro municipal. As duas primeiras são CSV; as três últimas, XLSX. Nem todos os arquivos precisam estar presentes no repositório (os XLSX podem estar apenas localmente); quando existirem, as análises descritivas abaixo utilizam os dados reais. A documentação completa está em docs/DOC_IBGE_DADOS.md. </w:t>
      </w:r>
      <w:r>
        <w:rPr>
          <w:rFonts w:ascii="Times New Roman" w:hAnsi="Times New Roman"/>
          <w:b/>
          <w:i w:val="false"/>
          <w:caps w:val="false"/>
          <w:smallCaps w:val="false"/>
          <w:strike w:val="false"/>
          <w:dstrike w:val="false"/>
          <w:color w:val="000000"/>
          <w:sz w:val="24"/>
          <w:szCs w:val="24"/>
          <w:u w:val="none"/>
          <w:effect w:val="none"/>
        </w:rPr>
        <w:t>Origem dos arquivos: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pasta referencias/IBGE/.</w:t>
      </w:r>
    </w:p>
    <w:p>
      <w:pPr>
        <w:pStyle w:val="Ttulo2"/>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3.1.1 Avaliação dos dados e análise macro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As cinco bases são heterogêneas em natureza (painel regional, cadastro municipal, eventos de segurança, benefícios sociais), origem institucional (IBGE, DATASUS/CNES, MJSP, MDS/CadÚnico) e granularidade (região×ano, município, município×mês, evento×município×data). Nenhuma delas mede autonomia municipal diretamente; a classificação de autonomia é obtida a partir dos indicadores SICONFI (receita, despesa, dependência federal, viabilidade da despesa com pessoal). As bases IBGE fornecem </w:t>
      </w:r>
      <w:r>
        <w:rPr>
          <w:rFonts w:ascii="Times New Roman" w:hAnsi="Times New Roman"/>
          <w:b/>
          <w:i w:val="false"/>
          <w:caps w:val="false"/>
          <w:smallCaps w:val="false"/>
          <w:strike w:val="false"/>
          <w:dstrike w:val="false"/>
          <w:color w:val="000000"/>
          <w:sz w:val="24"/>
          <w:szCs w:val="24"/>
          <w:u w:val="none"/>
          <w:effect w:val="none"/>
        </w:rPr>
        <w:t>contexto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para o estudo: perfil territorial e demográfico (cadastro, porte, região), dependência de programas federais (benefícios), indicadores de vulnerabilidade e registro civil (painel pais ausentes) e carga de eventos e gestão (Gestores Estaduais). A integração exige chaves distintas — cod_ibge para cadastro e benefícios, uf e nome do município para eventos, mapeamento uf→regiao para o painel regional — e implica limitações de período e cobertura ao cruzar com a base SICONFI. A avaliação com juízo de valor de cada base e as métricas de cobertura são apresentadas nas subseções abaixo; detalhes adicionais e análise macro constam em docs/DOC_IBGE_DADOS.md (seções 5 e 6). A tabela abaixo resume as cinco bases em dimensão, granularidade, chave de vinculação e uso principal no estudo.</w:t>
      </w:r>
    </w:p>
    <w:tbl>
      <w:tblPr>
        <w:tblW w:w="9638" w:type="dxa"/>
        <w:jc w:val="start"/>
        <w:tblInd w:w="0" w:type="dxa"/>
        <w:tblCellMar>
          <w:top w:w="0" w:type="dxa"/>
          <w:start w:w="0" w:type="dxa"/>
          <w:bottom w:w="28" w:type="dxa"/>
          <w:end w:w="0" w:type="dxa"/>
        </w:tblCellMar>
      </w:tblPr>
      <w:tblGrid>
        <w:gridCol w:w="2930"/>
        <w:gridCol w:w="1232"/>
        <w:gridCol w:w="1680"/>
        <w:gridCol w:w="1516"/>
        <w:gridCol w:w="2280"/>
      </w:tblGrid>
      <w:tr>
        <w:trPr/>
        <w:tc>
          <w:tcPr>
            <w:tcW w:w="2930"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Base</w:t>
            </w:r>
          </w:p>
        </w:tc>
        <w:tc>
          <w:tcPr>
            <w:tcW w:w="1232"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Dimensão (típica)</w:t>
            </w:r>
          </w:p>
        </w:tc>
        <w:tc>
          <w:tcPr>
            <w:tcW w:w="1680"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Granularidade</w:t>
            </w:r>
          </w:p>
        </w:tc>
        <w:tc>
          <w:tcPr>
            <w:tcW w:w="1516"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Chave de vinculação</w:t>
            </w:r>
          </w:p>
        </w:tc>
        <w:tc>
          <w:tcPr>
            <w:tcW w:w="2280"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Uso principal no estudo</w:t>
            </w:r>
          </w:p>
        </w:tc>
      </w:tr>
      <w:tr>
        <w:trPr/>
        <w:tc>
          <w:tcPr>
            <w:tcW w:w="2930"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painel-registral-pais-ausentes (CSV)</w:t>
            </w:r>
          </w:p>
        </w:tc>
        <w:tc>
          <w:tcPr>
            <w:tcW w:w="1232"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~50 linhas</w:t>
            </w:r>
          </w:p>
        </w:tc>
        <w:tc>
          <w:tcPr>
            <w:tcW w:w="1680"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região × ano</w:t>
            </w:r>
          </w:p>
        </w:tc>
        <w:tc>
          <w:tcPr>
            <w:tcW w:w="1516"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uf → regiao + ano</w:t>
            </w:r>
          </w:p>
        </w:tc>
        <w:tc>
          <w:tcPr>
            <w:tcW w:w="2280"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Contexto regional vulnerabilidade e registro civil</w:t>
            </w:r>
          </w:p>
        </w:tc>
      </w:tr>
      <w:tr>
        <w:trPr/>
        <w:tc>
          <w:tcPr>
            <w:tcW w:w="293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cnes_cnv_estabbr (CSV)</w:t>
            </w:r>
          </w:p>
        </w:tc>
        <w:tc>
          <w:tcPr>
            <w:tcW w:w="1232"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 mil</w:t>
            </w:r>
          </w:p>
        </w:tc>
        <w:tc>
          <w:tcPr>
            <w:tcW w:w="16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município</w:t>
            </w:r>
          </w:p>
        </w:tc>
        <w:tc>
          <w:tcPr>
            <w:tcW w:w="151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cod_ibge (7 dígitos)</w:t>
            </w:r>
          </w:p>
        </w:tc>
        <w:tc>
          <w:tcPr>
            <w:tcW w:w="22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Cadastro alternativo porte/região</w:t>
            </w:r>
          </w:p>
        </w:tc>
      </w:tr>
      <w:tr>
        <w:trPr/>
        <w:tc>
          <w:tcPr>
            <w:tcW w:w="293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Gestores Estaduais 2025 (XLSX, aba in)</w:t>
            </w:r>
          </w:p>
        </w:tc>
        <w:tc>
          <w:tcPr>
            <w:tcW w:w="1232"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~100 mil+</w:t>
            </w:r>
          </w:p>
        </w:tc>
        <w:tc>
          <w:tcPr>
            <w:tcW w:w="16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município × evento × data</w:t>
            </w:r>
          </w:p>
        </w:tc>
        <w:tc>
          <w:tcPr>
            <w:tcW w:w="151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uf + nome município</w:t>
            </w:r>
          </w:p>
        </w:tc>
        <w:tc>
          <w:tcPr>
            <w:tcW w:w="22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Contexto eventos e demanda por segurança</w:t>
            </w:r>
          </w:p>
        </w:tc>
      </w:tr>
      <w:tr>
        <w:trPr/>
        <w:tc>
          <w:tcPr>
            <w:tcW w:w="293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dados_beneficios_dez (XLSX)</w:t>
            </w:r>
          </w:p>
        </w:tc>
        <w:tc>
          <w:tcPr>
            <w:tcW w:w="1232"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 mil</w:t>
            </w:r>
          </w:p>
        </w:tc>
        <w:tc>
          <w:tcPr>
            <w:tcW w:w="16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município × mês</w:t>
            </w:r>
          </w:p>
        </w:tc>
        <w:tc>
          <w:tcPr>
            <w:tcW w:w="151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cod_ibge + ano</w:t>
            </w:r>
          </w:p>
        </w:tc>
        <w:tc>
          <w:tcPr>
            <w:tcW w:w="22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Benefícios sociais; dependência de programas federais</w:t>
            </w:r>
          </w:p>
        </w:tc>
      </w:tr>
      <w:tr>
        <w:trPr/>
        <w:tc>
          <w:tcPr>
            <w:tcW w:w="293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IBGE 2026.xlsx (abas 2025 e 2026)</w:t>
            </w:r>
          </w:p>
        </w:tc>
        <w:tc>
          <w:tcPr>
            <w:tcW w:w="1232"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 ~66,8 mil; 2026: ~5,6 mil</w:t>
            </w:r>
          </w:p>
        </w:tc>
        <w:tc>
          <w:tcPr>
            <w:tcW w:w="16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 município×mês; 2026: município</w:t>
            </w:r>
          </w:p>
        </w:tc>
        <w:tc>
          <w:tcPr>
            <w:tcW w:w="151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cod_ibge (+ ano na aba 2025)</w:t>
            </w:r>
          </w:p>
        </w:tc>
        <w:tc>
          <w:tcPr>
            <w:tcW w:w="2280"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Cadastro e benefícios na base vinculada 09</w:t>
            </w:r>
          </w:p>
        </w:tc>
      </w:tr>
    </w:tbl>
    <w:p>
      <w:pPr>
        <w:pStyle w:val="Corpodotexto"/>
        <w:bidi w:val="0"/>
        <w:spacing w:lineRule="auto" w:line="429" w:before="180" w:after="18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Fonte: referencias/IBGE/; documentação completa em docs/DOC_IBGE_DADOS.md.</w:t>
      </w:r>
    </w:p>
    <w:p>
      <w:pPr>
        <w:pStyle w:val="Ttulo2"/>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3.1.2 Painel registral — pais ausentes na certidão de nascimento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é.</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O arquivo painel-registral-pais-ausentes 2016-2025.csv contém dados agregados por </w:t>
      </w:r>
      <w:r>
        <w:rPr>
          <w:rFonts w:ascii="Times New Roman" w:hAnsi="Times New Roman"/>
          <w:b/>
          <w:i w:val="false"/>
          <w:caps w:val="false"/>
          <w:smallCaps w:val="false"/>
          <w:strike w:val="false"/>
          <w:dstrike w:val="false"/>
          <w:color w:val="000000"/>
          <w:sz w:val="24"/>
          <w:szCs w:val="24"/>
          <w:u w:val="none"/>
          <w:effect w:val="none"/>
        </w:rPr>
        <w:t>região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e </w:t>
      </w:r>
      <w:r>
        <w:rPr>
          <w:rFonts w:ascii="Times New Roman" w:hAnsi="Times New Roman"/>
          <w:b/>
          <w:i w:val="false"/>
          <w:caps w:val="false"/>
          <w:smallCaps w:val="false"/>
          <w:strike w:val="false"/>
          <w:dstrike w:val="false"/>
          <w:color w:val="000000"/>
          <w:sz w:val="24"/>
          <w:szCs w:val="24"/>
          <w:u w:val="none"/>
          <w:effect w:val="none"/>
        </w:rPr>
        <w:t>ano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sobre nascimentos e registros civis com “pais ausentes” na certidão de nascimento. Está vinculado ao Sistema de Estatísticas Vitais do IBGE, que trata de sub-registro e subnotificação de nascimentos e óbitos (IBGE, painéis de estatísticas vitais). O indicador de pais ausentes reflete certidões em que apenas a mãe consta ou o pai não foi identificado, associado a vulnerabilidade social e acesso a serviços de registro.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Origem.</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IBGE (Estatísticas Vitais / registros civis). Arquivo CSV em referencias/IBGE/.</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Variáveis.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ano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ano de referência; </w:t>
      </w:r>
      <w:r>
        <w:rPr>
          <w:rFonts w:ascii="Times New Roman" w:hAnsi="Times New Roman"/>
          <w:b w:val="false"/>
          <w:i/>
          <w:caps w:val="false"/>
          <w:smallCaps w:val="false"/>
          <w:strike w:val="false"/>
          <w:dstrike w:val="false"/>
          <w:color w:val="000000"/>
          <w:sz w:val="24"/>
          <w:szCs w:val="24"/>
          <w:u w:val="none"/>
          <w:effect w:val="none"/>
        </w:rPr>
        <w:t>regiao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macrorregião (Norte, Nordeste, Sul, Sudeste, Centro-Oeste); </w:t>
      </w:r>
      <w:r>
        <w:rPr>
          <w:rFonts w:ascii="Times New Roman" w:hAnsi="Times New Roman"/>
          <w:b w:val="false"/>
          <w:i/>
          <w:caps w:val="false"/>
          <w:smallCaps w:val="false"/>
          <w:strike w:val="false"/>
          <w:dstrike w:val="false"/>
          <w:color w:val="000000"/>
          <w:sz w:val="24"/>
          <w:szCs w:val="24"/>
          <w:u w:val="none"/>
          <w:effect w:val="none"/>
        </w:rPr>
        <w:t>qt_pais_ausente</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quantidade de registros com pais ausentes; </w:t>
      </w:r>
      <w:r>
        <w:rPr>
          <w:rFonts w:ascii="Times New Roman" w:hAnsi="Times New Roman"/>
          <w:b w:val="false"/>
          <w:i/>
          <w:caps w:val="false"/>
          <w:smallCaps w:val="false"/>
          <w:strike w:val="false"/>
          <w:dstrike w:val="false"/>
          <w:color w:val="000000"/>
          <w:sz w:val="24"/>
          <w:szCs w:val="24"/>
          <w:u w:val="none"/>
          <w:effect w:val="none"/>
        </w:rPr>
        <w:t>qt_nascimento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total de nascimentos considerados; </w:t>
      </w:r>
      <w:r>
        <w:rPr>
          <w:rFonts w:ascii="Times New Roman" w:hAnsi="Times New Roman"/>
          <w:b w:val="false"/>
          <w:i/>
          <w:caps w:val="false"/>
          <w:smallCaps w:val="false"/>
          <w:strike w:val="false"/>
          <w:dstrike w:val="false"/>
          <w:color w:val="000000"/>
          <w:sz w:val="24"/>
          <w:szCs w:val="24"/>
          <w:u w:val="none"/>
          <w:effect w:val="none"/>
        </w:rPr>
        <w:t>porct</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percentual de pais ausentes (quando disponível). Interpretação: maior </w:t>
      </w:r>
      <w:r>
        <w:rPr>
          <w:rFonts w:ascii="Times New Roman" w:hAnsi="Times New Roman"/>
          <w:b w:val="false"/>
          <w:i/>
          <w:caps w:val="false"/>
          <w:smallCaps w:val="false"/>
          <w:strike w:val="false"/>
          <w:dstrike w:val="false"/>
          <w:color w:val="000000"/>
          <w:sz w:val="24"/>
          <w:szCs w:val="24"/>
          <w:u w:val="none"/>
          <w:effect w:val="none"/>
        </w:rPr>
        <w:t>porct</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indica maior proporção de nascimentos sem identificação paterna na certidão, útil como indicador indireto de vulnerabilidade e cobertura registral por região.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pode oferecer ao estudo.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Contexto regional de vulnerabilidade e qualidade do registro civil; enriquecimento de análises por região (ex.: cruzar região com autonomia fiscal ou com proporção de municípios sem autonomia). Vinculação à base SICONFI por mapeamento uf → regiao.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Avaliação (juízo de valor).</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Cobertura: período 2016–2025, apenas macrorregiões (sem município). Qualidade: variável porct pode estar vazia em alguns anos; vinculação ao SICONFI só por uf→regiao+ano. Recomendação: usar para contexto regional de vulnerabilidade e registro civil; não permite análise municipal. Esta base não possui nível municipal; as métricas abaixo são por região e ano.</w:t>
      </w:r>
    </w:p>
    <w:p>
      <w:pPr>
        <w:pStyle w:val="Corpodotexto"/>
        <w:bidi w:val="0"/>
        <w:spacing w:lineRule="auto" w:line="429" w:before="18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As tabelas abaixo apresentam o painel região × ano, a evolução temporal e o comparativo entre regiões (análise em painel).</w:t>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Percentual de pais ausentes na certidão por região e Brasil, ano a ano. Fonte: referencias/IBGE/.</w:t>
      </w:r>
    </w:p>
    <w:p>
      <w:pPr>
        <w:pStyle w:val="Corpodotexto"/>
        <w:bidi w:val="0"/>
        <w:spacing w:before="0" w:after="0"/>
        <w:jc w:val="start"/>
        <w:rPr>
          <w:rFonts w:ascii="Times New Roman" w:hAnsi="Times New Roman"/>
          <w:sz w:val="24"/>
          <w:szCs w:val="24"/>
        </w:rPr>
      </w:pPr>
      <w:r>
        <w:rPr>
          <w:rFonts w:ascii="Times New Roman" w:hAnsi="Times New Roman"/>
          <w:sz w:val="24"/>
          <w:szCs w:val="24"/>
        </w:rPr>
      </w:r>
    </w:p>
    <w:tbl>
      <w:tblPr>
        <w:tblW w:w="9638" w:type="dxa"/>
        <w:jc w:val="start"/>
        <w:tblInd w:w="0" w:type="dxa"/>
        <w:tblCellMar>
          <w:top w:w="0" w:type="dxa"/>
          <w:start w:w="0" w:type="dxa"/>
          <w:bottom w:w="28" w:type="dxa"/>
          <w:end w:w="0" w:type="dxa"/>
        </w:tblCellMar>
      </w:tblPr>
      <w:tblGrid>
        <w:gridCol w:w="1112"/>
        <w:gridCol w:w="1420"/>
        <w:gridCol w:w="1412"/>
        <w:gridCol w:w="1411"/>
        <w:gridCol w:w="1411"/>
        <w:gridCol w:w="1411"/>
        <w:gridCol w:w="1461"/>
      </w:tblGrid>
      <w:tr>
        <w:trPr/>
        <w:tc>
          <w:tcPr>
            <w:tcW w:w="1112"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420"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412"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41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41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41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46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r>
      <w:tr>
        <w:trPr/>
        <w:tc>
          <w:tcPr>
            <w:tcW w:w="1112"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2016</w:t>
            </w:r>
          </w:p>
        </w:tc>
        <w:tc>
          <w:tcPr>
            <w:tcW w:w="1420"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9.905</w:t>
            </w:r>
          </w:p>
        </w:tc>
        <w:tc>
          <w:tcPr>
            <w:tcW w:w="1412"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42.576</w:t>
            </w:r>
          </w:p>
        </w:tc>
        <w:tc>
          <w:tcPr>
            <w:tcW w:w="141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16.437</w:t>
            </w:r>
          </w:p>
        </w:tc>
        <w:tc>
          <w:tcPr>
            <w:tcW w:w="141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55.396</w:t>
            </w:r>
          </w:p>
        </w:tc>
        <w:tc>
          <w:tcPr>
            <w:tcW w:w="141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21.493</w:t>
            </w:r>
          </w:p>
        </w:tc>
        <w:tc>
          <w:tcPr>
            <w:tcW w:w="146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145.807</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2017</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9.013</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21.865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10.975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38.659</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13.330</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93.842</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2018</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17.668</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52.522</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21.991</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63.962</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20.643</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176.786</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2019</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14.975</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56.118</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26.118</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61.625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21.179</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180.015</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2020</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14.233</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51.225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23.684</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59.454</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20.586</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169.182</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2021</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14.456</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55.519</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26.805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58.320</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19.792</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174.892</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2022</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15.357</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54.571</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29.800</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57.190</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19.404</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176.322</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2023</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15.704</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56.789</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31.848</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59.616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20.008</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183.965</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2024</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14.960</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52.316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26.366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56.664</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19.506</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169.812</w:t>
            </w:r>
          </w:p>
        </w:tc>
      </w:tr>
      <w:tr>
        <w:trPr/>
        <w:tc>
          <w:tcPr>
            <w:tcW w:w="11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16.242</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52.325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26.518</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58.728</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19.867</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173.680</w:t>
            </w:r>
          </w:p>
        </w:tc>
      </w:tr>
      <w:tr>
        <w:trPr/>
        <w:tc>
          <w:tcPr>
            <w:tcW w:w="1112"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c>
          <w:tcPr>
            <w:tcW w:w="142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142.513</w:t>
            </w:r>
          </w:p>
        </w:tc>
        <w:tc>
          <w:tcPr>
            <w:tcW w:w="141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495.826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240.542</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569.614</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195.808</w:t>
            </w:r>
          </w:p>
        </w:tc>
        <w:tc>
          <w:tcPr>
            <w:tcW w:w="146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1.644.303</w:t>
            </w:r>
          </w:p>
        </w:tc>
      </w:tr>
    </w:tbl>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Quantidade pais ausentes. Fonte: referencias/IBGE/.</w:t>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r>
    </w:p>
    <w:tbl>
      <w:tblPr>
        <w:tblW w:w="9638" w:type="dxa"/>
        <w:jc w:val="start"/>
        <w:tblInd w:w="0" w:type="dxa"/>
        <w:tblCellMar>
          <w:top w:w="0" w:type="dxa"/>
          <w:start w:w="0" w:type="dxa"/>
          <w:bottom w:w="28" w:type="dxa"/>
          <w:end w:w="0" w:type="dxa"/>
        </w:tblCellMar>
      </w:tblPr>
      <w:tblGrid>
        <w:gridCol w:w="1108"/>
        <w:gridCol w:w="1419"/>
        <w:gridCol w:w="1411"/>
        <w:gridCol w:w="1411"/>
        <w:gridCol w:w="1414"/>
        <w:gridCol w:w="1411"/>
        <w:gridCol w:w="1464"/>
      </w:tblGrid>
      <w:tr>
        <w:trPr/>
        <w:tc>
          <w:tcPr>
            <w:tcW w:w="1108"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419"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41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41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414"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41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464"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r>
      <w:tr>
        <w:trPr/>
        <w:tc>
          <w:tcPr>
            <w:tcW w:w="1108"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2016</w:t>
            </w:r>
          </w:p>
        </w:tc>
        <w:tc>
          <w:tcPr>
            <w:tcW w:w="1419"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225.643</w:t>
            </w:r>
          </w:p>
        </w:tc>
        <w:tc>
          <w:tcPr>
            <w:tcW w:w="141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738.137</w:t>
            </w:r>
          </w:p>
        </w:tc>
        <w:tc>
          <w:tcPr>
            <w:tcW w:w="141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227.344</w:t>
            </w:r>
          </w:p>
        </w:tc>
        <w:tc>
          <w:tcPr>
            <w:tcW w:w="1414"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1.179.247</w:t>
            </w:r>
          </w:p>
        </w:tc>
        <w:tc>
          <w:tcPr>
            <w:tcW w:w="141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402.875</w:t>
            </w:r>
          </w:p>
        </w:tc>
        <w:tc>
          <w:tcPr>
            <w:tcW w:w="1464"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2.773.246</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2017</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233.170</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762.737</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239.700</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1.187.284</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406.668</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2.829.559</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2018</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244.695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821.627</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290.070</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1.186.642</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407.746</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2.950.780</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2019</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245.272</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814.302</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298.911</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1.141.083</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400.229</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2.899.797</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2020</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230.733</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758.363</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272.372</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1.077.346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383.915</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2.722.729</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2021</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231.052</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776.660</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306.542</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1.035.459</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374.274</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2.723.987</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2022</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228.797</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728.207</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308.895</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1.004.586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371.849</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2.642.334</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2023</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229.356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721.458</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314.217</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987.889</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370.252</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2.623.172</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2024</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218.283</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672.865</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288.866</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925.287</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348.762</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2.454.063</w:t>
            </w:r>
          </w:p>
        </w:tc>
      </w:tr>
      <w:tr>
        <w:trPr/>
        <w:tc>
          <w:tcPr>
            <w:tcW w:w="110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229.096</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680.348</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295.731</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941.814</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362.499</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2.509.488</w:t>
            </w:r>
          </w:p>
        </w:tc>
      </w:tr>
      <w:tr>
        <w:trPr/>
        <w:tc>
          <w:tcPr>
            <w:tcW w:w="11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c>
          <w:tcPr>
            <w:tcW w:w="141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2.316.097</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7.474.704</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2.842.648</w:t>
            </w:r>
          </w:p>
        </w:tc>
        <w:tc>
          <w:tcPr>
            <w:tcW w:w="141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10.666.637</w:t>
            </w:r>
          </w:p>
        </w:tc>
        <w:tc>
          <w:tcPr>
            <w:tcW w:w="141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3.829.069</w:t>
            </w:r>
          </w:p>
        </w:tc>
        <w:tc>
          <w:tcPr>
            <w:tcW w:w="14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27.129.155</w:t>
            </w:r>
          </w:p>
        </w:tc>
      </w:tr>
    </w:tbl>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Quantidade nascimentos. Fonte: referencias/IBGE/.</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Síntese.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O painel permite comparar o percentual de pais ausentes entre regiões e ao longo dos anos. No ano mais recente disponível, a região com maior percentual de pais ausentes e a evolução (crescimento ou queda) variam conforme os dados; recomenda-se interpretar as tabelas acima em conjunto com a série Brasil por ano.</w:t>
      </w:r>
    </w:p>
    <w:p>
      <w:pPr>
        <w:pStyle w:val="Ttulo2"/>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3.1.3 Cadastro municipal (cnes_cnv_estabbr)</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é.</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O arquivo CSV cnes_cnv_estabbr... (nome pode variar) é um </w:t>
      </w:r>
      <w:r>
        <w:rPr>
          <w:rFonts w:ascii="Times New Roman" w:hAnsi="Times New Roman"/>
          <w:b/>
          <w:i w:val="false"/>
          <w:caps w:val="false"/>
          <w:smallCaps w:val="false"/>
          <w:strike w:val="false"/>
          <w:dstrike w:val="false"/>
          <w:color w:val="000000"/>
          <w:sz w:val="24"/>
          <w:szCs w:val="24"/>
          <w:u w:val="none"/>
          <w:effect w:val="none"/>
        </w:rPr>
        <w:t>cadastro de municípios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com código IBGE, UF, nome do município, Região, População 2010 e classificação de </w:t>
      </w:r>
      <w:r>
        <w:rPr>
          <w:rFonts w:ascii="Times New Roman" w:hAnsi="Times New Roman"/>
          <w:b/>
          <w:i w:val="false"/>
          <w:caps w:val="false"/>
          <w:smallCaps w:val="false"/>
          <w:strike w:val="false"/>
          <w:dstrike w:val="false"/>
          <w:color w:val="000000"/>
          <w:sz w:val="24"/>
          <w:szCs w:val="24"/>
          <w:u w:val="none"/>
          <w:effect w:val="none"/>
        </w:rPr>
        <w:t>Porte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(ex.: Pequeno I, Pequeno II, Médio, Grande). O nome sugere relação com o Cadastro Nacional de Estabelecimentos de Saúde (CNES), gerenciado pelo DATASUS, no qual o IBGE participa em códigos e território; no projeto funciona como lista municipal com porte e região.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Origem.</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Arquivo em referencias/IBGE/; CNES/DATASUS; códigos municipais compatíveis com IBGE.</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Variáveis.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IBGE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ou </w:t>
      </w:r>
      <w:r>
        <w:rPr>
          <w:rFonts w:ascii="Times New Roman" w:hAnsi="Times New Roman"/>
          <w:b w:val="false"/>
          <w:i/>
          <w:caps w:val="false"/>
          <w:smallCaps w:val="false"/>
          <w:strike w:val="false"/>
          <w:dstrike w:val="false"/>
          <w:color w:val="000000"/>
          <w:sz w:val="24"/>
          <w:szCs w:val="24"/>
          <w:u w:val="none"/>
          <w:effect w:val="none"/>
        </w:rPr>
        <w:t>IBGE7</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código do município (7 dígitos); </w:t>
      </w:r>
      <w:r>
        <w:rPr>
          <w:rFonts w:ascii="Times New Roman" w:hAnsi="Times New Roman"/>
          <w:b w:val="false"/>
          <w:i/>
          <w:caps w:val="false"/>
          <w:smallCaps w:val="false"/>
          <w:strike w:val="false"/>
          <w:dstrike w:val="false"/>
          <w:color w:val="000000"/>
          <w:sz w:val="24"/>
          <w:szCs w:val="24"/>
          <w:u w:val="none"/>
          <w:effect w:val="none"/>
        </w:rPr>
        <w:t>UF</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sigla do estado; </w:t>
      </w:r>
      <w:r>
        <w:rPr>
          <w:rFonts w:ascii="Times New Roman" w:hAnsi="Times New Roman"/>
          <w:b w:val="false"/>
          <w:i/>
          <w:caps w:val="false"/>
          <w:smallCaps w:val="false"/>
          <w:strike w:val="false"/>
          <w:dstrike w:val="false"/>
          <w:color w:val="000000"/>
          <w:sz w:val="24"/>
          <w:szCs w:val="24"/>
          <w:u w:val="none"/>
          <w:effect w:val="none"/>
        </w:rPr>
        <w:t>Município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nome; </w:t>
      </w:r>
      <w:r>
        <w:rPr>
          <w:rFonts w:ascii="Times New Roman" w:hAnsi="Times New Roman"/>
          <w:b w:val="false"/>
          <w:i/>
          <w:caps w:val="false"/>
          <w:smallCaps w:val="false"/>
          <w:strike w:val="false"/>
          <w:dstrike w:val="false"/>
          <w:color w:val="000000"/>
          <w:sz w:val="24"/>
          <w:szCs w:val="24"/>
          <w:u w:val="none"/>
          <w:effect w:val="none"/>
        </w:rPr>
        <w:t>Região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macrorregião; </w:t>
      </w:r>
      <w:r>
        <w:rPr>
          <w:rFonts w:ascii="Times New Roman" w:hAnsi="Times New Roman"/>
          <w:b w:val="false"/>
          <w:i/>
          <w:caps w:val="false"/>
          <w:smallCaps w:val="false"/>
          <w:strike w:val="false"/>
          <w:dstrike w:val="false"/>
          <w:color w:val="000000"/>
          <w:sz w:val="24"/>
          <w:szCs w:val="24"/>
          <w:u w:val="none"/>
          <w:effect w:val="none"/>
        </w:rPr>
        <w:t>População 2010</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população censitária; </w:t>
      </w:r>
      <w:r>
        <w:rPr>
          <w:rFonts w:ascii="Times New Roman" w:hAnsi="Times New Roman"/>
          <w:b w:val="false"/>
          <w:i/>
          <w:caps w:val="false"/>
          <w:smallCaps w:val="false"/>
          <w:strike w:val="false"/>
          <w:dstrike w:val="false"/>
          <w:color w:val="000000"/>
          <w:sz w:val="24"/>
          <w:szCs w:val="24"/>
          <w:u w:val="none"/>
          <w:effect w:val="none"/>
        </w:rPr>
        <w:t>Porte</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classificação de tamanho; </w:t>
      </w:r>
      <w:r>
        <w:rPr>
          <w:rFonts w:ascii="Times New Roman" w:hAnsi="Times New Roman"/>
          <w:b w:val="false"/>
          <w:i/>
          <w:caps w:val="false"/>
          <w:smallCaps w:val="false"/>
          <w:strike w:val="false"/>
          <w:dstrike w:val="false"/>
          <w:color w:val="000000"/>
          <w:sz w:val="24"/>
          <w:szCs w:val="24"/>
          <w:u w:val="none"/>
          <w:effect w:val="none"/>
        </w:rPr>
        <w:t>Capital</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indicação de capital. Vinculação à base SICONFI por </w:t>
      </w:r>
      <w:r>
        <w:rPr>
          <w:rFonts w:ascii="Times New Roman" w:hAnsi="Times New Roman"/>
          <w:b w:val="false"/>
          <w:i/>
          <w:caps w:val="false"/>
          <w:smallCaps w:val="false"/>
          <w:strike w:val="false"/>
          <w:dstrike w:val="false"/>
          <w:color w:val="000000"/>
          <w:sz w:val="24"/>
          <w:szCs w:val="24"/>
          <w:u w:val="none"/>
          <w:effect w:val="none"/>
        </w:rPr>
        <w:t>cod_ibge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IBGE7.</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pode oferecer ao estudo.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Cadastro alternativo de porte e região; análises por faixa de população e por macrorregião; join com a base 07.03 para indicadores por porte (ibge_porte) quando não se usar a aba 2026 do IBGE 2026.</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Avaliação (juízo de valor).</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Cobertura: ~5,5 mil municípios, população de referência Censo 2010, sem dimensão temporal. Qualidade: encoding pode gerar caracteres incorretos em nomes; cod_ibge (IBGE7) consistente para join. Recomendação: cadastro alternativo de porte/região quando a aba 2026 do IBGE 2026 não estiver disponível.</w:t>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População distribuída por porte do município</w:t>
      </w:r>
    </w:p>
    <w:tbl>
      <w:tblPr>
        <w:tblW w:w="9638" w:type="dxa"/>
        <w:jc w:val="start"/>
        <w:tblInd w:w="0" w:type="dxa"/>
        <w:tblCellMar>
          <w:top w:w="0" w:type="dxa"/>
          <w:start w:w="0" w:type="dxa"/>
          <w:bottom w:w="28" w:type="dxa"/>
          <w:end w:w="0" w:type="dxa"/>
        </w:tblCellMar>
      </w:tblPr>
      <w:tblGrid>
        <w:gridCol w:w="1315"/>
        <w:gridCol w:w="1390"/>
        <w:gridCol w:w="1375"/>
        <w:gridCol w:w="1375"/>
        <w:gridCol w:w="1375"/>
        <w:gridCol w:w="1375"/>
        <w:gridCol w:w="1433"/>
      </w:tblGrid>
      <w:tr>
        <w:trPr/>
        <w:tc>
          <w:tcPr>
            <w:tcW w:w="1315"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390"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375"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375"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375"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375"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433"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r>
      <w:tr>
        <w:trPr/>
        <w:tc>
          <w:tcPr>
            <w:tcW w:w="1315" w:type="dxa"/>
            <w:tcBorders>
              <w:top w:val="single" w:sz="6" w:space="0" w:color="000000"/>
            </w:tcBorders>
            <w:tcMar>
              <w:top w:w="28" w:type="dxa"/>
              <w:bottom w:w="0"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Grande</w:t>
            </w:r>
          </w:p>
        </w:tc>
        <w:tc>
          <w:tcPr>
            <w:tcW w:w="1390"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3.938.753</w:t>
            </w:r>
          </w:p>
        </w:tc>
        <w:tc>
          <w:tcPr>
            <w:tcW w:w="1375"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12.579.225</w:t>
            </w:r>
          </w:p>
        </w:tc>
        <w:tc>
          <w:tcPr>
            <w:tcW w:w="1375"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3.956.558</w:t>
            </w:r>
          </w:p>
        </w:tc>
        <w:tc>
          <w:tcPr>
            <w:tcW w:w="1375"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32.212.892</w:t>
            </w:r>
          </w:p>
        </w:tc>
        <w:tc>
          <w:tcPr>
            <w:tcW w:w="1375"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9.656.367</w:t>
            </w:r>
          </w:p>
        </w:tc>
        <w:tc>
          <w:tcPr>
            <w:tcW w:w="1433"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62.343.795</w:t>
            </w:r>
          </w:p>
        </w:tc>
      </w:tr>
      <w:tr>
        <w:trPr/>
        <w:tc>
          <w:tcPr>
            <w:tcW w:w="131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Médio</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1.255.158</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7.455.612</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2.919.449</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7.028.740</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3.655.245</w:t>
            </w:r>
          </w:p>
        </w:tc>
        <w:tc>
          <w:tcPr>
            <w:tcW w:w="143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22.314.204</w:t>
            </w:r>
          </w:p>
        </w:tc>
      </w:tr>
      <w:tr>
        <w:trPr/>
        <w:tc>
          <w:tcPr>
            <w:tcW w:w="131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Metrópole</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3.872.161</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8.613.130</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3.195.413</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23.250.920</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3.161.258</w:t>
            </w:r>
          </w:p>
        </w:tc>
        <w:tc>
          <w:tcPr>
            <w:tcW w:w="143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42.092.882</w:t>
            </w:r>
          </w:p>
        </w:tc>
      </w:tr>
      <w:tr>
        <w:trPr/>
        <w:tc>
          <w:tcPr>
            <w:tcW w:w="131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Pequeno I</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2.778.856</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11.861.481</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2.428.378</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9.108.016</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6.483.516</w:t>
            </w:r>
          </w:p>
        </w:tc>
        <w:tc>
          <w:tcPr>
            <w:tcW w:w="143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32.660.247</w:t>
            </w:r>
          </w:p>
        </w:tc>
      </w:tr>
      <w:tr>
        <w:trPr/>
        <w:tc>
          <w:tcPr>
            <w:tcW w:w="131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Pequeno II</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2.213.166</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12.572.502</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3.364.656</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8.763.842</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4.430.505</w:t>
            </w:r>
          </w:p>
        </w:tc>
        <w:tc>
          <w:tcPr>
            <w:tcW w:w="143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31.344.671</w:t>
            </w:r>
          </w:p>
        </w:tc>
      </w:tr>
      <w:tr>
        <w:trPr/>
        <w:tc>
          <w:tcPr>
            <w:tcW w:w="131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14.058.094</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53.081.950</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15.864.454</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80.364.410</w:t>
            </w:r>
          </w:p>
        </w:tc>
        <w:tc>
          <w:tcPr>
            <w:tcW w:w="137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27.386.891</w:t>
            </w:r>
          </w:p>
        </w:tc>
        <w:tc>
          <w:tcPr>
            <w:tcW w:w="143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190.755.799</w:t>
            </w:r>
          </w:p>
        </w:tc>
      </w:tr>
    </w:tbl>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Número de municípios</w:t>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r>
    </w:p>
    <w:tbl>
      <w:tblPr>
        <w:tblW w:w="9638" w:type="dxa"/>
        <w:jc w:val="start"/>
        <w:tblInd w:w="0" w:type="dxa"/>
        <w:tblCellMar>
          <w:top w:w="0" w:type="dxa"/>
          <w:start w:w="0" w:type="dxa"/>
          <w:bottom w:w="28" w:type="dxa"/>
          <w:end w:w="0" w:type="dxa"/>
        </w:tblCellMar>
      </w:tblPr>
      <w:tblGrid>
        <w:gridCol w:w="1325"/>
        <w:gridCol w:w="1390"/>
        <w:gridCol w:w="1380"/>
        <w:gridCol w:w="1372"/>
        <w:gridCol w:w="1377"/>
        <w:gridCol w:w="1372"/>
        <w:gridCol w:w="1422"/>
      </w:tblGrid>
      <w:tr>
        <w:trPr/>
        <w:tc>
          <w:tcPr>
            <w:tcW w:w="1325"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390"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380"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372"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377"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372"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422"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r>
      <w:tr>
        <w:trPr/>
        <w:tc>
          <w:tcPr>
            <w:tcW w:w="1325" w:type="dxa"/>
            <w:tcBorders>
              <w:top w:val="single" w:sz="6" w:space="0" w:color="000000"/>
            </w:tcBorders>
            <w:tcMar>
              <w:top w:w="28" w:type="dxa"/>
              <w:bottom w:w="0"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Grande</w:t>
            </w:r>
          </w:p>
        </w:tc>
        <w:tc>
          <w:tcPr>
            <w:tcW w:w="1390"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w:t>
            </w:r>
          </w:p>
        </w:tc>
        <w:tc>
          <w:tcPr>
            <w:tcW w:w="1380"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w:t>
            </w:r>
          </w:p>
        </w:tc>
        <w:tc>
          <w:tcPr>
            <w:tcW w:w="1372"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w:t>
            </w:r>
          </w:p>
        </w:tc>
        <w:tc>
          <w:tcPr>
            <w:tcW w:w="1377"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133</w:t>
            </w:r>
          </w:p>
        </w:tc>
        <w:tc>
          <w:tcPr>
            <w:tcW w:w="1372"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46</w:t>
            </w:r>
          </w:p>
        </w:tc>
        <w:tc>
          <w:tcPr>
            <w:tcW w:w="1422"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266</w:t>
            </w:r>
          </w:p>
        </w:tc>
      </w:tr>
      <w:tr>
        <w:trPr/>
        <w:tc>
          <w:tcPr>
            <w:tcW w:w="132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Médio</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w:t>
            </w:r>
          </w:p>
        </w:tc>
        <w:tc>
          <w:tcPr>
            <w:tcW w:w="138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113</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43</w:t>
            </w:r>
          </w:p>
        </w:tc>
        <w:tc>
          <w:tcPr>
            <w:tcW w:w="137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99</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w:t>
            </w:r>
          </w:p>
        </w:tc>
        <w:tc>
          <w:tcPr>
            <w:tcW w:w="142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325</w:t>
            </w:r>
          </w:p>
        </w:tc>
      </w:tr>
      <w:tr>
        <w:trPr/>
        <w:tc>
          <w:tcPr>
            <w:tcW w:w="132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Metrópole</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w:t>
            </w:r>
          </w:p>
        </w:tc>
        <w:tc>
          <w:tcPr>
            <w:tcW w:w="138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w:t>
            </w:r>
          </w:p>
        </w:tc>
        <w:tc>
          <w:tcPr>
            <w:tcW w:w="137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w:t>
            </w:r>
          </w:p>
        </w:tc>
        <w:tc>
          <w:tcPr>
            <w:tcW w:w="142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w:t>
            </w:r>
          </w:p>
        </w:tc>
      </w:tr>
      <w:tr>
        <w:trPr/>
        <w:tc>
          <w:tcPr>
            <w:tcW w:w="132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Pequeno I</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360</w:t>
            </w:r>
          </w:p>
        </w:tc>
        <w:tc>
          <w:tcPr>
            <w:tcW w:w="138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1.195</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276</w:t>
            </w:r>
          </w:p>
        </w:tc>
        <w:tc>
          <w:tcPr>
            <w:tcW w:w="137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1.145</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943</w:t>
            </w:r>
          </w:p>
        </w:tc>
        <w:tc>
          <w:tcPr>
            <w:tcW w:w="142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3.919</w:t>
            </w:r>
          </w:p>
        </w:tc>
      </w:tr>
      <w:tr>
        <w:trPr/>
        <w:tc>
          <w:tcPr>
            <w:tcW w:w="132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Pequeno II</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72</w:t>
            </w:r>
          </w:p>
        </w:tc>
        <w:tc>
          <w:tcPr>
            <w:tcW w:w="138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428</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111</w:t>
            </w:r>
          </w:p>
        </w:tc>
        <w:tc>
          <w:tcPr>
            <w:tcW w:w="137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285</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147</w:t>
            </w:r>
          </w:p>
        </w:tc>
        <w:tc>
          <w:tcPr>
            <w:tcW w:w="142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1.043</w:t>
            </w:r>
          </w:p>
        </w:tc>
      </w:tr>
      <w:tr>
        <w:trPr/>
        <w:tc>
          <w:tcPr>
            <w:tcW w:w="1325"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c>
          <w:tcPr>
            <w:tcW w:w="139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467</w:t>
            </w:r>
          </w:p>
        </w:tc>
        <w:tc>
          <w:tcPr>
            <w:tcW w:w="138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1.794</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450</w:t>
            </w:r>
          </w:p>
        </w:tc>
        <w:tc>
          <w:tcPr>
            <w:tcW w:w="137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1.668</w:t>
            </w:r>
          </w:p>
        </w:tc>
        <w:tc>
          <w:tcPr>
            <w:tcW w:w="137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1.191</w:t>
            </w:r>
          </w:p>
        </w:tc>
        <w:tc>
          <w:tcPr>
            <w:tcW w:w="142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5.570</w:t>
            </w:r>
          </w:p>
        </w:tc>
      </w:tr>
    </w:tbl>
    <w:p>
      <w:pPr>
        <w:pStyle w:val="Ttulo2"/>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3.1.4 Base de Dados e Notas Metodológicas dos Gestores Estaduais 2025</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é.</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Dados de </w:t>
      </w:r>
      <w:r>
        <w:rPr>
          <w:rFonts w:ascii="Times New Roman" w:hAnsi="Times New Roman"/>
          <w:b/>
          <w:i w:val="false"/>
          <w:caps w:val="false"/>
          <w:smallCaps w:val="false"/>
          <w:strike w:val="false"/>
          <w:dstrike w:val="false"/>
          <w:color w:val="000000"/>
          <w:sz w:val="24"/>
          <w:szCs w:val="24"/>
          <w:u w:val="none"/>
          <w:effect w:val="none"/>
        </w:rPr>
        <w:t>eventos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de segurança pública e gestão estadual por </w:t>
      </w:r>
      <w:r>
        <w:rPr>
          <w:rFonts w:ascii="Times New Roman" w:hAnsi="Times New Roman"/>
          <w:b/>
          <w:i w:val="false"/>
          <w:caps w:val="false"/>
          <w:smallCaps w:val="false"/>
          <w:strike w:val="false"/>
          <w:dstrike w:val="false"/>
          <w:color w:val="000000"/>
          <w:sz w:val="24"/>
          <w:szCs w:val="24"/>
          <w:u w:val="none"/>
          <w:effect w:val="none"/>
        </w:rPr>
        <w:t>UF e município</w:t>
      </w:r>
      <w:r>
        <w:rPr>
          <w:rFonts w:ascii="Times New Roman" w:hAnsi="Times New Roman"/>
          <w:b w:val="false"/>
          <w:i w:val="false"/>
          <w:caps w:val="false"/>
          <w:smallCaps w:val="false"/>
          <w:strike w:val="false"/>
          <w:dstrike w:val="false"/>
          <w:color w:val="000000"/>
          <w:sz w:val="24"/>
          <w:szCs w:val="24"/>
          <w:u w:val="none"/>
          <w:effect w:val="none"/>
        </w:rPr>
        <w:t xml:space="preserve">, com variáveis como tipo de evento, data de referência, agente, arma, faixa etária e contagens por gênero. A fonte institucional típica é o </w:t>
      </w:r>
      <w:r>
        <w:rPr>
          <w:rFonts w:ascii="Times New Roman" w:hAnsi="Times New Roman"/>
          <w:b/>
          <w:i w:val="false"/>
          <w:caps w:val="false"/>
          <w:smallCaps w:val="false"/>
          <w:strike w:val="false"/>
          <w:dstrike w:val="false"/>
          <w:color w:val="000000"/>
          <w:sz w:val="24"/>
          <w:szCs w:val="24"/>
          <w:u w:val="none"/>
          <w:effect w:val="none"/>
        </w:rPr>
        <w:t>Ministério da Justiça e Segurança Pública (MJSP)</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e o sistema </w:t>
      </w:r>
      <w:r>
        <w:rPr>
          <w:rFonts w:ascii="Times New Roman" w:hAnsi="Times New Roman"/>
          <w:b/>
          <w:i w:val="false"/>
          <w:caps w:val="false"/>
          <w:smallCaps w:val="false"/>
          <w:strike w:val="false"/>
          <w:dstrike w:val="false"/>
          <w:color w:val="000000"/>
          <w:sz w:val="24"/>
          <w:szCs w:val="24"/>
          <w:u w:val="none"/>
          <w:effect w:val="none"/>
        </w:rPr>
        <w:t>Sinesp VDE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(Validador de Dados Estatísticos), que consolida indicadores de segurança pública enviados pelos estados.</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Origem.</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Arquivo XLSX em referencias/IBGE/; instituição primária: MJSP/Sinesp. Aba utilizada: in.</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Variáveis.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uf</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municipio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identificação territorial; </w:t>
      </w:r>
      <w:r>
        <w:rPr>
          <w:rFonts w:ascii="Times New Roman" w:hAnsi="Times New Roman"/>
          <w:b w:val="false"/>
          <w:i/>
          <w:caps w:val="false"/>
          <w:smallCaps w:val="false"/>
          <w:strike w:val="false"/>
          <w:dstrike w:val="false"/>
          <w:color w:val="000000"/>
          <w:sz w:val="24"/>
          <w:szCs w:val="24"/>
          <w:u w:val="none"/>
          <w:effect w:val="none"/>
        </w:rPr>
        <w:t>evento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tipo do evento; </w:t>
      </w:r>
      <w:r>
        <w:rPr>
          <w:rFonts w:ascii="Times New Roman" w:hAnsi="Times New Roman"/>
          <w:b w:val="false"/>
          <w:i/>
          <w:caps w:val="false"/>
          <w:smallCaps w:val="false"/>
          <w:strike w:val="false"/>
          <w:dstrike w:val="false"/>
          <w:color w:val="000000"/>
          <w:sz w:val="24"/>
          <w:szCs w:val="24"/>
          <w:u w:val="none"/>
          <w:effect w:val="none"/>
        </w:rPr>
        <w:t>data_referencia</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data; </w:t>
      </w:r>
      <w:r>
        <w:rPr>
          <w:rFonts w:ascii="Times New Roman" w:hAnsi="Times New Roman"/>
          <w:b w:val="false"/>
          <w:i/>
          <w:caps w:val="false"/>
          <w:smallCaps w:val="false"/>
          <w:strike w:val="false"/>
          <w:dstrike w:val="false"/>
          <w:color w:val="000000"/>
          <w:sz w:val="24"/>
          <w:szCs w:val="24"/>
          <w:u w:val="none"/>
          <w:effect w:val="none"/>
        </w:rPr>
        <w:t>agente</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arma</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características do evento; </w:t>
      </w:r>
      <w:r>
        <w:rPr>
          <w:rFonts w:ascii="Times New Roman" w:hAnsi="Times New Roman"/>
          <w:b w:val="false"/>
          <w:i/>
          <w:caps w:val="false"/>
          <w:smallCaps w:val="false"/>
          <w:strike w:val="false"/>
          <w:dstrike w:val="false"/>
          <w:color w:val="000000"/>
          <w:sz w:val="24"/>
          <w:szCs w:val="24"/>
          <w:u w:val="none"/>
          <w:effect w:val="none"/>
        </w:rPr>
        <w:t>faixa_etaria</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feminino</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masculino</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nao_informado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perfil das vítimas; </w:t>
      </w:r>
      <w:r>
        <w:rPr>
          <w:rFonts w:ascii="Times New Roman" w:hAnsi="Times New Roman"/>
          <w:b w:val="false"/>
          <w:i/>
          <w:caps w:val="false"/>
          <w:smallCaps w:val="false"/>
          <w:strike w:val="false"/>
          <w:dstrike w:val="false"/>
          <w:color w:val="000000"/>
          <w:sz w:val="24"/>
          <w:szCs w:val="24"/>
          <w:u w:val="none"/>
          <w:effect w:val="none"/>
        </w:rPr>
        <w:t>total_vitima</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total</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total_peso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contagens; </w:t>
      </w:r>
      <w:r>
        <w:rPr>
          <w:rFonts w:ascii="Times New Roman" w:hAnsi="Times New Roman"/>
          <w:b w:val="false"/>
          <w:i/>
          <w:caps w:val="false"/>
          <w:smallCaps w:val="false"/>
          <w:strike w:val="false"/>
          <w:dstrike w:val="false"/>
          <w:color w:val="000000"/>
          <w:sz w:val="24"/>
          <w:szCs w:val="24"/>
          <w:u w:val="none"/>
          <w:effect w:val="none"/>
        </w:rPr>
        <w:t>abrangencia</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formulario</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metadados. Representam a demanda por segurança e a carga de eventos por município.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pode oferecer ao estudo.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Contexto de demanda por segurança e complexidade da gestão estadual/municipal; possível proxy de carga de eventos por município. Vinculação à base SICONFI por </w:t>
      </w:r>
      <w:r>
        <w:rPr>
          <w:rFonts w:ascii="Times New Roman" w:hAnsi="Times New Roman"/>
          <w:b w:val="false"/>
          <w:i/>
          <w:caps w:val="false"/>
          <w:smallCaps w:val="false"/>
          <w:strike w:val="false"/>
          <w:dstrike w:val="false"/>
          <w:color w:val="000000"/>
          <w:sz w:val="24"/>
          <w:szCs w:val="24"/>
          <w:u w:val="none"/>
          <w:effect w:val="none"/>
        </w:rPr>
        <w:t>uf</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e nome do município (requer normalização de nomes).</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Avaliação (juízo de valor).</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Cobertura: alta dimensão (~100 mil+ linhas), por UF e município (nome); cobertura varia por estado. Qualidade: vinculação ao SICONFI exige uf+nome do município; divergências de grafia reduzem o match; não há cod_ibge. Recomendação: agregar por município/ano; normalizar nomes antes do join; uso para contexto de demanda por segurança.</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é possível fazer.</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É possível cruzar a base Gestores (uf + nome do município) com a base SICONFI vinculada (09 ou 07.03) por </w:t>
      </w:r>
      <w:r>
        <w:rPr>
          <w:rFonts w:ascii="Times New Roman" w:hAnsi="Times New Roman"/>
          <w:b/>
          <w:i w:val="false"/>
          <w:caps w:val="false"/>
          <w:smallCaps w:val="false"/>
          <w:strike w:val="false"/>
          <w:dstrike w:val="false"/>
          <w:color w:val="000000"/>
          <w:sz w:val="24"/>
          <w:szCs w:val="24"/>
          <w:u w:val="none"/>
          <w:effect w:val="none"/>
        </w:rPr>
        <w:t>uf e nome do município</w:t>
      </w:r>
      <w:r>
        <w:rPr>
          <w:rFonts w:ascii="Times New Roman" w:hAnsi="Times New Roman"/>
          <w:b w:val="false"/>
          <w:i w:val="false"/>
          <w:caps w:val="false"/>
          <w:smallCaps w:val="false"/>
          <w:strike w:val="false"/>
          <w:dstrike w:val="false"/>
          <w:color w:val="000000"/>
          <w:sz w:val="24"/>
          <w:szCs w:val="24"/>
          <w:u w:val="none"/>
          <w:effect w:val="none"/>
        </w:rPr>
        <w:t xml:space="preserve">, após normalização de nomes (remover acentos, padronizar), para obter </w:t>
      </w:r>
      <w:r>
        <w:rPr>
          <w:rFonts w:ascii="Times New Roman" w:hAnsi="Times New Roman"/>
          <w:b/>
          <w:i w:val="false"/>
          <w:caps w:val="false"/>
          <w:smallCaps w:val="false"/>
          <w:strike w:val="false"/>
          <w:dstrike w:val="false"/>
          <w:color w:val="000000"/>
          <w:sz w:val="24"/>
          <w:szCs w:val="24"/>
          <w:u w:val="none"/>
          <w:effect w:val="none"/>
        </w:rPr>
        <w:t>cod_ibge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e, quando disponível, </w:t>
      </w:r>
      <w:r>
        <w:rPr>
          <w:rFonts w:ascii="Times New Roman" w:hAnsi="Times New Roman"/>
          <w:b/>
          <w:i w:val="false"/>
          <w:caps w:val="false"/>
          <w:smallCaps w:val="false"/>
          <w:strike w:val="false"/>
          <w:dstrike w:val="false"/>
          <w:color w:val="000000"/>
          <w:sz w:val="24"/>
          <w:szCs w:val="24"/>
          <w:u w:val="none"/>
          <w:effect w:val="none"/>
        </w:rPr>
        <w:t>população de referência</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(ibge_pop2010 na base 09). Com isso pode-se fazer abertura por UF com totais de eventos e de municípios e, onde houver população vinculada, </w:t>
      </w:r>
      <w:r>
        <w:rPr>
          <w:rFonts w:ascii="Times New Roman" w:hAnsi="Times New Roman"/>
          <w:b/>
          <w:i w:val="false"/>
          <w:caps w:val="false"/>
          <w:smallCaps w:val="false"/>
          <w:strike w:val="false"/>
          <w:dstrike w:val="false"/>
          <w:color w:val="000000"/>
          <w:sz w:val="24"/>
          <w:szCs w:val="24"/>
          <w:u w:val="none"/>
          <w:effect w:val="none"/>
        </w:rPr>
        <w:t>eventos por 100 mil habitantes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por UF. O vínculo é parcial: divergências de grafia entre Gestores e SICONFI reduzem o match; a população é de referência (Censo 2010 ou cadastro da base 09).</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 base contém eventos cujo </w:t>
      </w:r>
      <w:r>
        <w:rPr>
          <w:rFonts w:ascii="Times New Roman" w:hAnsi="Times New Roman"/>
          <w:b/>
          <w:i w:val="false"/>
          <w:caps w:val="false"/>
          <w:smallCaps w:val="false"/>
          <w:strike w:val="false"/>
          <w:dstrike w:val="false"/>
          <w:color w:val="000000"/>
          <w:sz w:val="24"/>
          <w:szCs w:val="24"/>
          <w:u w:val="none"/>
          <w:effect w:val="none"/>
        </w:rPr>
        <w:t>formulário ou tipo de reporte varia</w:t>
      </w:r>
      <w:r>
        <w:rPr>
          <w:rFonts w:ascii="Times New Roman" w:hAnsi="Times New Roman"/>
          <w:b w:val="false"/>
          <w:i w:val="false"/>
          <w:caps w:val="false"/>
          <w:smallCaps w:val="false"/>
          <w:strike w:val="false"/>
          <w:dstrike w:val="false"/>
          <w:color w:val="000000"/>
          <w:sz w:val="24"/>
          <w:szCs w:val="24"/>
          <w:u w:val="none"/>
          <w:effect w:val="none"/>
        </w:rPr>
        <w:t xml:space="preserve">: nem todos os eventos preenchem as mesmas variáveis (agente, arma, faixa etária, gênero, totais de vítimas). Por isso a análise abaixo está organizada em </w:t>
      </w:r>
      <w:r>
        <w:rPr>
          <w:rFonts w:ascii="Times New Roman" w:hAnsi="Times New Roman"/>
          <w:b/>
          <w:i w:val="false"/>
          <w:caps w:val="false"/>
          <w:smallCaps w:val="false"/>
          <w:strike w:val="false"/>
          <w:dstrike w:val="false"/>
          <w:color w:val="000000"/>
          <w:sz w:val="24"/>
          <w:szCs w:val="24"/>
          <w:u w:val="none"/>
          <w:effect w:val="none"/>
        </w:rPr>
        <w:t>blocos</w:t>
      </w:r>
      <w:r>
        <w:rPr>
          <w:rFonts w:ascii="Times New Roman" w:hAnsi="Times New Roman"/>
          <w:b w:val="false"/>
          <w:i w:val="false"/>
          <w:caps w:val="false"/>
          <w:smallCaps w:val="false"/>
          <w:strike w:val="false"/>
          <w:dstrike w:val="false"/>
          <w:color w:val="000000"/>
          <w:sz w:val="24"/>
          <w:szCs w:val="24"/>
          <w:u w:val="none"/>
          <w:effect w:val="none"/>
        </w:rPr>
        <w:t>: visão geral (cobertura e registros por UF/região); tipos de evento; características do evento (agente, arma); perfil demográfico (quando disponível); e vítimas/totais (quando disponível). Em cada bloco, as tabelas são geradas apenas quando a variável existir e tiver dados na amostra (até 100 mil linhas).</w:t>
      </w:r>
    </w:p>
    <w:p>
      <w:pPr>
        <w:pStyle w:val="Ttulo3"/>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3.4.1. Visão geral e cobertura</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As tabelas abaixo resumem a cobertura municipal e a distribuição de </w:t>
      </w:r>
      <w:r>
        <w:rPr>
          <w:rFonts w:ascii="Times New Roman" w:hAnsi="Times New Roman"/>
          <w:b/>
          <w:i w:val="false"/>
          <w:caps w:val="false"/>
          <w:smallCaps w:val="false"/>
          <w:strike w:val="false"/>
          <w:dstrike w:val="false"/>
          <w:color w:val="000000"/>
          <w:sz w:val="24"/>
          <w:szCs w:val="24"/>
          <w:u w:val="none"/>
          <w:effect w:val="none"/>
        </w:rPr>
        <w:t>registros de eventos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por UF e por região (amostra de até 100 mil linhas). Quando a base SICONFI vinculada está disponível, inclui-se eventos por 100 mil habitantes por UF.</w:t>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Gestores Estaduais 2025: cobertura municipal (registros de eventos). Fonte: referencias/IBGE/.</w:t>
      </w:r>
    </w:p>
    <w:tbl>
      <w:tblPr>
        <w:tblW w:w="9142" w:type="dxa"/>
        <w:jc w:val="start"/>
        <w:tblInd w:w="0" w:type="dxa"/>
        <w:tblCellMar>
          <w:top w:w="0" w:type="dxa"/>
          <w:start w:w="0" w:type="dxa"/>
          <w:bottom w:w="28" w:type="dxa"/>
          <w:end w:w="0" w:type="dxa"/>
        </w:tblCellMar>
      </w:tblPr>
      <w:tblGrid>
        <w:gridCol w:w="7046"/>
        <w:gridCol w:w="2096"/>
      </w:tblGrid>
      <w:tr>
        <w:trPr/>
        <w:tc>
          <w:tcPr>
            <w:tcW w:w="7046"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metrica</w:t>
            </w:r>
          </w:p>
        </w:tc>
        <w:tc>
          <w:tcPr>
            <w:tcW w:w="2096" w:type="dxa"/>
            <w:tcBorders>
              <w:bottom w:val="single" w:sz="6" w:space="0" w:color="000000"/>
            </w:tcBorders>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valor</w:t>
            </w:r>
          </w:p>
        </w:tc>
      </w:tr>
      <w:tr>
        <w:trPr/>
        <w:tc>
          <w:tcPr>
            <w:tcW w:w="7046"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de municípios com pelo menos um evento (amostra de até 100 mil linhas)</w:t>
            </w:r>
          </w:p>
        </w:tc>
        <w:tc>
          <w:tcPr>
            <w:tcW w:w="2096" w:type="dxa"/>
            <w:tcBorders>
              <w:top w:val="single" w:sz="6" w:space="0" w:color="000000"/>
            </w:tcBorders>
            <w:tcMar>
              <w:top w:w="28" w:type="dxa"/>
              <w:bottom w:w="0"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5597</w:t>
            </w:r>
          </w:p>
        </w:tc>
      </w:tr>
    </w:tbl>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Gestores Estaduais 2025: por tipo de evento — n_registros = linhas; n_municipios = municípios; soma_total / soma_total_vitima / soma_total_peso = use conforme o tipo de evento (amostra). Fonte: referencias/IBGE/.</w:t>
      </w:r>
    </w:p>
    <w:tbl>
      <w:tblPr>
        <w:tblW w:w="9638" w:type="dxa"/>
        <w:jc w:val="start"/>
        <w:tblInd w:w="0" w:type="dxa"/>
        <w:tblCellMar>
          <w:top w:w="0" w:type="dxa"/>
          <w:start w:w="0" w:type="dxa"/>
          <w:bottom w:w="28" w:type="dxa"/>
          <w:end w:w="0" w:type="dxa"/>
        </w:tblCellMar>
      </w:tblPr>
      <w:tblGrid>
        <w:gridCol w:w="2546"/>
        <w:gridCol w:w="1383"/>
        <w:gridCol w:w="1127"/>
        <w:gridCol w:w="1116"/>
        <w:gridCol w:w="1139"/>
        <w:gridCol w:w="1139"/>
        <w:gridCol w:w="1188"/>
      </w:tblGrid>
      <w:tr>
        <w:trPr/>
        <w:tc>
          <w:tcPr>
            <w:tcW w:w="2546"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383"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127"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116"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139"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139"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188"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r>
      <w:tr>
        <w:trPr/>
        <w:tc>
          <w:tcPr>
            <w:tcW w:w="2546" w:type="dxa"/>
            <w:tcBorders>
              <w:top w:val="single" w:sz="6" w:space="0" w:color="000000"/>
            </w:tcBorders>
            <w:tcMar>
              <w:top w:w="28" w:type="dxa"/>
              <w:bottom w:w="0"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Emissão de Alvarás de licença</w:t>
            </w:r>
          </w:p>
        </w:tc>
        <w:tc>
          <w:tcPr>
            <w:tcW w:w="1383"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318.189</w:t>
            </w:r>
          </w:p>
        </w:tc>
        <w:tc>
          <w:tcPr>
            <w:tcW w:w="1127"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245.487</w:t>
            </w:r>
          </w:p>
        </w:tc>
        <w:tc>
          <w:tcPr>
            <w:tcW w:w="1116"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110.314</w:t>
            </w:r>
          </w:p>
        </w:tc>
        <w:tc>
          <w:tcPr>
            <w:tcW w:w="1139"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352.933</w:t>
            </w:r>
          </w:p>
        </w:tc>
        <w:tc>
          <w:tcPr>
            <w:tcW w:w="1139"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727.892</w:t>
            </w:r>
          </w:p>
        </w:tc>
        <w:tc>
          <w:tcPr>
            <w:tcW w:w="1188"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1.754.815</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Atendimento pré-hospitalar</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219.524</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62.053</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55.487</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457.156</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233.075</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1.027.295</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Realização de vistorias</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102.492</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174.523</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100.173</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206.622</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164.844</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748.654</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Busca e salvamento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106.788</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73.283</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16.988</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268.359</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44.931</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510.349</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Combate a incêndios</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62.849</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47.784</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22.091</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152.655</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50.926</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336.305</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Mandado de prisão cumprido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31.444</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55.009</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22.897</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119.141</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65.867</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294.358</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Tráfico de drogas</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17.263</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39.073</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13.620</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105.971</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39.234</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215.161</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Furto de veículo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9.415</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30.976</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9.282</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131.202</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21.281</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202.156</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Arma de Fogo Apreendida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8.929</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35.508</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8.331</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37.148</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16.573</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106.489</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Roubo de veículo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2.077</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40.446</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3.157</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55.017</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4.046</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104.743</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Roubo de carga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71</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760</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154</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7.386</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207</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8.578</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Roubo a instituição financeira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60</w:t>
            </w:r>
          </w:p>
        </w:tc>
      </w:tr>
      <w:tr>
        <w:trPr/>
        <w:tc>
          <w:tcPr>
            <w:tcW w:w="2546"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879.043</w:t>
            </w:r>
          </w:p>
        </w:tc>
        <w:tc>
          <w:tcPr>
            <w:tcW w:w="112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804.915</w:t>
            </w:r>
          </w:p>
        </w:tc>
        <w:tc>
          <w:tcPr>
            <w:tcW w:w="1116"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362.501</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1.893.627</w:t>
            </w:r>
          </w:p>
        </w:tc>
        <w:tc>
          <w:tcPr>
            <w:tcW w:w="11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1.368.877</w:t>
            </w:r>
          </w:p>
        </w:tc>
        <w:tc>
          <w:tcPr>
            <w:tcW w:w="118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5.308.963</w:t>
            </w:r>
          </w:p>
        </w:tc>
      </w:tr>
    </w:tbl>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Gestores Estaduais 2025: ranking tipos de evento por região (amostra). Fonte: referencias/IBGE/.</w:t>
      </w:r>
    </w:p>
    <w:tbl>
      <w:tblPr>
        <w:tblW w:w="9638" w:type="dxa"/>
        <w:jc w:val="start"/>
        <w:tblInd w:w="0" w:type="dxa"/>
        <w:tblCellMar>
          <w:top w:w="0" w:type="dxa"/>
          <w:start w:w="0" w:type="dxa"/>
          <w:bottom w:w="28" w:type="dxa"/>
          <w:end w:w="0" w:type="dxa"/>
        </w:tblCellMar>
      </w:tblPr>
      <w:tblGrid>
        <w:gridCol w:w="2953"/>
        <w:gridCol w:w="1383"/>
        <w:gridCol w:w="1064"/>
        <w:gridCol w:w="1041"/>
        <w:gridCol w:w="1054"/>
        <w:gridCol w:w="1041"/>
        <w:gridCol w:w="1102"/>
      </w:tblGrid>
      <w:tr>
        <w:trPr/>
        <w:tc>
          <w:tcPr>
            <w:tcW w:w="2953"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383"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064"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04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054"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041"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102"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w:t>
            </w:r>
          </w:p>
        </w:tc>
      </w:tr>
      <w:tr>
        <w:trPr/>
        <w:tc>
          <w:tcPr>
            <w:tcW w:w="2953" w:type="dxa"/>
            <w:tcBorders>
              <w:top w:val="single" w:sz="6" w:space="0" w:color="000000"/>
            </w:tcBorders>
            <w:tcMar>
              <w:top w:w="28" w:type="dxa"/>
              <w:bottom w:w="0"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Pessoa Desaparecida</w:t>
            </w:r>
          </w:p>
        </w:tc>
        <w:tc>
          <w:tcPr>
            <w:tcW w:w="1383"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8.356</w:t>
            </w:r>
          </w:p>
        </w:tc>
        <w:tc>
          <w:tcPr>
            <w:tcW w:w="1064"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14.339</w:t>
            </w:r>
          </w:p>
        </w:tc>
        <w:tc>
          <w:tcPr>
            <w:tcW w:w="104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5.245</w:t>
            </w:r>
          </w:p>
        </w:tc>
        <w:tc>
          <w:tcPr>
            <w:tcW w:w="1054"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38.437</w:t>
            </w:r>
          </w:p>
        </w:tc>
        <w:tc>
          <w:tcPr>
            <w:tcW w:w="1041"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18.383</w:t>
            </w:r>
          </w:p>
        </w:tc>
        <w:tc>
          <w:tcPr>
            <w:tcW w:w="1102"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84.760</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Estupro de vulnerável</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6.643</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13.427</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9.452</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17.435</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11.994</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58.951</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Pessoa Localizada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6.015</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6.229</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2.541</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24.871</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17.032</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56.688</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Tentativa de homicídio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3.664</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11.444</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3.740</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11.618</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4.075</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34.541</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Homicídio doloso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1.957</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14.672</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3.489</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8.807</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2.648</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31.573</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Morte no trânsito ou em decorrência dele (exceto homicídio doloso)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2.310</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7.681</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2.640</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9.798</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2.508</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24.937</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Estupro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3.193</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3.891</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2.139</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11.111</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3.727</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24.061</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Suicídio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1.686</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3.992</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1.391</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6.277</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3.143</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16.489</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Mortes a esclarecer (sem indício de crime)</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1.282</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4.153</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1.564</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6.446</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1.081</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14.526</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Morte por intervenção de Agente do Estado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581</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2.520</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898</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1.914</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606</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6.519</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Tentativa de feminicídio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644</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973</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576</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966</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636</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3.795</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Feminicídio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171</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428</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158</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554</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219</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1.530</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Roubo seguido de morte (latrocínio)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51</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265</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112</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271</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94</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793</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Lesão corporal seguida de morte</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46</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188</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67</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233</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112</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646</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Morte de Agente do Estado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112</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185</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Suicídio de Agente do Estado</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46</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131</w:t>
            </w:r>
          </w:p>
        </w:tc>
      </w:tr>
      <w:tr>
        <w:trPr/>
        <w:tc>
          <w:tcPr>
            <w:tcW w:w="2953"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36.616</w:t>
            </w:r>
          </w:p>
        </w:tc>
        <w:tc>
          <w:tcPr>
            <w:tcW w:w="106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84.269</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34.050</w:t>
            </w:r>
          </w:p>
        </w:tc>
        <w:tc>
          <w:tcPr>
            <w:tcW w:w="10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138.896</w:t>
            </w:r>
          </w:p>
        </w:tc>
        <w:tc>
          <w:tcPr>
            <w:tcW w:w="1041"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66.294</w:t>
            </w:r>
          </w:p>
        </w:tc>
        <w:tc>
          <w:tcPr>
            <w:tcW w:w="110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360.125</w:t>
            </w:r>
          </w:p>
        </w:tc>
      </w:tr>
    </w:tbl>
    <w:p>
      <w:pPr>
        <w:pStyle w:val="Corpodotexto"/>
        <w:bidi w:val="0"/>
        <w:spacing w:lineRule="auto" w:line="429" w:before="18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Gestores Estaduais 2025: distribuição de arma (amostra). Fonte: referencias/IBGE/.</w:t>
      </w:r>
    </w:p>
    <w:tbl>
      <w:tblPr>
        <w:tblW w:w="9638" w:type="dxa"/>
        <w:jc w:val="start"/>
        <w:tblInd w:w="0" w:type="dxa"/>
        <w:tblCellMar>
          <w:top w:w="0" w:type="dxa"/>
          <w:start w:w="0" w:type="dxa"/>
          <w:bottom w:w="28" w:type="dxa"/>
          <w:end w:w="0" w:type="dxa"/>
        </w:tblCellMar>
      </w:tblPr>
      <w:tblGrid>
        <w:gridCol w:w="1808"/>
        <w:gridCol w:w="1383"/>
        <w:gridCol w:w="1313"/>
        <w:gridCol w:w="1254"/>
        <w:gridCol w:w="1278"/>
        <w:gridCol w:w="1260"/>
        <w:gridCol w:w="1342"/>
      </w:tblGrid>
      <w:tr>
        <w:trPr/>
        <w:tc>
          <w:tcPr>
            <w:tcW w:w="1808"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383"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313"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254"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278"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260"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342"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r>
      <w:tr>
        <w:trPr/>
        <w:tc>
          <w:tcPr>
            <w:tcW w:w="1808" w:type="dxa"/>
            <w:tcBorders>
              <w:top w:val="single" w:sz="6" w:space="0" w:color="000000"/>
            </w:tcBorders>
            <w:tcMar>
              <w:top w:w="28" w:type="dxa"/>
              <w:bottom w:w="0"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Revolver</w:t>
            </w:r>
          </w:p>
        </w:tc>
        <w:tc>
          <w:tcPr>
            <w:tcW w:w="1383"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2.732</w:t>
            </w:r>
          </w:p>
        </w:tc>
        <w:tc>
          <w:tcPr>
            <w:tcW w:w="1313"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12.797</w:t>
            </w:r>
          </w:p>
        </w:tc>
        <w:tc>
          <w:tcPr>
            <w:tcW w:w="1254"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1.990</w:t>
            </w:r>
          </w:p>
        </w:tc>
        <w:tc>
          <w:tcPr>
            <w:tcW w:w="1278"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12.204</w:t>
            </w:r>
          </w:p>
        </w:tc>
        <w:tc>
          <w:tcPr>
            <w:tcW w:w="1260"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5.897</w:t>
            </w:r>
          </w:p>
        </w:tc>
        <w:tc>
          <w:tcPr>
            <w:tcW w:w="1342"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35.620</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Pistola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2.449</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7.156</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1.922</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13.276</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4.802</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29.605</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Espingarda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1.530</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7.992</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2.409</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5.365</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3.432</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20.728</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Outra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1.541</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6.386</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1.484</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2.861</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1.139</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13.411</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Carabina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439</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448</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181</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1.218</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699</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2.985</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Fuzil</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304</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127</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1.512</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155</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2.151</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Rifle</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162</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179</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180</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134</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397</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1.052</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Submetralhadora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30</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497</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48</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607</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Metralhadora</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216</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81</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330</w:t>
            </w:r>
          </w:p>
        </w:tc>
      </w:tr>
      <w:tr>
        <w:trPr/>
        <w:tc>
          <w:tcPr>
            <w:tcW w:w="1808" w:type="dxa"/>
            <w:tcBorders/>
            <w:tcMar>
              <w:top w:w="28" w:type="dxa"/>
              <w:start w:w="28" w:type="dxa"/>
              <w:end w:w="28" w:type="dxa"/>
            </w:tcMar>
            <w:vAlign w:val="center"/>
          </w:tcPr>
          <w:p>
            <w:pPr>
              <w:pStyle w:val="Contedodatabela"/>
              <w:bidi w:val="0"/>
              <w:spacing w:lineRule="auto" w:line="429" w:before="0" w:after="18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c>
          <w:tcPr>
            <w:tcW w:w="138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8.929</w:t>
            </w:r>
          </w:p>
        </w:tc>
        <w:tc>
          <w:tcPr>
            <w:tcW w:w="131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35.508</w:t>
            </w:r>
          </w:p>
        </w:tc>
        <w:tc>
          <w:tcPr>
            <w:tcW w:w="125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8.331</w:t>
            </w:r>
          </w:p>
        </w:tc>
        <w:tc>
          <w:tcPr>
            <w:tcW w:w="1278"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37.148</w:t>
            </w:r>
          </w:p>
        </w:tc>
        <w:tc>
          <w:tcPr>
            <w:tcW w:w="1260"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16.573</w:t>
            </w:r>
          </w:p>
        </w:tc>
        <w:tc>
          <w:tcPr>
            <w:tcW w:w="1342"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106.489</w:t>
            </w:r>
          </w:p>
        </w:tc>
      </w:tr>
    </w:tbl>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Gestores Estaduais 2025: contagens por gênero por região (amostra). Fonte: referencias/IBGE/.</w:t>
      </w:r>
    </w:p>
    <w:tbl>
      <w:tblPr>
        <w:tblW w:w="6269" w:type="dxa"/>
        <w:jc w:val="start"/>
        <w:tblInd w:w="0" w:type="dxa"/>
        <w:tblCellMar>
          <w:top w:w="0" w:type="dxa"/>
          <w:start w:w="0" w:type="dxa"/>
          <w:bottom w:w="28" w:type="dxa"/>
          <w:end w:w="0" w:type="dxa"/>
        </w:tblCellMar>
      </w:tblPr>
      <w:tblGrid>
        <w:gridCol w:w="1766"/>
        <w:gridCol w:w="1151"/>
        <w:gridCol w:w="1361"/>
        <w:gridCol w:w="1991"/>
      </w:tblGrid>
      <w:tr>
        <w:trPr/>
        <w:tc>
          <w:tcPr>
            <w:tcW w:w="1766"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regiao</w:t>
            </w:r>
          </w:p>
        </w:tc>
        <w:tc>
          <w:tcPr>
            <w:tcW w:w="1151" w:type="dxa"/>
            <w:tcBorders>
              <w:bottom w:val="single" w:sz="6" w:space="0" w:color="000000"/>
            </w:tcBorders>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feminino</w:t>
            </w:r>
          </w:p>
        </w:tc>
        <w:tc>
          <w:tcPr>
            <w:tcW w:w="1361" w:type="dxa"/>
            <w:tcBorders>
              <w:bottom w:val="single" w:sz="6" w:space="0" w:color="000000"/>
            </w:tcBorders>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masculino</w:t>
            </w:r>
          </w:p>
        </w:tc>
        <w:tc>
          <w:tcPr>
            <w:tcW w:w="1991" w:type="dxa"/>
            <w:tcBorders>
              <w:bottom w:val="single" w:sz="6" w:space="0" w:color="000000"/>
            </w:tcBorders>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nao_informado</w:t>
            </w:r>
          </w:p>
        </w:tc>
      </w:tr>
      <w:tr>
        <w:trPr/>
        <w:tc>
          <w:tcPr>
            <w:tcW w:w="1766"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151" w:type="dxa"/>
            <w:tcBorders>
              <w:top w:val="single" w:sz="6" w:space="0" w:color="000000"/>
            </w:tcBorders>
            <w:tcMar>
              <w:top w:w="28" w:type="dxa"/>
              <w:bottom w:w="0"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1012</w:t>
            </w:r>
          </w:p>
        </w:tc>
        <w:tc>
          <w:tcPr>
            <w:tcW w:w="1361" w:type="dxa"/>
            <w:tcBorders>
              <w:top w:val="single" w:sz="6" w:space="0" w:color="000000"/>
            </w:tcBorders>
            <w:tcMar>
              <w:top w:w="28" w:type="dxa"/>
              <w:bottom w:w="0"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1967</w:t>
            </w:r>
          </w:p>
        </w:tc>
        <w:tc>
          <w:tcPr>
            <w:tcW w:w="1991" w:type="dxa"/>
            <w:tcBorders>
              <w:top w:val="single" w:sz="6" w:space="0" w:color="000000"/>
            </w:tcBorders>
            <w:tcMar>
              <w:top w:w="28" w:type="dxa"/>
              <w:bottom w:w="0"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157</w:t>
            </w:r>
          </w:p>
        </w:tc>
      </w:tr>
      <w:tr>
        <w:trPr/>
        <w:tc>
          <w:tcPr>
            <w:tcW w:w="176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15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3501</w:t>
            </w:r>
          </w:p>
        </w:tc>
        <w:tc>
          <w:tcPr>
            <w:tcW w:w="136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11620</w:t>
            </w:r>
          </w:p>
        </w:tc>
        <w:tc>
          <w:tcPr>
            <w:tcW w:w="199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109</w:t>
            </w:r>
          </w:p>
        </w:tc>
      </w:tr>
      <w:tr>
        <w:trPr/>
        <w:tc>
          <w:tcPr>
            <w:tcW w:w="176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15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1236</w:t>
            </w:r>
          </w:p>
        </w:tc>
        <w:tc>
          <w:tcPr>
            <w:tcW w:w="136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2934</w:t>
            </w:r>
          </w:p>
        </w:tc>
        <w:tc>
          <w:tcPr>
            <w:tcW w:w="199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109</w:t>
            </w:r>
          </w:p>
        </w:tc>
      </w:tr>
      <w:tr>
        <w:trPr/>
        <w:tc>
          <w:tcPr>
            <w:tcW w:w="176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15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3296</w:t>
            </w:r>
          </w:p>
        </w:tc>
        <w:tc>
          <w:tcPr>
            <w:tcW w:w="136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6199</w:t>
            </w:r>
          </w:p>
        </w:tc>
        <w:tc>
          <w:tcPr>
            <w:tcW w:w="199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424</w:t>
            </w:r>
          </w:p>
        </w:tc>
      </w:tr>
      <w:tr>
        <w:trPr/>
        <w:tc>
          <w:tcPr>
            <w:tcW w:w="176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15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1471</w:t>
            </w:r>
          </w:p>
        </w:tc>
        <w:tc>
          <w:tcPr>
            <w:tcW w:w="136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3086</w:t>
            </w:r>
          </w:p>
        </w:tc>
        <w:tc>
          <w:tcPr>
            <w:tcW w:w="199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38</w:t>
            </w:r>
          </w:p>
        </w:tc>
      </w:tr>
    </w:tbl>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Gestores Estaduais 2025: vítimas/totais por UF e, quando disponível, por 100 mil hab (amostra). Fonte: referencias/IBGE/.</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val="false"/>
          <w:i/>
          <w:caps w:val="false"/>
          <w:smallCaps w:val="false"/>
          <w:strike w:val="false"/>
          <w:dstrike w:val="false"/>
          <w:color w:val="000000"/>
          <w:sz w:val="24"/>
          <w:szCs w:val="24"/>
          <w:u w:val="none"/>
          <w:effect w:val="none"/>
        </w:rPr>
        <w:t>Análise (Bloco 5):</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As somas de vítimas/totais por UF e por região permitem comparar a magnitude dos eventos além do simples número de linhas; quando há população vinculada (SICONFI), o indicador por 100 mil habitantes torna a comparação entre UFs mais equitativa.</w:t>
      </w:r>
    </w:p>
    <w:p>
      <w:pPr>
        <w:pStyle w:val="Ttulo2"/>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3.1.5 dados_beneficios_dez.xlsx</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é.</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Quantidades de </w:t>
      </w:r>
      <w:r>
        <w:rPr>
          <w:rFonts w:ascii="Times New Roman" w:hAnsi="Times New Roman"/>
          <w:b/>
          <w:i w:val="false"/>
          <w:caps w:val="false"/>
          <w:smallCaps w:val="false"/>
          <w:strike w:val="false"/>
          <w:dstrike w:val="false"/>
          <w:color w:val="000000"/>
          <w:sz w:val="24"/>
          <w:szCs w:val="24"/>
          <w:u w:val="none"/>
          <w:effect w:val="none"/>
        </w:rPr>
        <w:t>benefícios sociais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por </w:t>
      </w:r>
      <w:r>
        <w:rPr>
          <w:rFonts w:ascii="Times New Roman" w:hAnsi="Times New Roman"/>
          <w:b/>
          <w:i w:val="false"/>
          <w:caps w:val="false"/>
          <w:smallCaps w:val="false"/>
          <w:strike w:val="false"/>
          <w:dstrike w:val="false"/>
          <w:color w:val="000000"/>
          <w:sz w:val="24"/>
          <w:szCs w:val="24"/>
          <w:u w:val="none"/>
          <w:effect w:val="none"/>
        </w:rPr>
        <w:t>município (codigo_ibge)</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e </w:t>
      </w:r>
      <w:r>
        <w:rPr>
          <w:rFonts w:ascii="Times New Roman" w:hAnsi="Times New Roman"/>
          <w:b/>
          <w:i w:val="false"/>
          <w:caps w:val="false"/>
          <w:smallCaps w:val="false"/>
          <w:strike w:val="false"/>
          <w:dstrike w:val="false"/>
          <w:color w:val="000000"/>
          <w:sz w:val="24"/>
          <w:szCs w:val="24"/>
          <w:u w:val="none"/>
          <w:effect w:val="none"/>
        </w:rPr>
        <w:t>mês (anomes_s)</w:t>
      </w:r>
      <w:r>
        <w:rPr>
          <w:rFonts w:ascii="Times New Roman" w:hAnsi="Times New Roman"/>
          <w:b w:val="false"/>
          <w:i w:val="false"/>
          <w:caps w:val="false"/>
          <w:smallCaps w:val="false"/>
          <w:strike w:val="false"/>
          <w:dstrike w:val="false"/>
          <w:color w:val="000000"/>
          <w:sz w:val="24"/>
          <w:szCs w:val="24"/>
          <w:u w:val="none"/>
          <w:effect w:val="none"/>
        </w:rPr>
        <w:t xml:space="preserve">. O conteúdo é compatível com programas vinculados ao </w:t>
      </w:r>
      <w:r>
        <w:rPr>
          <w:rFonts w:ascii="Times New Roman" w:hAnsi="Times New Roman"/>
          <w:b/>
          <w:i w:val="false"/>
          <w:caps w:val="false"/>
          <w:smallCaps w:val="false"/>
          <w:strike w:val="false"/>
          <w:dstrike w:val="false"/>
          <w:color w:val="000000"/>
          <w:sz w:val="24"/>
          <w:szCs w:val="24"/>
          <w:u w:val="none"/>
          <w:effect w:val="none"/>
        </w:rPr>
        <w:t>Cadastro Único para Programas Sociais (CadÚnico)</w:t>
      </w:r>
      <w:r>
        <w:rPr>
          <w:rFonts w:ascii="Times New Roman" w:hAnsi="Times New Roman"/>
          <w:b w:val="false"/>
          <w:i w:val="false"/>
          <w:caps w:val="false"/>
          <w:smallCaps w:val="false"/>
          <w:strike w:val="false"/>
          <w:dstrike w:val="false"/>
          <w:color w:val="000000"/>
          <w:sz w:val="24"/>
          <w:szCs w:val="24"/>
          <w:u w:val="none"/>
          <w:effect w:val="none"/>
        </w:rPr>
        <w:t>: Bolsa Família e seus componentes (BRC — Benefício de Renda de Cidadania; BCO — Complementar; BPI — Primeira Infância; BVG, BVN, BVA, BV, BF — variáveis e básicos), além de quant_bolsafamilia e total_bolsafamilia. Reflete a cobertura de programas de transferência de renda e de prestação continuada por município.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Origem.</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Arquivo XLSX em referencias/IBGE/; programas CadÚnico/MDS (Ministério do Desenvolvimento e Assistência Social).</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Variáveis.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codigo_ibge</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código IBGE 7 dígitos; </w:t>
      </w:r>
      <w:r>
        <w:rPr>
          <w:rFonts w:ascii="Times New Roman" w:hAnsi="Times New Roman"/>
          <w:b w:val="false"/>
          <w:i/>
          <w:caps w:val="false"/>
          <w:smallCaps w:val="false"/>
          <w:strike w:val="false"/>
          <w:dstrike w:val="false"/>
          <w:color w:val="000000"/>
          <w:sz w:val="24"/>
          <w:szCs w:val="24"/>
          <w:u w:val="none"/>
          <w:effect w:val="none"/>
        </w:rPr>
        <w:t>anomes_s</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ano-mês; </w:t>
      </w:r>
      <w:r>
        <w:rPr>
          <w:rFonts w:ascii="Times New Roman" w:hAnsi="Times New Roman"/>
          <w:b w:val="false"/>
          <w:i/>
          <w:caps w:val="false"/>
          <w:smallCaps w:val="false"/>
          <w:strike w:val="false"/>
          <w:dstrike w:val="false"/>
          <w:color w:val="000000"/>
          <w:sz w:val="24"/>
          <w:szCs w:val="24"/>
          <w:u w:val="none"/>
          <w:effect w:val="none"/>
        </w:rPr>
        <w:t>qtd_ben_brc</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qtd_ben_bco</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qtd_ben_bpi</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qtd_ben_bvg</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qtd_ben_bvn</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qtd_ben_bva</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qtd_ben_bv</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qtd_ben_bf</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 xml:space="preserve">quantidades por tipo de benefício; </w:t>
      </w:r>
      <w:r>
        <w:rPr>
          <w:rFonts w:ascii="Times New Roman" w:hAnsi="Times New Roman"/>
          <w:b w:val="false"/>
          <w:i/>
          <w:caps w:val="false"/>
          <w:smallCaps w:val="false"/>
          <w:strike w:val="false"/>
          <w:dstrike w:val="false"/>
          <w:color w:val="000000"/>
          <w:sz w:val="24"/>
          <w:szCs w:val="24"/>
          <w:u w:val="none"/>
          <w:effect w:val="none"/>
        </w:rPr>
        <w:t>quant_bolsafamilia</w:t>
      </w:r>
      <w:r>
        <w:rPr>
          <w:rFonts w:ascii="Times New Roman" w:hAnsi="Times New Roman"/>
          <w:b w:val="false"/>
          <w:i w:val="false"/>
          <w:caps w:val="false"/>
          <w:smallCaps w:val="false"/>
          <w:strike w:val="false"/>
          <w:dstrike w:val="false"/>
          <w:color w:val="000000"/>
          <w:sz w:val="24"/>
          <w:szCs w:val="24"/>
          <w:u w:val="none"/>
          <w:effect w:val="none"/>
        </w:rPr>
        <w:t xml:space="preserve">, </w:t>
      </w:r>
      <w:r>
        <w:rPr>
          <w:rFonts w:ascii="Times New Roman" w:hAnsi="Times New Roman"/>
          <w:b w:val="false"/>
          <w:i/>
          <w:caps w:val="false"/>
          <w:smallCaps w:val="false"/>
          <w:strike w:val="false"/>
          <w:dstrike w:val="false"/>
          <w:color w:val="000000"/>
          <w:sz w:val="24"/>
          <w:szCs w:val="24"/>
          <w:u w:val="none"/>
          <w:effect w:val="none"/>
        </w:rPr>
        <w:t>total_bolsafamilia</w:t>
      </w:r>
      <w:r>
        <w:rPr>
          <w:rFonts w:ascii="Times New Roman" w:hAnsi="Times New Roman"/>
          <w:b w:val="false"/>
          <w:caps w:val="false"/>
          <w:smallCaps w:val="false"/>
          <w:strike w:val="false"/>
          <w:dstrike w:val="false"/>
          <w:color w:val="000000"/>
          <w:sz w:val="24"/>
          <w:szCs w:val="24"/>
          <w:u w:val="none"/>
          <w:effect w:val="none"/>
        </w:rPr>
        <w:t xml:space="preserve"> — </w:t>
      </w:r>
      <w:r>
        <w:rPr>
          <w:rFonts w:ascii="Times New Roman" w:hAnsi="Times New Roman"/>
          <w:b w:val="false"/>
          <w:i w:val="false"/>
          <w:caps w:val="false"/>
          <w:smallCaps w:val="false"/>
          <w:strike w:val="false"/>
          <w:dstrike w:val="false"/>
          <w:color w:val="000000"/>
          <w:sz w:val="24"/>
          <w:szCs w:val="24"/>
          <w:u w:val="none"/>
          <w:effect w:val="none"/>
        </w:rPr>
        <w:t>totais Bolsa Família. Unidade: quantidade de benefícios (ou beneficiários) por município e mês.</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pode oferecer ao estudo.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Perfil de dependência de programas sociais por município; indicador de vulnerabilidade socioeconômica; cruzamento com autonomia fiscal (ex.: municípios com alta proporção de beneficiários e baixa receita própria = “dupla dependência” federal). Join por </w:t>
      </w:r>
      <w:r>
        <w:rPr>
          <w:rFonts w:ascii="Times New Roman" w:hAnsi="Times New Roman"/>
          <w:b w:val="false"/>
          <w:i/>
          <w:caps w:val="false"/>
          <w:smallCaps w:val="false"/>
          <w:strike w:val="false"/>
          <w:dstrike w:val="false"/>
          <w:color w:val="000000"/>
          <w:sz w:val="24"/>
          <w:szCs w:val="24"/>
          <w:u w:val="none"/>
          <w:effect w:val="none"/>
        </w:rPr>
        <w:t>cod_ibge</w:t>
      </w:r>
      <w:r>
        <w:rPr>
          <w:rFonts w:ascii="Times New Roman" w:hAnsi="Times New Roman"/>
          <w:b w:val="false"/>
          <w:i w:val="false"/>
          <w:caps w:val="false"/>
          <w:smallCaps w:val="false"/>
          <w:strike w:val="false"/>
          <w:dstrike w:val="false"/>
          <w:color w:val="000000"/>
          <w:sz w:val="24"/>
          <w:szCs w:val="24"/>
          <w:u w:val="none"/>
          <w:effect w:val="none"/>
        </w:rPr>
        <w:t>; agregar por ano para cruzar com indicadores anuais do 07.03.</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Avaliação (juízo de valor).</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Cobertura: ~5,6 mil linhas (município×mês); período definido por anomes_s. Qualidade: codigo_ibge permite join direto com SICONFI. Recomendação: agregar por ano a partir de anomes_s para cruzar com indicadores anuais; uso para perfil de dependência de programas sociais e vulnerabilidade.</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Os dados referem-se a </w:t>
      </w:r>
      <w:r>
        <w:rPr>
          <w:rFonts w:ascii="Times New Roman" w:hAnsi="Times New Roman"/>
          <w:b/>
          <w:i w:val="false"/>
          <w:caps w:val="false"/>
          <w:smallCaps w:val="false"/>
          <w:strike w:val="false"/>
          <w:dstrike w:val="false"/>
          <w:color w:val="000000"/>
          <w:sz w:val="24"/>
          <w:szCs w:val="24"/>
          <w:u w:val="none"/>
          <w:effect w:val="none"/>
        </w:rPr>
        <w:t>um único mês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(quando disponível, o valor de anomes_s no arquivo; ex.: 202512). </w:t>
      </w:r>
      <w:r>
        <w:rPr>
          <w:rFonts w:ascii="Times New Roman" w:hAnsi="Times New Roman"/>
          <w:b w:val="false"/>
          <w:i/>
          <w:caps w:val="false"/>
          <w:smallCaps w:val="false"/>
          <w:strike w:val="false"/>
          <w:dstrike w:val="false"/>
          <w:color w:val="000000"/>
          <w:sz w:val="24"/>
          <w:szCs w:val="24"/>
          <w:u w:val="none"/>
          <w:effect w:val="none"/>
        </w:rPr>
        <w:t>quant_bolsafamilia</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é o número de pessoas com o benefício; </w:t>
      </w:r>
      <w:r>
        <w:rPr>
          <w:rFonts w:ascii="Times New Roman" w:hAnsi="Times New Roman"/>
          <w:b w:val="false"/>
          <w:i/>
          <w:caps w:val="false"/>
          <w:smallCaps w:val="false"/>
          <w:strike w:val="false"/>
          <w:dstrike w:val="false"/>
          <w:color w:val="000000"/>
          <w:sz w:val="24"/>
          <w:szCs w:val="24"/>
          <w:u w:val="none"/>
          <w:effect w:val="none"/>
        </w:rPr>
        <w:t>total_bolsafamilia</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é o total em reais que recebem Bolsa Família. O ranking e o comparativo por região ajudam a identificar concentração de benefícios e padrões regionais.</w:t>
      </w:r>
    </w:p>
    <w:p>
      <w:pPr>
        <w:pStyle w:val="Corpodotexto"/>
        <w:bidi w:val="0"/>
        <w:spacing w:lineRule="auto" w:line="429" w:before="0" w:after="120"/>
        <w:jc w:val="both"/>
        <w:rPr>
          <w:rFonts w:ascii="Times New Roman" w:hAnsi="Times New Roman"/>
          <w:b w:val="false"/>
          <w:i/>
          <w:caps w:val="false"/>
          <w:smallCaps w:val="false"/>
          <w:strike w:val="false"/>
          <w:dstrike w:val="false"/>
          <w:color w:val="000000"/>
          <w:sz w:val="24"/>
          <w:szCs w:val="24"/>
          <w:u w:val="none"/>
          <w:effect w:val="none"/>
        </w:rPr>
      </w:pPr>
      <w:r>
        <w:rPr>
          <w:rFonts w:ascii="Times New Roman" w:hAnsi="Times New Roman"/>
          <w:b w:val="false"/>
          <w:i/>
          <w:caps w:val="false"/>
          <w:smallCaps w:val="false"/>
          <w:strike w:val="false"/>
          <w:dstrike w:val="false"/>
          <w:color w:val="000000"/>
          <w:sz w:val="24"/>
          <w:szCs w:val="24"/>
          <w:u w:val="none"/>
          <w:effect w:val="none"/>
        </w:rPr>
        <w:t>dados_beneficios_dez: top 25 municípios por volume de benefícios (total_bolsafamilia em R$; pct_beneficiarios_pop = beneficiários em % da população, quando disponível). Fonte: referencias/IBGE/.</w:t>
      </w:r>
    </w:p>
    <w:tbl>
      <w:tblPr>
        <w:tblW w:w="9486" w:type="dxa"/>
        <w:jc w:val="start"/>
        <w:tblInd w:w="0" w:type="dxa"/>
        <w:tblCellMar>
          <w:top w:w="0" w:type="dxa"/>
          <w:start w:w="0" w:type="dxa"/>
          <w:bottom w:w="28" w:type="dxa"/>
          <w:end w:w="0" w:type="dxa"/>
        </w:tblCellMar>
      </w:tblPr>
      <w:tblGrid>
        <w:gridCol w:w="1166"/>
        <w:gridCol w:w="1691"/>
        <w:gridCol w:w="806"/>
        <w:gridCol w:w="1781"/>
        <w:gridCol w:w="1511"/>
        <w:gridCol w:w="2531"/>
      </w:tblGrid>
      <w:tr>
        <w:trPr/>
        <w:tc>
          <w:tcPr>
            <w:tcW w:w="1166" w:type="dxa"/>
            <w:tcBorders>
              <w:bottom w:val="single" w:sz="6" w:space="0" w:color="000000"/>
            </w:tcBorders>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ranking</w:t>
            </w:r>
          </w:p>
        </w:tc>
        <w:tc>
          <w:tcPr>
            <w:tcW w:w="1691"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codigo_ibge</w:t>
            </w:r>
          </w:p>
        </w:tc>
        <w:tc>
          <w:tcPr>
            <w:tcW w:w="806"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uf</w:t>
            </w:r>
          </w:p>
        </w:tc>
        <w:tc>
          <w:tcPr>
            <w:tcW w:w="1781" w:type="dxa"/>
            <w:tcBorders>
              <w:bottom w:val="single" w:sz="6" w:space="0" w:color="000000"/>
            </w:tcBorders>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regiao</w:t>
            </w:r>
          </w:p>
        </w:tc>
        <w:tc>
          <w:tcPr>
            <w:tcW w:w="1511" w:type="dxa"/>
            <w:tcBorders>
              <w:bottom w:val="single" w:sz="6" w:space="0" w:color="000000"/>
            </w:tcBorders>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total_bf</w:t>
            </w:r>
          </w:p>
        </w:tc>
        <w:tc>
          <w:tcPr>
            <w:tcW w:w="2531" w:type="dxa"/>
            <w:tcBorders>
              <w:bottom w:val="single" w:sz="6" w:space="0" w:color="000000"/>
            </w:tcBorders>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pct_beneficiarios_pop</w:t>
            </w:r>
          </w:p>
        </w:tc>
      </w:tr>
      <w:tr>
        <w:trPr/>
        <w:tc>
          <w:tcPr>
            <w:tcW w:w="1166" w:type="dxa"/>
            <w:tcBorders>
              <w:top w:val="single" w:sz="6" w:space="0" w:color="000000"/>
            </w:tcBorders>
            <w:tcMar>
              <w:top w:w="28" w:type="dxa"/>
              <w:bottom w:w="0"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w:t>
            </w:r>
          </w:p>
        </w:tc>
        <w:tc>
          <w:tcPr>
            <w:tcW w:w="1691"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355030</w:t>
            </w:r>
          </w:p>
        </w:tc>
        <w:tc>
          <w:tcPr>
            <w:tcW w:w="806"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SP</w:t>
            </w:r>
          </w:p>
        </w:tc>
        <w:tc>
          <w:tcPr>
            <w:tcW w:w="1781" w:type="dxa"/>
            <w:tcBorders>
              <w:top w:val="single" w:sz="6" w:space="0" w:color="000000"/>
            </w:tcBorders>
            <w:tcMar>
              <w:top w:w="28" w:type="dxa"/>
              <w:bottom w:w="0"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op w:val="single" w:sz="6" w:space="0" w:color="000000"/>
            </w:tcBorders>
            <w:tcMar>
              <w:top w:w="28" w:type="dxa"/>
              <w:bottom w:w="0"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409897272</w:t>
            </w:r>
          </w:p>
        </w:tc>
        <w:tc>
          <w:tcPr>
            <w:tcW w:w="2531" w:type="dxa"/>
            <w:tcBorders>
              <w:top w:val="single" w:sz="6" w:space="0" w:color="000000"/>
            </w:tcBorders>
            <w:tcMar>
              <w:top w:w="28" w:type="dxa"/>
              <w:bottom w:w="0"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330455</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RJ</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282801015</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230440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183493463</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292740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BA</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177835461</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130260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AM</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155969150</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530010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DF</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104254059</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150140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PA</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96696085</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261160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88896418</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9</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330350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RJ</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81633547</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10</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211130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MA</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77531282</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11</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310620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MG</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76347812</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12</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270430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AL</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68021149</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351880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SP</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66676975</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330170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RJ</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60748004</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260790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PE</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56066872</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221100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PI</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55355503</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17</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250750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PB</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52760269</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18</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431490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RS</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49519535</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19</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291080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BA</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48429900</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240810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RN</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48138455</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330045</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RJ</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46096841</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330490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RJ</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43768681</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520870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GO</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43029651</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24</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160030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AP</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42348404</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r>
        <w:trPr/>
        <w:tc>
          <w:tcPr>
            <w:tcW w:w="1166"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25</w:t>
            </w:r>
          </w:p>
        </w:tc>
        <w:tc>
          <w:tcPr>
            <w:tcW w:w="169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230370</w:t>
            </w:r>
          </w:p>
        </w:tc>
        <w:tc>
          <w:tcPr>
            <w:tcW w:w="806"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w:t>
            </w:r>
          </w:p>
        </w:tc>
        <w:tc>
          <w:tcPr>
            <w:tcW w:w="1781" w:type="dxa"/>
            <w:tcBorders/>
            <w:tcMar>
              <w:top w:w="28" w:type="dxa"/>
              <w:start w:w="28" w:type="dxa"/>
              <w:end w:w="28" w:type="dxa"/>
            </w:tcMar>
            <w:vAlign w:val="center"/>
          </w:tcPr>
          <w:p>
            <w:pPr>
              <w:pStyle w:val="Contedodatabela"/>
              <w:bidi w:val="0"/>
              <w:spacing w:lineRule="auto" w:line="429" w:before="40" w:after="4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51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37779074</w:t>
            </w:r>
          </w:p>
        </w:tc>
        <w:tc>
          <w:tcPr>
            <w:tcW w:w="2531" w:type="dxa"/>
            <w:tcBorders/>
            <w:tcMar>
              <w:top w:w="28" w:type="dxa"/>
              <w:start w:w="28" w:type="dxa"/>
              <w:end w:w="28" w:type="dxa"/>
            </w:tcMar>
            <w:vAlign w:val="center"/>
          </w:tcPr>
          <w:p>
            <w:pPr>
              <w:pStyle w:val="Contedodatabela"/>
              <w:bidi w:val="0"/>
              <w:spacing w:lineRule="auto" w:line="429" w:before="40" w:after="4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NaN</w:t>
            </w:r>
          </w:p>
        </w:tc>
      </w:tr>
    </w:tbl>
    <w:p>
      <w:pPr>
        <w:pStyle w:val="Ttulo2"/>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3.1.6 IBGE 2026.xlsx</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é.</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O arquivo IBGE 2026.xlsx possui duas abas. </w:t>
      </w:r>
      <w:r>
        <w:rPr>
          <w:rFonts w:ascii="Times New Roman" w:hAnsi="Times New Roman"/>
          <w:b/>
          <w:i w:val="false"/>
          <w:caps w:val="false"/>
          <w:smallCaps w:val="false"/>
          <w:strike w:val="false"/>
          <w:dstrike w:val="false"/>
          <w:color w:val="000000"/>
          <w:sz w:val="24"/>
          <w:szCs w:val="24"/>
          <w:u w:val="none"/>
          <w:effect w:val="none"/>
        </w:rPr>
        <w:t>Nesta análise do relatório considera-se apenas a aba 2025</w:t>
      </w:r>
      <w:r>
        <w:rPr>
          <w:rFonts w:ascii="Times New Roman" w:hAnsi="Times New Roman"/>
          <w:b w:val="false"/>
          <w:i w:val="false"/>
          <w:caps w:val="false"/>
          <w:smallCaps w:val="false"/>
          <w:strike w:val="false"/>
          <w:dstrike w:val="false"/>
          <w:color w:val="000000"/>
          <w:sz w:val="24"/>
          <w:szCs w:val="24"/>
          <w:u w:val="none"/>
          <w:effect w:val="none"/>
        </w:rPr>
        <w:t xml:space="preserve">, por ser </w:t>
      </w:r>
      <w:r>
        <w:rPr>
          <w:rFonts w:ascii="Times New Roman" w:hAnsi="Times New Roman"/>
          <w:b/>
          <w:i w:val="false"/>
          <w:caps w:val="false"/>
          <w:smallCaps w:val="false"/>
          <w:strike w:val="false"/>
          <w:dstrike w:val="false"/>
          <w:color w:val="000000"/>
          <w:sz w:val="24"/>
          <w:szCs w:val="24"/>
          <w:u w:val="none"/>
          <w:effect w:val="none"/>
        </w:rPr>
        <w:t>a única que possui dados de um ano completo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(benefícios por município e mês ao longo do ano; estrutura similar ao dados_beneficios_dez: codigo_ibge, anomes_s, qtd_ben_brc, qtd_ben_bco, etc.). A </w:t>
      </w:r>
      <w:r>
        <w:rPr>
          <w:rFonts w:ascii="Times New Roman" w:hAnsi="Times New Roman"/>
          <w:b/>
          <w:i w:val="false"/>
          <w:caps w:val="false"/>
          <w:smallCaps w:val="false"/>
          <w:strike w:val="false"/>
          <w:dstrike w:val="false"/>
          <w:color w:val="000000"/>
          <w:sz w:val="24"/>
          <w:szCs w:val="24"/>
          <w:u w:val="none"/>
          <w:effect w:val="none"/>
        </w:rPr>
        <w:t>aba 2026</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contém o cadastro municipal (código IBGE, UF, Município, Região, População 2010, Porte, Capital) e é utilizada em outros contextos — por exemplo pelo script 09 para construir a </w:t>
      </w:r>
      <w:r>
        <w:rPr>
          <w:rFonts w:ascii="Times New Roman" w:hAnsi="Times New Roman"/>
          <w:b/>
          <w:i w:val="false"/>
          <w:caps w:val="false"/>
          <w:smallCaps w:val="false"/>
          <w:strike w:val="false"/>
          <w:dstrike w:val="false"/>
          <w:color w:val="000000"/>
          <w:sz w:val="24"/>
          <w:szCs w:val="24"/>
          <w:u w:val="none"/>
          <w:effect w:val="none"/>
        </w:rPr>
        <w:t>base vinculada</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 xml:space="preserve">SICONFI-IBGE (ibge_regiao, ibge_porte, ibge_pop2010). As tabelas e análises desta seção 5.5 usam </w:t>
      </w:r>
      <w:r>
        <w:rPr>
          <w:rFonts w:ascii="Times New Roman" w:hAnsi="Times New Roman"/>
          <w:b/>
          <w:i w:val="false"/>
          <w:caps w:val="false"/>
          <w:smallCaps w:val="false"/>
          <w:strike w:val="false"/>
          <w:dstrike w:val="false"/>
          <w:color w:val="000000"/>
          <w:sz w:val="24"/>
          <w:szCs w:val="24"/>
          <w:u w:val="none"/>
          <w:effect w:val="none"/>
        </w:rPr>
        <w:t>somente a aba 2025</w:t>
      </w:r>
      <w:r>
        <w:rPr>
          <w:rFonts w:ascii="Times New Roman" w:hAnsi="Times New Roman"/>
          <w:b w:val="false"/>
          <w:i w:val="false"/>
          <w:caps w:val="false"/>
          <w:smallCaps w:val="false"/>
          <w:strike w:val="false"/>
          <w:dstrike w:val="false"/>
          <w:color w:val="000000"/>
          <w:sz w:val="24"/>
          <w:szCs w:val="24"/>
          <w:u w:val="none"/>
          <w:effect w:val="none"/>
        </w:rPr>
        <w:t>.</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Origem.</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referencias/IBGE/; benefícios consolidados (aba 2025); relação com dados_beneficios_dez e com o cadastro cnes (5.2) para consistência de códigos.</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Variáveis.</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Aba 2025: mesmas do 5.4 (codigo_ibge, anomes_s, quantidades por tipo de benefício, total_bolsafamilia, etc.).</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O que pode oferecer ao estudo.</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Análises por região (derivada de codigo_ibge) e volume de benefícios; ranking de municípios por volume; cruzamento com SICONFI quando a base 09 está disponível.</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Avaliação (juízo de valor).</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Cobertura da aba 2025: ~66,8 mil linhas (município×mês), ano completo. Qualidade: códigos IBGE7 consistentes. Recomendação: uso da aba 2025 para análises de benefícios por região e ranking no relatório.</w:t>
      </w:r>
    </w:p>
    <w:p>
      <w:pPr>
        <w:pStyle w:val="Corpodotexto"/>
        <w:bidi w:val="0"/>
        <w:spacing w:lineRule="auto" w:line="429" w:before="180" w:after="18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O ranking e o comparativo por região abaixo referem-se exclusivamente à </w:t>
      </w:r>
      <w:r>
        <w:rPr>
          <w:rFonts w:ascii="Times New Roman" w:hAnsi="Times New Roman"/>
          <w:b/>
          <w:i w:val="false"/>
          <w:caps w:val="false"/>
          <w:smallCaps w:val="false"/>
          <w:strike w:val="false"/>
          <w:dstrike w:val="false"/>
          <w:color w:val="000000"/>
          <w:sz w:val="24"/>
          <w:szCs w:val="24"/>
          <w:u w:val="none"/>
          <w:effect w:val="none"/>
        </w:rPr>
        <w:t>aba 2025</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(dados de um ano completo).</w:t>
      </w:r>
    </w:p>
    <w:p>
      <w:pPr>
        <w:pStyle w:val="Corpodotexto"/>
        <w:bidi w:val="0"/>
        <w:spacing w:lineRule="auto" w:line="429" w:before="0" w:after="120"/>
        <w:jc w:val="both"/>
        <w:rPr>
          <w:rFonts w:ascii="Times New Roman;serif" w:hAnsi="Times New Roman;serif"/>
          <w:b w:val="false"/>
          <w:i/>
          <w:caps w:val="false"/>
          <w:smallCaps w:val="false"/>
          <w:strike w:val="false"/>
          <w:dstrike w:val="false"/>
          <w:color w:val="000000"/>
          <w:sz w:val="24"/>
          <w:u w:val="none"/>
          <w:effect w:val="none"/>
        </w:rPr>
      </w:pPr>
      <w:r>
        <w:rPr>
          <w:rFonts w:ascii="Times New Roman" w:hAnsi="Times New Roman"/>
          <w:b w:val="false"/>
          <w:i/>
          <w:caps w:val="false"/>
          <w:smallCaps w:val="false"/>
          <w:strike w:val="false"/>
          <w:dstrike w:val="false"/>
          <w:color w:val="000000"/>
          <w:sz w:val="24"/>
          <w:szCs w:val="24"/>
          <w:u w:val="none"/>
          <w:effect w:val="none"/>
        </w:rPr>
        <w:t>Apenas Benefício de Renda de Cidadania, não conta programas que possam ter sido criados não vinculados</w:t>
      </w:r>
    </w:p>
    <w:tbl>
      <w:tblPr>
        <w:tblW w:w="9638" w:type="dxa"/>
        <w:jc w:val="start"/>
        <w:tblInd w:w="0" w:type="dxa"/>
        <w:tblCellMar>
          <w:top w:w="0" w:type="dxa"/>
          <w:start w:w="0" w:type="dxa"/>
          <w:bottom w:w="28" w:type="dxa"/>
          <w:end w:w="0" w:type="dxa"/>
        </w:tblCellMar>
      </w:tblPr>
      <w:tblGrid>
        <w:gridCol w:w="865"/>
        <w:gridCol w:w="1463"/>
        <w:gridCol w:w="1457"/>
        <w:gridCol w:w="1439"/>
        <w:gridCol w:w="1457"/>
        <w:gridCol w:w="1453"/>
        <w:gridCol w:w="1504"/>
      </w:tblGrid>
      <w:tr>
        <w:trPr/>
        <w:tc>
          <w:tcPr>
            <w:tcW w:w="865" w:type="dxa"/>
            <w:tcBorders>
              <w:bottom w:val="single" w:sz="6" w:space="0" w:color="000000"/>
            </w:tcBorders>
            <w:vAlign w:val="center"/>
          </w:tcPr>
          <w:p>
            <w:pPr>
              <w:pStyle w:val="Contedodatabela"/>
              <w:bidi w:val="0"/>
              <w:spacing w:lineRule="auto" w:line="429" w:before="0" w:after="18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tc>
        <w:tc>
          <w:tcPr>
            <w:tcW w:w="1463"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Centro-Oeste</w:t>
            </w:r>
          </w:p>
        </w:tc>
        <w:tc>
          <w:tcPr>
            <w:tcW w:w="1457"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Nordeste</w:t>
            </w:r>
          </w:p>
        </w:tc>
        <w:tc>
          <w:tcPr>
            <w:tcW w:w="1439"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Norte</w:t>
            </w:r>
          </w:p>
        </w:tc>
        <w:tc>
          <w:tcPr>
            <w:tcW w:w="1457"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Sudeste</w:t>
            </w:r>
          </w:p>
        </w:tc>
        <w:tc>
          <w:tcPr>
            <w:tcW w:w="1453"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Sul</w:t>
            </w:r>
          </w:p>
        </w:tc>
        <w:tc>
          <w:tcPr>
            <w:tcW w:w="1504" w:type="dxa"/>
            <w:tcBorders>
              <w:bottom w:val="single" w:sz="6" w:space="0" w:color="000000"/>
            </w:tcBorders>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Total Geral</w:t>
            </w:r>
          </w:p>
        </w:tc>
      </w:tr>
      <w:tr>
        <w:trPr/>
        <w:tc>
          <w:tcPr>
            <w:tcW w:w="865"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202501</w:t>
            </w:r>
          </w:p>
        </w:tc>
        <w:tc>
          <w:tcPr>
            <w:tcW w:w="1463"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3.135.727</w:t>
            </w:r>
          </w:p>
        </w:tc>
        <w:tc>
          <w:tcPr>
            <w:tcW w:w="1457"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23.757.175</w:t>
            </w:r>
          </w:p>
        </w:tc>
        <w:tc>
          <w:tcPr>
            <w:tcW w:w="1439"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7.629.833</w:t>
            </w:r>
          </w:p>
        </w:tc>
        <w:tc>
          <w:tcPr>
            <w:tcW w:w="1457"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15.283.842</w:t>
            </w:r>
          </w:p>
        </w:tc>
        <w:tc>
          <w:tcPr>
            <w:tcW w:w="1453"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3.978.362</w:t>
            </w:r>
          </w:p>
        </w:tc>
        <w:tc>
          <w:tcPr>
            <w:tcW w:w="1504" w:type="dxa"/>
            <w:tcBorders>
              <w:top w:val="single" w:sz="6" w:space="0" w:color="000000"/>
            </w:tcBorders>
            <w:tcMar>
              <w:top w:w="28" w:type="dxa"/>
              <w:bottom w:w="0"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53.784.939</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202502</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3.138.427</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23.823.962</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7.617.920</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15.345.434</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3.987.461</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53.913.204</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202503</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3.147.488</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23.835.092</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7.608.021</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15.353.534</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3.940.280</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53.884.415</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202504</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3.139.981</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23.807.593</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7.600.884</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15.321.523</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3.930.523</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53.800.504</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202505</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3.127.813</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23.781.057</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7.588.830</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15.290.905</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3.915.914</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53.704.519</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202506</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3.130.583</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23.800.919</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7.598.744</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15.327.709</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3.914.426</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53.772.381</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202507</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2.940.850</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22.795.464</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7.330.522</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14.447.874</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3.659.118</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51.173.828</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202508</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2.857.677</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22.430.204</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7.221.823</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13.919.825</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3.593.484</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50.023.013</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202509</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2.833.345</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22.353.186</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7.186.111</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13.804.376</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3.552.447</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49.729.465</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202510</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2.812.203</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22.261.264</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7.124.043</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13.713.406</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3.462.422</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49.373.338</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202511</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2.751.905</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21.948.379</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7.021.472</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13.486.576</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3.368.922</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48.577.254</w:t>
            </w:r>
          </w:p>
        </w:tc>
      </w:tr>
      <w:tr>
        <w:trPr/>
        <w:tc>
          <w:tcPr>
            <w:tcW w:w="865"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202512</w:t>
            </w:r>
          </w:p>
        </w:tc>
        <w:tc>
          <w:tcPr>
            <w:tcW w:w="146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2.793.567</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22.002.764</w:t>
            </w:r>
          </w:p>
        </w:tc>
        <w:tc>
          <w:tcPr>
            <w:tcW w:w="1439"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7.040.059</w:t>
            </w:r>
          </w:p>
        </w:tc>
        <w:tc>
          <w:tcPr>
            <w:tcW w:w="1457"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13.574.366</w:t>
            </w:r>
          </w:p>
        </w:tc>
        <w:tc>
          <w:tcPr>
            <w:tcW w:w="1453"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3.479.841</w:t>
            </w:r>
          </w:p>
        </w:tc>
        <w:tc>
          <w:tcPr>
            <w:tcW w:w="1504" w:type="dxa"/>
            <w:tcBorders/>
            <w:tcMar>
              <w:top w:w="28" w:type="dxa"/>
              <w:start w:w="28" w:type="dxa"/>
              <w:end w:w="28" w:type="dxa"/>
            </w:tcMar>
            <w:vAlign w:val="center"/>
          </w:tcPr>
          <w:p>
            <w:pPr>
              <w:pStyle w:val="Contedodatabela"/>
              <w:bidi w:val="0"/>
              <w:spacing w:lineRule="auto" w:line="429" w:before="0" w:after="180"/>
              <w:jc w:val="end"/>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48.890.597</w:t>
            </w:r>
          </w:p>
        </w:tc>
      </w:tr>
    </w:tbl>
    <w:p>
      <w:pPr>
        <w:pStyle w:val="Corpodotexto"/>
        <w:bidi w:val="0"/>
        <w:spacing w:lineRule="auto" w:line="429" w:before="0" w:after="12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br/>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4. Parecer Jurídico Sobre Fusão e Extinção de Municípios</w:t>
      </w:r>
    </w:p>
    <w:p>
      <w:pPr>
        <w:pStyle w:val="Corpodotexto"/>
        <w:bidi w:val="0"/>
        <w:spacing w:lineRule="auto" w:line="429" w:before="240" w:after="240"/>
        <w:ind w:start="720" w:end="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4.1</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Introdução e o Novo Status Do Município Na Federação</w:t>
      </w:r>
    </w:p>
    <w:p>
      <w:pPr>
        <w:pStyle w:val="Corpodotexto"/>
        <w:bidi w:val="0"/>
        <w:spacing w:lineRule="auto" w:line="429" w:before="28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 estrutura do Estado brasileiro, redefinida pela </w:t>
      </w:r>
      <w:r>
        <w:rPr>
          <w:rFonts w:ascii="Times New Roman" w:hAnsi="Times New Roman"/>
          <w:b/>
          <w:i w:val="false"/>
          <w:caps w:val="false"/>
          <w:smallCaps w:val="false"/>
          <w:strike w:val="false"/>
          <w:dstrike w:val="false"/>
          <w:color w:val="000000"/>
          <w:sz w:val="24"/>
          <w:szCs w:val="24"/>
          <w:u w:val="none"/>
          <w:effect w:val="none"/>
        </w:rPr>
        <w:t>Constituição da República Federativa do Brasil de 1988</w:t>
      </w:r>
      <w:r>
        <w:rPr>
          <w:rFonts w:ascii="Times New Roman" w:hAnsi="Times New Roman"/>
          <w:b w:val="false"/>
          <w:i w:val="false"/>
          <w:caps w:val="false"/>
          <w:smallCaps w:val="false"/>
          <w:strike w:val="false"/>
          <w:dstrike w:val="false"/>
          <w:color w:val="000000"/>
          <w:sz w:val="24"/>
          <w:szCs w:val="24"/>
          <w:u w:val="none"/>
          <w:effect w:val="none"/>
        </w:rPr>
        <w:t>, introduziu uma inovação fundamental no constitucionalismo nacional: a consolidação do Município como ente federado dotado de autonomia plena. Diferente de modelos anteriores, a ordem atual reconhece a União, os Estados, o Distrito Federal e os Municípios como componentes autônomos e indissociáveis da federação.</w:t>
      </w:r>
    </w:p>
    <w:p>
      <w:pPr>
        <w:pStyle w:val="Corpodotexto"/>
        <w:bidi w:val="0"/>
        <w:spacing w:lineRule="auto" w:line="429" w:before="24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Essa autonomia manifesta-se em três pilares essenciais: a </w:t>
      </w:r>
      <w:r>
        <w:rPr>
          <w:rFonts w:ascii="Times New Roman" w:hAnsi="Times New Roman"/>
          <w:b/>
          <w:i w:val="false"/>
          <w:caps w:val="false"/>
          <w:smallCaps w:val="false"/>
          <w:strike w:val="false"/>
          <w:dstrike w:val="false"/>
          <w:color w:val="000000"/>
          <w:sz w:val="24"/>
          <w:szCs w:val="24"/>
          <w:u w:val="none"/>
          <w:effect w:val="none"/>
        </w:rPr>
        <w:t>autonomia política</w:t>
      </w:r>
      <w:r>
        <w:rPr>
          <w:rFonts w:ascii="Times New Roman" w:hAnsi="Times New Roman"/>
          <w:b w:val="false"/>
          <w:i w:val="false"/>
          <w:caps w:val="false"/>
          <w:smallCaps w:val="false"/>
          <w:strike w:val="false"/>
          <w:dstrike w:val="false"/>
          <w:color w:val="000000"/>
          <w:sz w:val="24"/>
          <w:szCs w:val="24"/>
          <w:u w:val="none"/>
          <w:effect w:val="none"/>
        </w:rPr>
        <w:t xml:space="preserve">, que assegura a capacidade de auto-organização e a eleição direta de governantes; a </w:t>
      </w:r>
      <w:r>
        <w:rPr>
          <w:rFonts w:ascii="Times New Roman" w:hAnsi="Times New Roman"/>
          <w:b/>
          <w:i w:val="false"/>
          <w:caps w:val="false"/>
          <w:smallCaps w:val="false"/>
          <w:strike w:val="false"/>
          <w:dstrike w:val="false"/>
          <w:color w:val="000000"/>
          <w:sz w:val="24"/>
          <w:szCs w:val="24"/>
          <w:u w:val="none"/>
          <w:effect w:val="none"/>
        </w:rPr>
        <w:t>autonomia administrativa</w:t>
      </w:r>
      <w:r>
        <w:rPr>
          <w:rFonts w:ascii="Times New Roman" w:hAnsi="Times New Roman"/>
          <w:b w:val="false"/>
          <w:i w:val="false"/>
          <w:caps w:val="false"/>
          <w:smallCaps w:val="false"/>
          <w:strike w:val="false"/>
          <w:dstrike w:val="false"/>
          <w:color w:val="000000"/>
          <w:sz w:val="24"/>
          <w:szCs w:val="24"/>
          <w:u w:val="none"/>
          <w:effect w:val="none"/>
        </w:rPr>
        <w:t xml:space="preserve">, que permite a gestão autônoma de pessoal e serviços; e a </w:t>
      </w:r>
      <w:r>
        <w:rPr>
          <w:rFonts w:ascii="Times New Roman" w:hAnsi="Times New Roman"/>
          <w:b/>
          <w:i w:val="false"/>
          <w:caps w:val="false"/>
          <w:smallCaps w:val="false"/>
          <w:strike w:val="false"/>
          <w:dstrike w:val="false"/>
          <w:color w:val="000000"/>
          <w:sz w:val="24"/>
          <w:szCs w:val="24"/>
          <w:u w:val="none"/>
          <w:effect w:val="none"/>
        </w:rPr>
        <w:t>autonomia financeira</w:t>
      </w:r>
      <w:r>
        <w:rPr>
          <w:rFonts w:ascii="Times New Roman" w:hAnsi="Times New Roman"/>
          <w:b w:val="false"/>
          <w:i w:val="false"/>
          <w:caps w:val="false"/>
          <w:smallCaps w:val="false"/>
          <w:strike w:val="false"/>
          <w:dstrike w:val="false"/>
          <w:color w:val="000000"/>
          <w:sz w:val="24"/>
          <w:szCs w:val="24"/>
          <w:u w:val="none"/>
          <w:effect w:val="none"/>
        </w:rPr>
        <w:t>, que confere o poder de arrecadar tributos e gerir recursos próprios para o atendimento das demandas locais. Entretanto, a natureza dessa autonomia não implica em uma imutabilidade do mapa geográfico; o texto constitucional previu, desde sua origem, mecanismos para a reorganização territorial — como a criação, fusão e desmembramento — visando sempre o interesse público e a eficiência administrativa.</w:t>
      </w:r>
    </w:p>
    <w:p>
      <w:pPr>
        <w:pStyle w:val="Corpodotexto"/>
        <w:bidi w:val="0"/>
        <w:spacing w:lineRule="auto" w:line="429" w:before="240" w:after="240"/>
        <w:ind w:start="720" w:end="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4.2</w:t>
      </w:r>
      <w:r>
        <w:rPr>
          <w:rFonts w:ascii="Times New Roman" w:hAnsi="Times New Roman"/>
          <w:b w:val="false"/>
          <w:caps w:val="false"/>
          <w:smallCaps w:val="false"/>
          <w:strike w:val="false"/>
          <w:dstrike w:val="false"/>
          <w:color w:val="000000"/>
          <w:sz w:val="24"/>
          <w:szCs w:val="24"/>
          <w:u w:val="none"/>
          <w:effect w:val="none"/>
        </w:rPr>
        <w:t xml:space="preserve"> </w:t>
      </w:r>
      <w:r>
        <w:rPr>
          <w:rFonts w:ascii="Times New Roman" w:hAnsi="Times New Roman"/>
          <w:b w:val="false"/>
          <w:i w:val="false"/>
          <w:caps w:val="false"/>
          <w:smallCaps w:val="false"/>
          <w:strike w:val="false"/>
          <w:dstrike w:val="false"/>
          <w:color w:val="000000"/>
          <w:sz w:val="24"/>
          <w:szCs w:val="24"/>
          <w:u w:val="none"/>
          <w:effect w:val="none"/>
        </w:rPr>
        <w:t>O Arcabouço Jurídico e o Rito Procedimental Da Fusão</w:t>
      </w:r>
    </w:p>
    <w:p>
      <w:pPr>
        <w:pStyle w:val="Corpodotexto"/>
        <w:bidi w:val="0"/>
        <w:spacing w:lineRule="auto" w:line="429" w:before="28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 fusão de municípios é um instrumento juridicamente fundamentado no </w:t>
      </w:r>
      <w:r>
        <w:rPr>
          <w:rFonts w:ascii="Times New Roman" w:hAnsi="Times New Roman"/>
          <w:b/>
          <w:i w:val="false"/>
          <w:caps w:val="false"/>
          <w:smallCaps w:val="false"/>
          <w:strike w:val="false"/>
          <w:dstrike w:val="false"/>
          <w:color w:val="000000"/>
          <w:sz w:val="24"/>
          <w:szCs w:val="24"/>
          <w:u w:val="none"/>
          <w:effect w:val="none"/>
        </w:rPr>
        <w:t>Artigo 18, §4º da Constituição Federal</w:t>
      </w:r>
      <w:r>
        <w:rPr>
          <w:rFonts w:ascii="Times New Roman" w:hAnsi="Times New Roman"/>
          <w:b w:val="false"/>
          <w:i w:val="false"/>
          <w:caps w:val="false"/>
          <w:smallCaps w:val="false"/>
          <w:strike w:val="false"/>
          <w:dstrike w:val="false"/>
          <w:color w:val="000000"/>
          <w:sz w:val="24"/>
          <w:szCs w:val="24"/>
          <w:u w:val="none"/>
          <w:effect w:val="none"/>
        </w:rPr>
        <w:t>. Para que uma alteração territorial dessa magnitude ocorra, o constituinte estabeleceu um rito rigoroso, desenhado para equilibrar a autonomia local com a necessidade de um planejamento institucional coordenado.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ind w:start="14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 procedimento exige a observância estrita de quatro requisitos fundamentais:</w:t>
      </w:r>
    </w:p>
    <w:p>
      <w:pPr>
        <w:pStyle w:val="Corpodotexto"/>
        <w:numPr>
          <w:ilvl w:val="0"/>
          <w:numId w:val="5"/>
        </w:numPr>
        <w:pBdr/>
        <w:tabs>
          <w:tab w:val="clear" w:pos="709"/>
          <w:tab w:val="left" w:pos="707" w:leader="none"/>
        </w:tabs>
        <w:bidi w:val="0"/>
        <w:spacing w:lineRule="auto" w:line="429" w:before="24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i w:val="false"/>
          <w:caps w:val="false"/>
          <w:smallCaps w:val="false"/>
          <w:strike w:val="false"/>
          <w:dstrike w:val="false"/>
          <w:color w:val="000000"/>
          <w:sz w:val="24"/>
          <w:szCs w:val="24"/>
          <w:u w:val="none"/>
          <w:effect w:val="none"/>
        </w:rPr>
        <w:t>Edição de Lei Complementar Federal</w:t>
      </w:r>
      <w:r>
        <w:rPr>
          <w:rFonts w:ascii="Times New Roman" w:hAnsi="Times New Roman"/>
          <w:b w:val="false"/>
          <w:i w:val="false"/>
          <w:caps w:val="false"/>
          <w:smallCaps w:val="false"/>
          <w:strike w:val="false"/>
          <w:dstrike w:val="false"/>
          <w:color w:val="000000"/>
          <w:sz w:val="24"/>
          <w:szCs w:val="24"/>
          <w:u w:val="none"/>
          <w:effect w:val="none"/>
        </w:rPr>
        <w:t>, que deve delimitar o período em que tais modificações territoriais são permitidas.</w:t>
      </w:r>
    </w:p>
    <w:p>
      <w:pPr>
        <w:pStyle w:val="Corpodotexto"/>
        <w:numPr>
          <w:ilvl w:val="0"/>
          <w:numId w:val="6"/>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i w:val="false"/>
          <w:caps w:val="false"/>
          <w:smallCaps w:val="false"/>
          <w:strike w:val="false"/>
          <w:dstrike w:val="false"/>
          <w:color w:val="000000"/>
          <w:sz w:val="24"/>
          <w:szCs w:val="24"/>
          <w:u w:val="none"/>
          <w:effect w:val="none"/>
        </w:rPr>
        <w:t>Publicação de Estudos de Viabilidade Municipal (EVM)</w:t>
      </w:r>
      <w:r>
        <w:rPr>
          <w:rFonts w:ascii="Times New Roman" w:hAnsi="Times New Roman"/>
          <w:b w:val="false"/>
          <w:i w:val="false"/>
          <w:caps w:val="false"/>
          <w:smallCaps w:val="false"/>
          <w:strike w:val="false"/>
          <w:dstrike w:val="false"/>
          <w:color w:val="000000"/>
          <w:sz w:val="24"/>
          <w:szCs w:val="24"/>
          <w:u w:val="none"/>
          <w:effect w:val="none"/>
        </w:rPr>
        <w:t>, que funcionam como um diagnóstico técnico para assegurar que a fusão possui justificativas econômicas, sociais e administrativas sólidas.</w:t>
      </w:r>
    </w:p>
    <w:p>
      <w:pPr>
        <w:pStyle w:val="Corpodotexto"/>
        <w:numPr>
          <w:ilvl w:val="0"/>
          <w:numId w:val="7"/>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i w:val="false"/>
          <w:caps w:val="false"/>
          <w:smallCaps w:val="false"/>
          <w:strike w:val="false"/>
          <w:dstrike w:val="false"/>
          <w:color w:val="000000"/>
          <w:sz w:val="24"/>
          <w:szCs w:val="24"/>
          <w:u w:val="none"/>
          <w:effect w:val="none"/>
        </w:rPr>
        <w:t>Consulta plebiscitária prévia</w:t>
      </w:r>
      <w:r>
        <w:rPr>
          <w:rFonts w:ascii="Times New Roman" w:hAnsi="Times New Roman"/>
          <w:b w:val="false"/>
          <w:i w:val="false"/>
          <w:caps w:val="false"/>
          <w:smallCaps w:val="false"/>
          <w:strike w:val="false"/>
          <w:dstrike w:val="false"/>
          <w:color w:val="000000"/>
          <w:sz w:val="24"/>
          <w:szCs w:val="24"/>
          <w:u w:val="none"/>
          <w:effect w:val="none"/>
        </w:rPr>
        <w:t>, garantindo que a decisão final sobre a unificação dos territórios seja legitimada pelo voto das populações envolvidas em todos os municípios afetados.</w:t>
      </w:r>
    </w:p>
    <w:p>
      <w:pPr>
        <w:pStyle w:val="Corpodotexto"/>
        <w:numPr>
          <w:ilvl w:val="0"/>
          <w:numId w:val="7"/>
        </w:numPr>
        <w:pBdr/>
        <w:tabs>
          <w:tab w:val="clear" w:pos="709"/>
          <w:tab w:val="left" w:pos="707" w:leader="none"/>
        </w:tabs>
        <w:bidi w:val="0"/>
        <w:spacing w:lineRule="auto" w:line="429" w:before="0" w:after="24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i w:val="false"/>
          <w:caps w:val="false"/>
          <w:smallCaps w:val="false"/>
          <w:strike w:val="false"/>
          <w:dstrike w:val="false"/>
          <w:color w:val="000000"/>
          <w:sz w:val="24"/>
          <w:szCs w:val="24"/>
          <w:u w:val="none"/>
          <w:effect w:val="none"/>
        </w:rPr>
        <w:t xml:space="preserve">Aprovação de Lei Estadual </w:t>
      </w:r>
      <w:r>
        <w:rPr>
          <w:rFonts w:ascii="Times New Roman" w:hAnsi="Times New Roman"/>
          <w:b w:val="false"/>
          <w:i w:val="false"/>
          <w:caps w:val="false"/>
          <w:smallCaps w:val="false"/>
          <w:strike w:val="false"/>
          <w:dstrike w:val="false"/>
          <w:color w:val="000000"/>
          <w:sz w:val="24"/>
          <w:szCs w:val="24"/>
          <w:u w:val="none"/>
          <w:effect w:val="none"/>
        </w:rPr>
        <w:t>específica, uma vez que cabe às Assembleias Legislativas estaduais a competência final para deliberar sobre a reorganização do território dentro de seus limites.</w:t>
      </w:r>
    </w:p>
    <w:p>
      <w:pPr>
        <w:pStyle w:val="Corpodotexto"/>
        <w:bidi w:val="0"/>
        <w:spacing w:lineRule="auto" w:line="429" w:before="24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O </w:t>
      </w:r>
      <w:r>
        <w:rPr>
          <w:rFonts w:ascii="Times New Roman" w:hAnsi="Times New Roman"/>
          <w:b/>
          <w:i w:val="false"/>
          <w:caps w:val="false"/>
          <w:smallCaps w:val="false"/>
          <w:strike w:val="false"/>
          <w:dstrike w:val="false"/>
          <w:color w:val="000000"/>
          <w:sz w:val="24"/>
          <w:szCs w:val="24"/>
          <w:u w:val="none"/>
          <w:effect w:val="none"/>
        </w:rPr>
        <w:t>Supremo Tribunal Federal (STF)</w:t>
      </w:r>
      <w:r>
        <w:rPr>
          <w:rFonts w:ascii="Times New Roman" w:hAnsi="Times New Roman"/>
          <w:b w:val="false"/>
          <w:i w:val="false"/>
          <w:caps w:val="false"/>
          <w:smallCaps w:val="false"/>
          <w:strike w:val="false"/>
          <w:dstrike w:val="false"/>
          <w:color w:val="000000"/>
          <w:sz w:val="24"/>
          <w:szCs w:val="24"/>
          <w:u w:val="none"/>
          <w:effect w:val="none"/>
        </w:rPr>
        <w:t>, em sua atuação como guardião da Constituição, reforça que a falta de qualquer um desses requisitos torna o ato de fusão inconstitucional, exigindo o cumprimento fiel das etapas para preservar a higidez do pacto federativo.</w:t>
      </w:r>
    </w:p>
    <w:p>
      <w:pPr>
        <w:pStyle w:val="Corpodotexto"/>
        <w:bidi w:val="0"/>
        <w:spacing w:lineRule="auto" w:line="429" w:before="240" w:after="24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4.3 O Processo Histórico: Do Crescimento À Contenção (Ec Nº 15/1996)</w:t>
      </w:r>
    </w:p>
    <w:p>
      <w:pPr>
        <w:pStyle w:val="Corpodotexto"/>
        <w:bidi w:val="0"/>
        <w:spacing w:lineRule="auto" w:line="429" w:before="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Nas décadas imediatas à promulgação da Carta de 1988, especificamente entre 1988 e 1996, o Brasil vivenciou um processo vertiginoso de criação de municípios. Esse movimento de fragmentação territorial foi impulsionado por incentivos financeiros diretos, especialmente o acesso às transferências do </w:t>
      </w:r>
      <w:r>
        <w:rPr>
          <w:rFonts w:ascii="Times New Roman" w:hAnsi="Times New Roman"/>
          <w:b/>
          <w:i w:val="false"/>
          <w:caps w:val="false"/>
          <w:smallCaps w:val="false"/>
          <w:strike w:val="false"/>
          <w:dstrike w:val="false"/>
          <w:color w:val="000000"/>
          <w:sz w:val="24"/>
          <w:szCs w:val="24"/>
          <w:u w:val="none"/>
          <w:effect w:val="none"/>
        </w:rPr>
        <w:t>Fundo de Participação dos Municípios (FPM)</w:t>
      </w:r>
      <w:r>
        <w:rPr>
          <w:rFonts w:ascii="Times New Roman" w:hAnsi="Times New Roman"/>
          <w:b w:val="false"/>
          <w:i w:val="false"/>
          <w:caps w:val="false"/>
          <w:smallCaps w:val="false"/>
          <w:strike w:val="false"/>
          <w:dstrike w:val="false"/>
          <w:color w:val="000000"/>
          <w:sz w:val="24"/>
          <w:szCs w:val="24"/>
          <w:u w:val="none"/>
          <w:effect w:val="none"/>
        </w:rPr>
        <w:t>. A possibilidade de distritos obterem autonomia política para gerir recursos federais e ampliar investimentos locais estimulou uma corrida emancipacionista.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Estados como </w:t>
      </w:r>
      <w:r>
        <w:rPr>
          <w:rFonts w:ascii="Times New Roman" w:hAnsi="Times New Roman"/>
          <w:b/>
          <w:i w:val="false"/>
          <w:caps w:val="false"/>
          <w:smallCaps w:val="false"/>
          <w:strike w:val="false"/>
          <w:dstrike w:val="false"/>
          <w:color w:val="000000"/>
          <w:sz w:val="24"/>
          <w:szCs w:val="24"/>
          <w:u w:val="none"/>
          <w:effect w:val="none"/>
        </w:rPr>
        <w:t xml:space="preserve">Rio Grande do Sul, Minas Gerais, Piauí, Santa Catarina e Maranhão </w:t>
      </w:r>
      <w:r>
        <w:rPr>
          <w:rFonts w:ascii="Times New Roman" w:hAnsi="Times New Roman"/>
          <w:b w:val="false"/>
          <w:i w:val="false"/>
          <w:caps w:val="false"/>
          <w:smallCaps w:val="false"/>
          <w:strike w:val="false"/>
          <w:dstrike w:val="false"/>
          <w:color w:val="000000"/>
          <w:sz w:val="24"/>
          <w:szCs w:val="24"/>
          <w:u w:val="none"/>
          <w:effect w:val="none"/>
        </w:rPr>
        <w:t xml:space="preserve">destacaram-se por registrar um elevado número de novas unidades administrativas nesse período. Embora a expansão tenha levado a presença do Estado a regiões remotas, ela também criou uma miríade de municípios de pequeno porte com baixa capacidade fiscal e fragilidade administrativa. Como resposta a essa fragmentação excessiva, foi aprovada a </w:t>
      </w:r>
      <w:r>
        <w:rPr>
          <w:rFonts w:ascii="Times New Roman" w:hAnsi="Times New Roman"/>
          <w:b/>
          <w:i w:val="false"/>
          <w:caps w:val="false"/>
          <w:smallCaps w:val="false"/>
          <w:strike w:val="false"/>
          <w:dstrike w:val="false"/>
          <w:color w:val="000000"/>
          <w:sz w:val="24"/>
          <w:szCs w:val="24"/>
          <w:u w:val="none"/>
          <w:effect w:val="none"/>
        </w:rPr>
        <w:t>Emenda Constitucional nº 15 de 1996</w:t>
      </w:r>
      <w:r>
        <w:rPr>
          <w:rFonts w:ascii="Times New Roman" w:hAnsi="Times New Roman"/>
          <w:b w:val="false"/>
          <w:i w:val="false"/>
          <w:caps w:val="false"/>
          <w:smallCaps w:val="false"/>
          <w:strike w:val="false"/>
          <w:dstrike w:val="false"/>
          <w:color w:val="000000"/>
          <w:sz w:val="24"/>
          <w:szCs w:val="24"/>
          <w:u w:val="none"/>
          <w:effect w:val="none"/>
        </w:rPr>
        <w:t>, que introduziu regras mais severas e critérios técnicos rigorosos para frear a criação indiscriminada de novos entes e racionalizar a organização do território nacional.</w:t>
      </w:r>
    </w:p>
    <w:p>
      <w:pPr>
        <w:pStyle w:val="Corpodotexto"/>
        <w:bidi w:val="0"/>
        <w:spacing w:lineRule="auto" w:line="429" w:before="240" w:after="24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4.4 Barreiras Institucionais e Políticas à Fusão</w:t>
      </w:r>
    </w:p>
    <w:p>
      <w:pPr>
        <w:pStyle w:val="Corpodotexto"/>
        <w:bidi w:val="0"/>
        <w:spacing w:lineRule="auto" w:line="429" w:before="24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Apesar de ser juridicamente viável, a fusão de municípios é raramente implementada no Brasil devido a obstáculos de ordens diversas. Primeiramente, a </w:t>
      </w:r>
      <w:r>
        <w:rPr>
          <w:rFonts w:ascii="Times New Roman" w:hAnsi="Times New Roman"/>
          <w:b/>
          <w:i w:val="false"/>
          <w:caps w:val="false"/>
          <w:smallCaps w:val="false"/>
          <w:strike w:val="false"/>
          <w:dstrike w:val="false"/>
          <w:color w:val="000000"/>
          <w:sz w:val="24"/>
          <w:szCs w:val="24"/>
          <w:u w:val="none"/>
          <w:effect w:val="none"/>
        </w:rPr>
        <w:t xml:space="preserve">complexidade burocrática </w:t>
      </w:r>
      <w:r>
        <w:rPr>
          <w:rFonts w:ascii="Times New Roman" w:hAnsi="Times New Roman"/>
          <w:b w:val="false"/>
          <w:i w:val="false"/>
          <w:caps w:val="false"/>
          <w:smallCaps w:val="false"/>
          <w:strike w:val="false"/>
          <w:dstrike w:val="false"/>
          <w:color w:val="000000"/>
          <w:sz w:val="24"/>
          <w:szCs w:val="24"/>
          <w:u w:val="none"/>
          <w:effect w:val="none"/>
        </w:rPr>
        <w:t xml:space="preserve">do rito — que envolve estudos técnicos onerosos e plebiscitos — torna o processo politicamente desgastante. Em segundo lugar, existe uma forte resistência gerada pela </w:t>
      </w:r>
      <w:r>
        <w:rPr>
          <w:rFonts w:ascii="Times New Roman" w:hAnsi="Times New Roman"/>
          <w:b/>
          <w:i w:val="false"/>
          <w:caps w:val="false"/>
          <w:smallCaps w:val="false"/>
          <w:strike w:val="false"/>
          <w:dstrike w:val="false"/>
          <w:color w:val="000000"/>
          <w:sz w:val="24"/>
          <w:szCs w:val="24"/>
          <w:u w:val="none"/>
          <w:effect w:val="none"/>
        </w:rPr>
        <w:t>dinâmica do poder local</w:t>
      </w:r>
      <w:r>
        <w:rPr>
          <w:rFonts w:ascii="Times New Roman" w:hAnsi="Times New Roman"/>
          <w:b w:val="false"/>
          <w:i w:val="false"/>
          <w:caps w:val="false"/>
          <w:smallCaps w:val="false"/>
          <w:strike w:val="false"/>
          <w:dstrike w:val="false"/>
          <w:color w:val="000000"/>
          <w:sz w:val="24"/>
          <w:szCs w:val="24"/>
          <w:u w:val="none"/>
          <w:effect w:val="none"/>
        </w:rPr>
        <w:t>; a existência de prefeituras e câmaras de vereadores independentes amplia a representação política e o controle sobre verbas intergovernamentais, e a extinção dessas estruturas enfrenta oposição das elites políticas que detêm esses cargos.</w:t>
      </w:r>
    </w:p>
    <w:p>
      <w:pPr>
        <w:pStyle w:val="Corpodotexto"/>
        <w:bidi w:val="0"/>
        <w:spacing w:lineRule="auto" w:line="429" w:before="24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Além disso, fatores de ordem </w:t>
      </w:r>
      <w:r>
        <w:rPr>
          <w:rFonts w:ascii="Times New Roman" w:hAnsi="Times New Roman"/>
          <w:b/>
          <w:i w:val="false"/>
          <w:caps w:val="false"/>
          <w:smallCaps w:val="false"/>
          <w:strike w:val="false"/>
          <w:dstrike w:val="false"/>
          <w:color w:val="000000"/>
          <w:sz w:val="24"/>
          <w:szCs w:val="24"/>
          <w:u w:val="none"/>
          <w:effect w:val="none"/>
        </w:rPr>
        <w:t xml:space="preserve">identitária e cultural </w:t>
      </w:r>
      <w:r>
        <w:rPr>
          <w:rFonts w:ascii="Times New Roman" w:hAnsi="Times New Roman"/>
          <w:b w:val="false"/>
          <w:i w:val="false"/>
          <w:caps w:val="false"/>
          <w:smallCaps w:val="false"/>
          <w:strike w:val="false"/>
          <w:dstrike w:val="false"/>
          <w:color w:val="000000"/>
          <w:sz w:val="24"/>
          <w:szCs w:val="24"/>
          <w:u w:val="none"/>
          <w:effect w:val="none"/>
        </w:rPr>
        <w:t>desempenham papel central na resistência das comunidades. Municípios pequenos frequentemente possuem laços históricos profundos, e a população tende a temer a perda de sua identidade política ou a marginalização dos serviços públicos caso a sede administrativa seja transferida para outro centro urbano.</w:t>
      </w:r>
    </w:p>
    <w:p>
      <w:pPr>
        <w:pStyle w:val="Corpodotexto"/>
        <w:bidi w:val="0"/>
        <w:spacing w:lineRule="auto" w:line="429" w:before="240" w:after="24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4.5 Impactos Administrativos e a Busca Pela Eficiência Gestora</w:t>
      </w:r>
    </w:p>
    <w:p>
      <w:pPr>
        <w:pStyle w:val="Corpodotexto"/>
        <w:bidi w:val="0"/>
        <w:spacing w:lineRule="auto" w:line="429" w:before="40" w:after="0"/>
        <w:ind w:start="140" w:end="14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A fusão municipal é apresentada como uma estratégia capaz de gerar benefícios significativos para a gestão pública local. O foco principal é a </w:t>
      </w:r>
      <w:r>
        <w:rPr>
          <w:rFonts w:ascii="Times New Roman" w:hAnsi="Times New Roman"/>
          <w:b/>
          <w:i w:val="false"/>
          <w:caps w:val="false"/>
          <w:smallCaps w:val="false"/>
          <w:strike w:val="false"/>
          <w:dstrike w:val="false"/>
          <w:color w:val="000000"/>
          <w:sz w:val="24"/>
          <w:szCs w:val="24"/>
          <w:u w:val="none"/>
          <w:effect w:val="none"/>
        </w:rPr>
        <w:t>racionalização administrativa</w:t>
      </w:r>
      <w:r>
        <w:rPr>
          <w:rFonts w:ascii="Times New Roman" w:hAnsi="Times New Roman"/>
          <w:b w:val="false"/>
          <w:i w:val="false"/>
          <w:caps w:val="false"/>
          <w:smallCaps w:val="false"/>
          <w:strike w:val="false"/>
          <w:dstrike w:val="false"/>
          <w:color w:val="000000"/>
          <w:sz w:val="24"/>
          <w:szCs w:val="24"/>
          <w:u w:val="none"/>
          <w:effect w:val="none"/>
        </w:rPr>
        <w:t>, eliminando estruturas burocráticas redundantes e permitindo que administrações frágeis se consolidem em unidades institucionais mais robustas e tecnicamente qualificadas.</w:t>
      </w:r>
    </w:p>
    <w:p>
      <w:pPr>
        <w:pStyle w:val="Corpodotexto"/>
        <w:bidi w:val="0"/>
        <w:spacing w:lineRule="auto" w:line="429" w:before="240" w:after="0"/>
        <w:ind w:start="14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Entre as vantagens potenciais, destacam-se:</w:t>
      </w:r>
    </w:p>
    <w:p>
      <w:pPr>
        <w:pStyle w:val="Corpodotexto"/>
        <w:bidi w:val="0"/>
        <w:spacing w:lineRule="auto" w:line="429" w:before="80" w:after="0"/>
        <w:ind w:start="140" w:end="140" w:hanging="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 xml:space="preserve">Economias de escala: </w:t>
      </w:r>
      <w:r>
        <w:rPr>
          <w:rFonts w:ascii="Times New Roman" w:hAnsi="Times New Roman"/>
          <w:b w:val="false"/>
          <w:i w:val="false"/>
          <w:caps w:val="false"/>
          <w:smallCaps w:val="false"/>
          <w:strike w:val="false"/>
          <w:dstrike w:val="false"/>
          <w:color w:val="000000"/>
          <w:sz w:val="24"/>
          <w:szCs w:val="24"/>
          <w:u w:val="none"/>
          <w:effect w:val="none"/>
        </w:rPr>
        <w:t>A unificação de sistemas administrativos e a redução de custos fixos com cargos políticos podem liberar recursos orçamentários consideráveis.</w:t>
      </w:r>
    </w:p>
    <w:p>
      <w:pPr>
        <w:pStyle w:val="Corpodotexto"/>
        <w:bidi w:val="0"/>
        <w:spacing w:lineRule="auto" w:line="429" w:before="240" w:after="0"/>
        <w:ind w:start="140" w:end="140" w:hanging="0"/>
        <w:jc w:val="both"/>
        <w:rPr>
          <w:rFonts w:ascii="Times New Roman" w:hAnsi="Times New Roman"/>
          <w:b w:val="false"/>
          <w:sz w:val="24"/>
          <w:szCs w:val="24"/>
        </w:rPr>
      </w:pPr>
      <w:r>
        <w:rPr>
          <w:rFonts w:ascii="Times New Roman" w:hAnsi="Times New Roman"/>
          <w:b/>
          <w:i w:val="false"/>
          <w:caps w:val="false"/>
          <w:smallCaps w:val="false"/>
          <w:strike w:val="false"/>
          <w:dstrike w:val="false"/>
          <w:color w:val="000000"/>
          <w:sz w:val="24"/>
          <w:szCs w:val="24"/>
          <w:u w:val="none"/>
          <w:effect w:val="none"/>
        </w:rPr>
        <w:t xml:space="preserve">Melhoria na prestação de serviços: </w:t>
      </w:r>
      <w:r>
        <w:rPr>
          <w:rFonts w:ascii="Times New Roman" w:hAnsi="Times New Roman"/>
          <w:b w:val="false"/>
          <w:i w:val="false"/>
          <w:caps w:val="false"/>
          <w:smallCaps w:val="false"/>
          <w:strike w:val="false"/>
          <w:dstrike w:val="false"/>
          <w:color w:val="000000"/>
          <w:sz w:val="24"/>
          <w:szCs w:val="24"/>
          <w:u w:val="none"/>
          <w:effect w:val="none"/>
        </w:rPr>
        <w:t>O fortalecimento da capacidade fiscal do novo município permite investimentos mais eficazes em infraestrutura, saúde e educação.</w:t>
      </w:r>
    </w:p>
    <w:p>
      <w:pPr>
        <w:pStyle w:val="Corpodotexto"/>
        <w:bidi w:val="0"/>
        <w:spacing w:lineRule="auto" w:line="429" w:before="240" w:after="0"/>
        <w:ind w:start="140" w:end="100" w:hanging="0"/>
        <w:jc w:val="both"/>
        <w:rPr>
          <w:rFonts w:ascii="Times New Roman" w:hAnsi="Times New Roman"/>
          <w:b w:val="false"/>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Contudo, o processo não é isento de riscos. A integração demanda uma reestruturação profunda, incluindo a unificação de quadros de servidores com diferentes regimes, a reorganização de sistemas tecnológicos e a redefinição de prioridades políticas. Por isso, o sucesso da medida depende obrigatoriamente de </w:t>
      </w:r>
      <w:r>
        <w:rPr>
          <w:rFonts w:ascii="Times New Roman" w:hAnsi="Times New Roman"/>
          <w:b/>
          <w:i w:val="false"/>
          <w:caps w:val="false"/>
          <w:smallCaps w:val="false"/>
          <w:strike w:val="false"/>
          <w:dstrike w:val="false"/>
          <w:color w:val="000000"/>
          <w:sz w:val="24"/>
          <w:szCs w:val="24"/>
          <w:u w:val="none"/>
          <w:effect w:val="none"/>
        </w:rPr>
        <w:t xml:space="preserve">estudos técnicos prévios </w:t>
      </w:r>
      <w:r>
        <w:rPr>
          <w:rFonts w:ascii="Times New Roman" w:hAnsi="Times New Roman"/>
          <w:b w:val="false"/>
          <w:i w:val="false"/>
          <w:caps w:val="false"/>
          <w:smallCaps w:val="false"/>
          <w:strike w:val="false"/>
          <w:dstrike w:val="false"/>
          <w:color w:val="000000"/>
          <w:sz w:val="24"/>
          <w:szCs w:val="24"/>
          <w:u w:val="none"/>
          <w:effect w:val="none"/>
        </w:rPr>
        <w:t>que mapeiem esses impactos de forma exaustiva antes da implementação.</w:t>
      </w:r>
    </w:p>
    <w:p>
      <w:pPr>
        <w:pStyle w:val="Corpodotexto"/>
        <w:bidi w:val="0"/>
        <w:spacing w:lineRule="auto" w:line="429" w:before="240" w:after="0"/>
        <w:ind w:start="140" w:end="100" w:hanging="0"/>
        <w:jc w:val="both"/>
        <w:rPr>
          <w:rFonts w:ascii="Times New Roman" w:hAnsi="Times New Roman"/>
          <w:sz w:val="24"/>
          <w:szCs w:val="24"/>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4.6. Ciclo Orçamentário e Financeiro</w:t>
      </w:r>
    </w:p>
    <w:p>
      <w:pPr>
        <w:pStyle w:val="Corpodotexto"/>
        <w:bidi w:val="0"/>
        <w:spacing w:lineRule="auto" w:line="429" w:before="240" w:after="0"/>
        <w:ind w:end="100" w:hanging="0"/>
        <w:jc w:val="both"/>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rPr>
        <w:t xml:space="preserve">Esta sessão consistirá em uma explicação breve sobre como o Direito, as Finanças Públicas, a Economia e a Contabilidade Pública inter-relacionam-se e garantirão, por critérios constitucionais, a fusão e a extinção municipal. Comecemos.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O ciclo orçamentário (ou Processo Orçamentário) é o processo contínuo, flexível e dinâmico pelo qual o Estado planeja, autoriza, executa e controla o uso dos recursos públicos num determinado período. Embora o foco comum seja a Lei Orçamentária Anual (LOA), o ciclo completo abrange um planejamento estratégico de médio prazo, englobando ainda a elaboração do Plano Plurianual (PPA) e a Lei das Diretrizes Orçamentárias (LDO). Portanto, é precípuo o entendimento dos dois ciclos que, juntos, discriminam todas as etapas do Processo Orçamentário.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Ciclo Ampliado (Completo)</w:t>
      </w:r>
      <w:r>
        <w:rPr>
          <w:rFonts w:cs="Calibri" w:ascii="Times New Roman" w:hAnsi="Times New Roman" w:cstheme="minorHAnsi"/>
          <w:b/>
          <w:bCs/>
          <w:sz w:val="24"/>
          <w:szCs w:val="24"/>
          <w:lang w:eastAsia="pt-BR"/>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Elaborado por Sanches</w:t>
      </w:r>
      <w:r>
        <w:rPr>
          <w:rStyle w:val="Ncoradanotaderodap"/>
          <w:rFonts w:cs="Calibri" w:ascii="Times New Roman" w:hAnsi="Times New Roman" w:cstheme="minorHAnsi"/>
          <w:sz w:val="24"/>
          <w:szCs w:val="24"/>
          <w:lang w:eastAsia="pt-BR"/>
        </w:rPr>
        <w:footnoteReference w:id="2"/>
      </w:r>
      <w:r>
        <w:rPr>
          <w:rFonts w:cs="Calibri" w:ascii="Times New Roman" w:hAnsi="Times New Roman" w:cstheme="minorHAnsi"/>
          <w:sz w:val="24"/>
          <w:szCs w:val="24"/>
          <w:lang w:eastAsia="pt-BR"/>
        </w:rPr>
        <w:t xml:space="preserve">, considera-se o ciclo desde o seu planejamento de médio prazo. Composto, em conjunto, pelo PPA, LDO e LOA, e tendo os Poderes Executivo e Legislativo como os atores principais no processo. Dessa forma, o ciclo orçamentário possui oito fases. Inicia-se com a formulação do planejamento plurianual pelo Poder Executivo e encerra-se com a avaliação da execução (controle interno e externo) e do julgamento das contas pelo Poder Legislativo.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Nos termos da CF/1988, o ciclo orçamentário ampliado desdobrar-se em oito fases, quais sejam: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formulação do planejamento plurianual, pelo </w:t>
      </w:r>
      <w:r>
        <w:rPr>
          <w:rFonts w:cs="Calibri" w:ascii="Times New Roman" w:hAnsi="Times New Roman" w:cstheme="minorHAnsi"/>
          <w:b/>
          <w:bCs/>
          <w:color w:val="FF0000"/>
          <w:sz w:val="24"/>
          <w:szCs w:val="24"/>
          <w:lang w:eastAsia="pt-BR"/>
        </w:rPr>
        <w:t>Executivo</w:t>
      </w:r>
      <w:r>
        <w:rPr>
          <w:rFonts w:cs="Calibri" w:ascii="Times New Roman" w:hAnsi="Times New Roman" w:cstheme="minorHAnsi"/>
          <w:sz w:val="24"/>
          <w:szCs w:val="24"/>
          <w:lang w:eastAsia="pt-BR"/>
        </w:rPr>
        <w:t>;</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apreciação e adequação do plano, pelo </w:t>
      </w:r>
      <w:r>
        <w:rPr>
          <w:rFonts w:cs="Calibri" w:ascii="Times New Roman" w:hAnsi="Times New Roman" w:cstheme="minorHAnsi"/>
          <w:b/>
          <w:bCs/>
          <w:color w:val="0070C0"/>
          <w:sz w:val="24"/>
          <w:szCs w:val="24"/>
          <w:lang w:eastAsia="pt-BR"/>
        </w:rPr>
        <w:t>Legislativo</w:t>
      </w:r>
      <w:r>
        <w:rPr>
          <w:rFonts w:cs="Calibri" w:ascii="Times New Roman" w:hAnsi="Times New Roman" w:cstheme="minorHAnsi"/>
          <w:sz w:val="24"/>
          <w:szCs w:val="24"/>
          <w:lang w:eastAsia="pt-BR"/>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proposição de metas e prioridades para a administração e da politica de alocação de recursos pelo </w:t>
      </w:r>
      <w:r>
        <w:rPr>
          <w:rFonts w:cs="Calibri" w:ascii="Times New Roman" w:hAnsi="Times New Roman" w:cstheme="minorHAnsi"/>
          <w:b/>
          <w:bCs/>
          <w:color w:val="FF0000"/>
          <w:sz w:val="24"/>
          <w:szCs w:val="24"/>
          <w:lang w:eastAsia="pt-BR"/>
        </w:rPr>
        <w:t>Executivo</w:t>
      </w:r>
      <w:r>
        <w:rPr>
          <w:rFonts w:cs="Calibri" w:ascii="Times New Roman" w:hAnsi="Times New Roman" w:cstheme="minorHAnsi"/>
          <w:sz w:val="24"/>
          <w:szCs w:val="24"/>
          <w:lang w:eastAsia="pt-BR"/>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apreciação e adequação da LDO, pelo </w:t>
      </w:r>
      <w:r>
        <w:rPr>
          <w:rFonts w:cs="Calibri" w:ascii="Times New Roman" w:hAnsi="Times New Roman" w:cstheme="minorHAnsi"/>
          <w:b/>
          <w:bCs/>
          <w:color w:val="0070C0"/>
          <w:sz w:val="24"/>
          <w:szCs w:val="24"/>
          <w:lang w:eastAsia="pt-BR"/>
        </w:rPr>
        <w:t>Legislativo</w:t>
      </w:r>
      <w:r>
        <w:rPr>
          <w:rFonts w:cs="Calibri" w:ascii="Times New Roman" w:hAnsi="Times New Roman" w:cstheme="minorHAnsi"/>
          <w:sz w:val="24"/>
          <w:szCs w:val="24"/>
          <w:lang w:eastAsia="pt-BR"/>
        </w:rPr>
        <w:t>;</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elaboração da proposta de orçamento, pelo </w:t>
      </w:r>
      <w:r>
        <w:rPr>
          <w:rFonts w:cs="Calibri" w:ascii="Times New Roman" w:hAnsi="Times New Roman" w:cstheme="minorHAnsi"/>
          <w:b/>
          <w:bCs/>
          <w:color w:val="FF0000"/>
          <w:sz w:val="24"/>
          <w:szCs w:val="24"/>
          <w:lang w:eastAsia="pt-BR"/>
        </w:rPr>
        <w:t>Executivo</w:t>
      </w:r>
      <w:r>
        <w:rPr>
          <w:rFonts w:cs="Calibri" w:ascii="Times New Roman" w:hAnsi="Times New Roman" w:cstheme="minorHAnsi"/>
          <w:sz w:val="24"/>
          <w:szCs w:val="24"/>
          <w:lang w:eastAsia="pt-BR"/>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apreciação, adequação e autorização legislativa, pelo </w:t>
      </w:r>
      <w:r>
        <w:rPr>
          <w:rFonts w:cs="Calibri" w:ascii="Times New Roman" w:hAnsi="Times New Roman" w:cstheme="minorHAnsi"/>
          <w:b/>
          <w:bCs/>
          <w:color w:val="0070C0"/>
          <w:sz w:val="24"/>
          <w:szCs w:val="24"/>
          <w:lang w:eastAsia="pt-BR"/>
        </w:rPr>
        <w:t>Legislativo</w:t>
      </w:r>
      <w:r>
        <w:rPr>
          <w:rFonts w:cs="Calibri" w:ascii="Times New Roman" w:hAnsi="Times New Roman" w:cstheme="minorHAnsi"/>
          <w:sz w:val="24"/>
          <w:szCs w:val="24"/>
          <w:lang w:eastAsia="pt-BR"/>
        </w:rPr>
        <w:t>;</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execução dos orçamentos aprovados, pelo </w:t>
      </w:r>
      <w:r>
        <w:rPr>
          <w:rFonts w:cs="Calibri" w:ascii="Times New Roman" w:hAnsi="Times New Roman" w:cstheme="minorHAnsi"/>
          <w:b/>
          <w:bCs/>
          <w:color w:val="FF0000"/>
          <w:sz w:val="24"/>
          <w:szCs w:val="24"/>
          <w:lang w:eastAsia="pt-BR"/>
        </w:rPr>
        <w:t>Executivo</w:t>
      </w:r>
      <w:r>
        <w:rPr>
          <w:rFonts w:cs="Calibri" w:ascii="Times New Roman" w:hAnsi="Times New Roman" w:cstheme="minorHAnsi"/>
          <w:sz w:val="24"/>
          <w:szCs w:val="24"/>
          <w:lang w:eastAsia="pt-BR"/>
        </w:rPr>
        <w:t>;</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avaliação da execução e julgamento das contas, pelo </w:t>
      </w:r>
      <w:r>
        <w:rPr>
          <w:rFonts w:cs="Calibri" w:ascii="Times New Roman" w:hAnsi="Times New Roman" w:cstheme="minorHAnsi"/>
          <w:b/>
          <w:bCs/>
          <w:color w:val="0070C0"/>
          <w:sz w:val="24"/>
          <w:szCs w:val="24"/>
          <w:lang w:eastAsia="pt-BR"/>
        </w:rPr>
        <w:t>Legislativo</w:t>
      </w:r>
      <w:r>
        <w:rPr>
          <w:rFonts w:cs="Calibri" w:ascii="Times New Roman" w:hAnsi="Times New Roman" w:cstheme="minorHAnsi"/>
          <w:sz w:val="24"/>
          <w:szCs w:val="24"/>
          <w:lang w:eastAsia="pt-BR"/>
        </w:rPr>
        <w:t>.</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ascii="Times New Roman" w:hAnsi="Times New Roman"/>
          <w:sz w:val="24"/>
          <w:szCs w:val="24"/>
        </w:rPr>
        <w:drawing>
          <wp:inline distT="0" distB="0" distL="0" distR="0">
            <wp:extent cx="3110230" cy="1607820"/>
            <wp:effectExtent l="0" t="0" r="0" b="0"/>
            <wp:docPr id="1" name="Imagem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title=""/>
                    <pic:cNvPicPr>
                      <a:picLocks noChangeAspect="1" noChangeArrowheads="1"/>
                    </pic:cNvPicPr>
                  </pic:nvPicPr>
                  <pic:blipFill>
                    <a:blip r:embed="rId2"/>
                    <a:stretch>
                      <a:fillRect/>
                    </a:stretch>
                  </pic:blipFill>
                  <pic:spPr bwMode="auto">
                    <a:xfrm>
                      <a:off x="0" y="0"/>
                      <a:ext cx="3110230" cy="1607820"/>
                    </a:xfrm>
                    <a:prstGeom prst="rect">
                      <a:avLst/>
                    </a:prstGeom>
                  </pic:spPr>
                </pic:pic>
              </a:graphicData>
            </a:graphic>
          </wp:inline>
        </w:drawing>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Ainda segundo o autor, tais fases são insuscetíveis de aglutinação, dado que cada uma possui ritmo próprio, finalidade distinta e periodicidade definida. O plano plurianual, por exemplo, não pode ser aglutinado à fase de elaboração do orçamento, porquanto constitui instrumento super ordenador daquela, como evidenciado pelo cenário institucional articulado pela CF de 1988.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Por fim, o processo orçamentário é, em grande parte, resultante de uma programação de médio prazo e não pode ser visto como autossuficiente, já que a primeira etapa do ciclo se renova anualmente, com a elaboração da proposta orçamentária.</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r>
        <w:br w:type="page"/>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Ciclo Reduzido</w:t>
      </w:r>
      <w:r>
        <w:rPr>
          <w:rFonts w:cs="Calibri" w:ascii="Times New Roman" w:hAnsi="Times New Roman" w:cstheme="minorHAnsi"/>
          <w:b/>
          <w:bCs/>
          <w:sz w:val="24"/>
          <w:szCs w:val="24"/>
          <w:lang w:eastAsia="pt-BR"/>
        </w:rPr>
        <w:t xml:space="preserve">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ascii="Times New Roman" w:hAnsi="Times New Roman"/>
          <w:sz w:val="24"/>
          <w:szCs w:val="24"/>
        </w:rPr>
        <w:drawing>
          <wp:inline distT="0" distB="0" distL="0" distR="0">
            <wp:extent cx="3030220" cy="1882140"/>
            <wp:effectExtent l="0" t="0" r="0" b="0"/>
            <wp:docPr id="2" name="Imagem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 title=""/>
                    <pic:cNvPicPr>
                      <a:picLocks noChangeAspect="1" noChangeArrowheads="1"/>
                    </pic:cNvPicPr>
                  </pic:nvPicPr>
                  <pic:blipFill>
                    <a:blip r:embed="rId3"/>
                    <a:srcRect l="15155" t="15666" r="0" b="32"/>
                    <a:stretch>
                      <a:fillRect/>
                    </a:stretch>
                  </pic:blipFill>
                  <pic:spPr bwMode="auto">
                    <a:xfrm>
                      <a:off x="0" y="0"/>
                      <a:ext cx="3030220" cy="1882140"/>
                    </a:xfrm>
                    <a:prstGeom prst="rect">
                      <a:avLst/>
                    </a:prstGeom>
                  </pic:spPr>
                </pic:pic>
              </a:graphicData>
            </a:graphic>
          </wp:inline>
        </w:drawing>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Corresponde ao período de tempo em que se processam as atividades típicas do orçamento público, desde sua concepção até a avaliação final. A maioria dos autores adota as seguintes fases do ciclo orçamentário: </w:t>
      </w:r>
      <w:r>
        <w:rPr>
          <w:rFonts w:cs="Calibri" w:ascii="Times New Roman" w:hAnsi="Times New Roman" w:cstheme="minorHAnsi"/>
          <w:b/>
          <w:bCs/>
          <w:sz w:val="24"/>
          <w:szCs w:val="24"/>
          <w:lang w:eastAsia="pt-BR"/>
        </w:rPr>
        <w:t xml:space="preserve">elaboração, apreciação legislativa, execução e acompanhamento, controle e avaliação.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O ciclo nas quatro fases principais: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1. Elaboração da Proposta (Planejamento)</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 </w:t>
      </w:r>
      <w:r>
        <w:rPr>
          <w:rFonts w:cs="Calibri" w:ascii="Times New Roman" w:hAnsi="Times New Roman" w:cstheme="minorHAnsi"/>
          <w:b/>
          <w:bCs/>
          <w:sz w:val="24"/>
          <w:szCs w:val="24"/>
          <w:lang w:eastAsia="pt-BR"/>
        </w:rPr>
        <w:t>Poder Executivo</w:t>
      </w:r>
      <w:r>
        <w:rPr>
          <w:rFonts w:cs="Calibri" w:ascii="Times New Roman" w:hAnsi="Times New Roman" w:cstheme="minorHAnsi"/>
          <w:sz w:val="24"/>
          <w:szCs w:val="24"/>
          <w:lang w:eastAsia="pt-BR"/>
        </w:rPr>
        <w:t> tem uma iniciativa exclusiva de elaborar uma proposta orçamentária.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Instrumentos:</w:t>
      </w:r>
      <w:r>
        <w:rPr>
          <w:rFonts w:cs="Calibri" w:ascii="Times New Roman" w:hAnsi="Times New Roman" w:cstheme="minorHAnsi"/>
          <w:sz w:val="24"/>
          <w:szCs w:val="24"/>
          <w:lang w:eastAsia="pt-BR"/>
        </w:rPr>
        <w:t> Baseia-se no </w:t>
      </w:r>
      <w:r>
        <w:rPr>
          <w:rFonts w:cs="Calibri" w:ascii="Times New Roman" w:hAnsi="Times New Roman" w:cstheme="minorHAnsi"/>
          <w:b/>
          <w:bCs/>
          <w:sz w:val="24"/>
          <w:szCs w:val="24"/>
          <w:lang w:eastAsia="pt-BR"/>
        </w:rPr>
        <w:t>PPA</w:t>
      </w:r>
      <w:r>
        <w:rPr>
          <w:rFonts w:cs="Calibri" w:ascii="Times New Roman" w:hAnsi="Times New Roman" w:cstheme="minorHAnsi"/>
          <w:sz w:val="24"/>
          <w:szCs w:val="24"/>
          <w:lang w:eastAsia="pt-BR"/>
        </w:rPr>
        <w:t> (Plano Plurianual - 4 anos), na </w:t>
      </w:r>
      <w:r>
        <w:rPr>
          <w:rFonts w:cs="Calibri" w:ascii="Times New Roman" w:hAnsi="Times New Roman" w:cstheme="minorHAnsi"/>
          <w:b/>
          <w:bCs/>
          <w:sz w:val="24"/>
          <w:szCs w:val="24"/>
          <w:lang w:eastAsia="pt-BR"/>
        </w:rPr>
        <w:t>LDO</w:t>
      </w:r>
      <w:r>
        <w:rPr>
          <w:rFonts w:cs="Calibri" w:ascii="Times New Roman" w:hAnsi="Times New Roman" w:cstheme="minorHAnsi"/>
          <w:sz w:val="24"/>
          <w:szCs w:val="24"/>
          <w:lang w:eastAsia="pt-BR"/>
        </w:rPr>
        <w:t> (Lei de Diretrizes Orçamentárias - anual) e culmina na </w:t>
      </w:r>
      <w:r>
        <w:rPr>
          <w:rFonts w:cs="Calibri" w:ascii="Times New Roman" w:hAnsi="Times New Roman" w:cstheme="minorHAnsi"/>
          <w:b/>
          <w:bCs/>
          <w:sz w:val="24"/>
          <w:szCs w:val="24"/>
          <w:lang w:eastAsia="pt-BR"/>
        </w:rPr>
        <w:t>LOA</w:t>
      </w:r>
      <w:r>
        <w:rPr>
          <w:rFonts w:cs="Calibri" w:ascii="Times New Roman" w:hAnsi="Times New Roman" w:cstheme="minorHAnsi"/>
          <w:sz w:val="24"/>
          <w:szCs w:val="24"/>
          <w:lang w:eastAsia="pt-BR"/>
        </w:rPr>
        <w:t> (Lei Orçamentária Anual).</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Ações:</w:t>
      </w:r>
      <w:r>
        <w:rPr>
          <w:rFonts w:cs="Calibri" w:ascii="Times New Roman" w:hAnsi="Times New Roman" w:cstheme="minorHAnsi"/>
          <w:sz w:val="24"/>
          <w:szCs w:val="24"/>
          <w:lang w:eastAsia="pt-BR"/>
        </w:rPr>
        <w:t> Estimativa de receitas e fixação de despesas para o ano seguinte.</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Prazo:</w:t>
      </w:r>
      <w:r>
        <w:rPr>
          <w:rFonts w:cs="Calibri" w:ascii="Times New Roman" w:hAnsi="Times New Roman" w:cstheme="minorHAnsi"/>
          <w:sz w:val="24"/>
          <w:szCs w:val="24"/>
          <w:lang w:eastAsia="pt-BR"/>
        </w:rPr>
        <w:t> No nível federal, o projeto da LOA deve ser enviado ao Congresso Nacional até </w:t>
      </w:r>
      <w:r>
        <w:rPr>
          <w:rFonts w:cs="Calibri" w:ascii="Times New Roman" w:hAnsi="Times New Roman" w:cstheme="minorHAnsi"/>
          <w:b/>
          <w:bCs/>
          <w:sz w:val="24"/>
          <w:szCs w:val="24"/>
          <w:lang w:eastAsia="pt-BR"/>
        </w:rPr>
        <w:t>31 de agosto</w:t>
      </w:r>
      <w:r>
        <w:rPr>
          <w:rFonts w:cs="Calibri" w:ascii="Times New Roman" w:hAnsi="Times New Roman" w:cstheme="minorHAnsi"/>
          <w:sz w:val="24"/>
          <w:szCs w:val="24"/>
          <w:lang w:eastAsia="pt-BR"/>
        </w:rPr>
        <w:t> . </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2. Discussão, Votação e Aprovação (Autorização)</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 projeto é enviado ao </w:t>
      </w:r>
      <w:r>
        <w:rPr>
          <w:rFonts w:cs="Calibri" w:ascii="Times New Roman" w:hAnsi="Times New Roman" w:cstheme="minorHAnsi"/>
          <w:b/>
          <w:bCs/>
          <w:sz w:val="24"/>
          <w:szCs w:val="24"/>
          <w:lang w:eastAsia="pt-BR"/>
        </w:rPr>
        <w:t>Poder Legislativo</w:t>
      </w:r>
      <w:r>
        <w:rPr>
          <w:rFonts w:cs="Calibri" w:ascii="Times New Roman" w:hAnsi="Times New Roman" w:cstheme="minorHAnsi"/>
          <w:sz w:val="24"/>
          <w:szCs w:val="24"/>
          <w:lang w:eastAsia="pt-BR"/>
        </w:rPr>
        <w:t> para que os representantes da sociedade analisem e votem como prioridades.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Comissão Mista de Orçamento (CMO):</w:t>
      </w:r>
      <w:r>
        <w:rPr>
          <w:rFonts w:cs="Calibri" w:ascii="Times New Roman" w:hAnsi="Times New Roman" w:cstheme="minorHAnsi"/>
          <w:sz w:val="24"/>
          <w:szCs w:val="24"/>
          <w:lang w:eastAsia="pt-BR"/>
        </w:rPr>
        <w:t> Local onde ocorreram as discussões técnicas e a proposição de emendas parlamentares.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Sanção:</w:t>
      </w:r>
      <w:r>
        <w:rPr>
          <w:rFonts w:cs="Calibri" w:ascii="Times New Roman" w:hAnsi="Times New Roman" w:cstheme="minorHAnsi"/>
          <w:sz w:val="24"/>
          <w:szCs w:val="24"/>
          <w:lang w:eastAsia="pt-BR"/>
        </w:rPr>
        <w:t> Após aprovado pelo Legislativo, o texto retorna ao Executivo para sanção do Presidente, tornando-se lei. Por exemplo, o orçamento de 2026 foi sancionado em janeiro de 2026. </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3. Execução Orçamentária e Financeira</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Com a lei em vigor, o governo começa a arrecadar recursos e realizar os gastos autorizados.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Estágios da Receita:</w:t>
      </w:r>
      <w:r>
        <w:rPr>
          <w:rFonts w:cs="Calibri" w:ascii="Times New Roman" w:hAnsi="Times New Roman" w:cstheme="minorHAnsi"/>
          <w:sz w:val="24"/>
          <w:szCs w:val="24"/>
          <w:lang w:eastAsia="pt-BR"/>
        </w:rPr>
        <w:t> Previsão, lançamento, arrecadação e recolhimento.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Estágios da Despesa:</w:t>
      </w:r>
      <w:r>
        <w:rPr>
          <w:rFonts w:cs="Calibri" w:ascii="Times New Roman" w:hAnsi="Times New Roman" w:cstheme="minorHAnsi"/>
          <w:sz w:val="24"/>
          <w:szCs w:val="24"/>
          <w:lang w:eastAsia="pt-BR"/>
        </w:rPr>
        <w:t> Empenho (reserva do dinheiro), liquidação (verificação da entrega do serviço/bem) e pagamento. </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4. Controle e Avaliação</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A fase final verifica se o dinheiro foi usado corretamente e se as metas foram atingidas.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Órgãos Responsáveis:</w:t>
      </w:r>
      <w:r>
        <w:rPr>
          <w:rFonts w:cs="Calibri" w:ascii="Times New Roman" w:hAnsi="Times New Roman" w:cstheme="minorHAnsi"/>
          <w:sz w:val="24"/>
          <w:szCs w:val="24"/>
          <w:lang w:eastAsia="pt-BR"/>
        </w:rPr>
        <w:t> O controle é feito internamente pelo próprio governo e externamente pelo Legislativo, com auxílio do </w:t>
      </w:r>
      <w:r>
        <w:rPr>
          <w:rFonts w:cs="Calibri" w:ascii="Times New Roman" w:hAnsi="Times New Roman" w:cstheme="minorHAnsi"/>
          <w:b/>
          <w:bCs/>
          <w:sz w:val="24"/>
          <w:szCs w:val="24"/>
          <w:lang w:eastAsia="pt-BR"/>
        </w:rPr>
        <w:t>Tribunal de Contas</w:t>
      </w:r>
      <w:r>
        <w:rPr>
          <w:rFonts w:cs="Calibri" w:ascii="Times New Roman" w:hAnsi="Times New Roman" w:cstheme="minorHAnsi"/>
          <w:sz w:val="24"/>
          <w:szCs w:val="24"/>
          <w:lang w:eastAsia="pt-BR"/>
        </w:rPr>
        <w:t>.</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Transparência:</w:t>
      </w:r>
      <w:r>
        <w:rPr>
          <w:rFonts w:cs="Calibri" w:ascii="Times New Roman" w:hAnsi="Times New Roman" w:cstheme="minorHAnsi"/>
          <w:sz w:val="24"/>
          <w:szCs w:val="24"/>
          <w:lang w:eastAsia="pt-BR"/>
        </w:rPr>
        <w:t> Garantir que o orçamento seja entregue à sociedade de forma justa, conforme planejado. </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Diferença entre Ciclo Restrito e Ampliado: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Ciclo Restrito (ou Próprio):</w:t>
      </w:r>
      <w:r>
        <w:rPr>
          <w:rFonts w:cs="Calibri" w:ascii="Times New Roman" w:hAnsi="Times New Roman" w:cstheme="minorHAnsi"/>
          <w:sz w:val="24"/>
          <w:szCs w:val="24"/>
          <w:lang w:eastAsia="pt-BR"/>
        </w:rPr>
        <w:t> Foco apenas nas 4 etapas da </w:t>
      </w:r>
      <w:r>
        <w:rPr>
          <w:rFonts w:cs="Calibri" w:ascii="Times New Roman" w:hAnsi="Times New Roman" w:cstheme="minorHAnsi"/>
          <w:b/>
          <w:bCs/>
          <w:sz w:val="24"/>
          <w:szCs w:val="24"/>
          <w:lang w:eastAsia="pt-BR"/>
        </w:rPr>
        <w:t>LOA</w:t>
      </w:r>
      <w:r>
        <w:rPr>
          <w:rFonts w:cs="Calibri" w:ascii="Times New Roman" w:hAnsi="Times New Roman" w:cstheme="minorHAnsi"/>
          <w:sz w:val="24"/>
          <w:szCs w:val="24"/>
          <w:lang w:eastAsia="pt-BR"/>
        </w:rPr>
        <w:t>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Ciclo Ampliado</w:t>
      </w:r>
      <w:r>
        <w:rPr>
          <w:rFonts w:cs="Calibri" w:ascii="Times New Roman" w:hAnsi="Times New Roman" w:cstheme="minorHAnsi"/>
          <w:b/>
          <w:bCs/>
          <w:sz w:val="24"/>
          <w:szCs w:val="24"/>
          <w:lang w:eastAsia="pt-BR"/>
        </w:rPr>
        <w:t>:</w:t>
      </w:r>
      <w:r>
        <w:rPr>
          <w:rFonts w:cs="Calibri" w:ascii="Times New Roman" w:hAnsi="Times New Roman" w:cstheme="minorHAnsi"/>
          <w:sz w:val="24"/>
          <w:szCs w:val="24"/>
          <w:lang w:eastAsia="pt-BR"/>
        </w:rPr>
        <w:t> Inclui todo o planejamento estratégico, desde a elaboração do </w:t>
      </w:r>
      <w:r>
        <w:rPr>
          <w:rFonts w:cs="Calibri" w:ascii="Times New Roman" w:hAnsi="Times New Roman" w:cstheme="minorHAnsi"/>
          <w:b/>
          <w:bCs/>
          <w:sz w:val="24"/>
          <w:szCs w:val="24"/>
          <w:lang w:eastAsia="pt-BR"/>
        </w:rPr>
        <w:t>PPA</w:t>
      </w:r>
      <w:r>
        <w:rPr>
          <w:rFonts w:cs="Calibri" w:ascii="Times New Roman" w:hAnsi="Times New Roman" w:cstheme="minorHAnsi"/>
          <w:sz w:val="24"/>
          <w:szCs w:val="24"/>
          <w:lang w:eastAsia="pt-BR"/>
        </w:rPr>
        <w:t> e passando pela </w:t>
      </w:r>
      <w:r>
        <w:rPr>
          <w:rFonts w:cs="Calibri" w:ascii="Times New Roman" w:hAnsi="Times New Roman" w:cstheme="minorHAnsi"/>
          <w:b/>
          <w:bCs/>
          <w:sz w:val="24"/>
          <w:szCs w:val="24"/>
          <w:lang w:eastAsia="pt-BR"/>
        </w:rPr>
        <w:t>LDO</w:t>
      </w:r>
      <w:r>
        <w:rPr>
          <w:rFonts w:cs="Calibri" w:ascii="Times New Roman" w:hAnsi="Times New Roman" w:cstheme="minorHAnsi"/>
          <w:sz w:val="24"/>
          <w:szCs w:val="24"/>
          <w:lang w:eastAsia="pt-BR"/>
        </w:rPr>
        <w:t> antes de chegar à LOA.</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Os prazos do ciclo orçamentário federal são definidos pela Constituição Federal (CF/1988) e pelo Ato das Disposições Constitucionais Transitórias (ADCT). Eles garantem que o planejamento (PPA), as regras (LDO) e o orçamento propriamente dito (LOA) sejam planejados e aprovados no tempo de entrarem em vigor no próximo exercício.</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lightGray"/>
          <w:lang w:eastAsia="pt-BR"/>
        </w:rPr>
        <w:t>Prazos oficiais para o envio pelo Poder Executivo e para a devolução pelo Congresso Nacional:</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Prazos das Leis Orçamentárias Federais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LDO (Lei de Diretrizes Orçamentárias)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Envio ao Congresso</w:t>
      </w:r>
      <w:r>
        <w:rPr>
          <w:rFonts w:cs="Calibri" w:ascii="Times New Roman" w:hAnsi="Times New Roman" w:cstheme="minorHAnsi"/>
          <w:sz w:val="24"/>
          <w:szCs w:val="24"/>
          <w:lang w:eastAsia="pt-BR"/>
        </w:rPr>
        <w:t>: Até </w:t>
      </w:r>
      <w:r>
        <w:rPr>
          <w:rFonts w:cs="Calibri" w:ascii="Times New Roman" w:hAnsi="Times New Roman" w:cstheme="minorHAnsi"/>
          <w:b/>
          <w:bCs/>
          <w:sz w:val="24"/>
          <w:szCs w:val="24"/>
          <w:lang w:eastAsia="pt-BR"/>
        </w:rPr>
        <w:t>15 de abril</w:t>
      </w:r>
      <w:r>
        <w:rPr>
          <w:rFonts w:cs="Calibri" w:ascii="Times New Roman" w:hAnsi="Times New Roman" w:cstheme="minorHAnsi"/>
          <w:sz w:val="24"/>
          <w:szCs w:val="24"/>
          <w:lang w:eastAsia="pt-BR"/>
        </w:rPr>
        <w:t> de cada ano.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Devolução para Sanção</w:t>
      </w:r>
      <w:r>
        <w:rPr>
          <w:rFonts w:cs="Calibri" w:ascii="Times New Roman" w:hAnsi="Times New Roman" w:cstheme="minorHAnsi"/>
          <w:sz w:val="24"/>
          <w:szCs w:val="24"/>
          <w:lang w:eastAsia="pt-BR"/>
        </w:rPr>
        <w:t>: Até </w:t>
      </w:r>
      <w:r>
        <w:rPr>
          <w:rFonts w:cs="Calibri" w:ascii="Times New Roman" w:hAnsi="Times New Roman" w:cstheme="minorHAnsi"/>
          <w:b/>
          <w:bCs/>
          <w:sz w:val="24"/>
          <w:szCs w:val="24"/>
          <w:lang w:eastAsia="pt-BR"/>
        </w:rPr>
        <w:t>17 de julho</w:t>
      </w:r>
      <w:r>
        <w:rPr>
          <w:rFonts w:cs="Calibri" w:ascii="Times New Roman" w:hAnsi="Times New Roman" w:cstheme="minorHAnsi"/>
          <w:sz w:val="24"/>
          <w:szCs w:val="24"/>
          <w:lang w:eastAsia="pt-BR"/>
        </w:rPr>
        <w:t xml:space="preserve"> (encerramento do primeiro período da sessão legislativa). </w:t>
      </w:r>
      <w:r>
        <w:rPr>
          <w:rFonts w:cs="Calibri" w:ascii="Times New Roman" w:hAnsi="Times New Roman" w:cstheme="minorHAnsi"/>
          <w:b/>
          <w:bCs/>
          <w:color w:val="FF0000"/>
          <w:sz w:val="24"/>
          <w:szCs w:val="24"/>
          <w:lang w:eastAsia="pt-BR"/>
        </w:rPr>
        <w:t>O Congresso não pode entrar em recesso em julho sem antes de aprovar a LDO.</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PPA (Plano Plurianual)</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Periodicidade</w:t>
      </w:r>
      <w:r>
        <w:rPr>
          <w:rFonts w:cs="Calibri" w:ascii="Times New Roman" w:hAnsi="Times New Roman" w:cstheme="minorHAnsi"/>
          <w:sz w:val="24"/>
          <w:szCs w:val="24"/>
          <w:lang w:eastAsia="pt-BR"/>
        </w:rPr>
        <w:t>: Elaborado apenas no </w:t>
      </w:r>
      <w:r>
        <w:rPr>
          <w:rFonts w:cs="Calibri" w:ascii="Times New Roman" w:hAnsi="Times New Roman" w:cstheme="minorHAnsi"/>
          <w:b/>
          <w:bCs/>
          <w:sz w:val="24"/>
          <w:szCs w:val="24"/>
          <w:lang w:eastAsia="pt-BR"/>
        </w:rPr>
        <w:t>primeiro ano</w:t>
      </w:r>
      <w:r>
        <w:rPr>
          <w:rFonts w:cs="Calibri" w:ascii="Times New Roman" w:hAnsi="Times New Roman" w:cstheme="minorHAnsi"/>
          <w:sz w:val="24"/>
          <w:szCs w:val="24"/>
          <w:lang w:eastAsia="pt-BR"/>
        </w:rPr>
        <w:t> de cada mandato presidencial.</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Envio ao Congresso</w:t>
      </w:r>
      <w:r>
        <w:rPr>
          <w:rFonts w:cs="Calibri" w:ascii="Times New Roman" w:hAnsi="Times New Roman" w:cstheme="minorHAnsi"/>
          <w:sz w:val="24"/>
          <w:szCs w:val="24"/>
          <w:lang w:eastAsia="pt-BR"/>
        </w:rPr>
        <w:t>: Até </w:t>
      </w:r>
      <w:r>
        <w:rPr>
          <w:rFonts w:cs="Calibri" w:ascii="Times New Roman" w:hAnsi="Times New Roman" w:cstheme="minorHAnsi"/>
          <w:b/>
          <w:bCs/>
          <w:sz w:val="24"/>
          <w:szCs w:val="24"/>
          <w:lang w:eastAsia="pt-BR"/>
        </w:rPr>
        <w:t>31 de agosto</w:t>
      </w:r>
      <w:r>
        <w:rPr>
          <w:rFonts w:cs="Calibri" w:ascii="Times New Roman" w:hAnsi="Times New Roman" w:cstheme="minorHAnsi"/>
          <w:sz w:val="24"/>
          <w:szCs w:val="24"/>
          <w:lang w:eastAsia="pt-BR"/>
        </w:rPr>
        <w:t> do primeiro ano do mandato.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Devolução para Sanção</w:t>
      </w:r>
      <w:r>
        <w:rPr>
          <w:rFonts w:cs="Calibri" w:ascii="Times New Roman" w:hAnsi="Times New Roman" w:cstheme="minorHAnsi"/>
          <w:sz w:val="24"/>
          <w:szCs w:val="24"/>
          <w:lang w:eastAsia="pt-BR"/>
        </w:rPr>
        <w:t>: Até </w:t>
      </w:r>
      <w:r>
        <w:rPr>
          <w:rFonts w:cs="Calibri" w:ascii="Times New Roman" w:hAnsi="Times New Roman" w:cstheme="minorHAnsi"/>
          <w:b/>
          <w:bCs/>
          <w:sz w:val="24"/>
          <w:szCs w:val="24"/>
          <w:lang w:eastAsia="pt-BR"/>
        </w:rPr>
        <w:t>22 de dezembro</w:t>
      </w:r>
      <w:r>
        <w:rPr>
          <w:rFonts w:cs="Calibri" w:ascii="Times New Roman" w:hAnsi="Times New Roman" w:cstheme="minorHAnsi"/>
          <w:sz w:val="24"/>
          <w:szCs w:val="24"/>
          <w:lang w:eastAsia="pt-BR"/>
        </w:rPr>
        <w:t> (encerramento da sessão legislativa).</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Vigência</w:t>
      </w:r>
      <w:r>
        <w:rPr>
          <w:rFonts w:cs="Calibri" w:ascii="Times New Roman" w:hAnsi="Times New Roman" w:cstheme="minorHAnsi"/>
          <w:sz w:val="24"/>
          <w:szCs w:val="24"/>
          <w:lang w:eastAsia="pt-BR"/>
        </w:rPr>
        <w:t>: Começa no segundo ano do mandato atual e termina no final do primeiro ano do mandato seguinte.</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LOA (Lei Orçamentária Anual)</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Envio ao Congresso</w:t>
      </w:r>
      <w:r>
        <w:rPr>
          <w:rFonts w:cs="Calibri" w:ascii="Times New Roman" w:hAnsi="Times New Roman" w:cstheme="minorHAnsi"/>
          <w:sz w:val="24"/>
          <w:szCs w:val="24"/>
          <w:lang w:eastAsia="pt-BR"/>
        </w:rPr>
        <w:t> : Até </w:t>
      </w:r>
      <w:r>
        <w:rPr>
          <w:rFonts w:cs="Calibri" w:ascii="Times New Roman" w:hAnsi="Times New Roman" w:cstheme="minorHAnsi"/>
          <w:b/>
          <w:bCs/>
          <w:sz w:val="24"/>
          <w:szCs w:val="24"/>
          <w:lang w:eastAsia="pt-BR"/>
        </w:rPr>
        <w:t>31 de agosto</w:t>
      </w:r>
      <w:r>
        <w:rPr>
          <w:rFonts w:cs="Calibri" w:ascii="Times New Roman" w:hAnsi="Times New Roman" w:cstheme="minorHAnsi"/>
          <w:sz w:val="24"/>
          <w:szCs w:val="24"/>
          <w:lang w:eastAsia="pt-BR"/>
        </w:rPr>
        <w:t> de cada ano.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Devolução para Sanção</w:t>
      </w:r>
      <w:r>
        <w:rPr>
          <w:rFonts w:cs="Calibri" w:ascii="Times New Roman" w:hAnsi="Times New Roman" w:cstheme="minorHAnsi"/>
          <w:sz w:val="24"/>
          <w:szCs w:val="24"/>
          <w:lang w:eastAsia="pt-BR"/>
        </w:rPr>
        <w:t> : Até </w:t>
      </w:r>
      <w:r>
        <w:rPr>
          <w:rFonts w:cs="Calibri" w:ascii="Times New Roman" w:hAnsi="Times New Roman" w:cstheme="minorHAnsi"/>
          <w:b/>
          <w:bCs/>
          <w:sz w:val="24"/>
          <w:szCs w:val="24"/>
          <w:lang w:eastAsia="pt-BR"/>
        </w:rPr>
        <w:t>22 de dezembro</w:t>
      </w:r>
      <w:r>
        <w:rPr>
          <w:rFonts w:cs="Calibri" w:ascii="Times New Roman" w:hAnsi="Times New Roman" w:cstheme="minorHAnsi"/>
          <w:sz w:val="24"/>
          <w:szCs w:val="24"/>
          <w:lang w:eastAsia="pt-BR"/>
        </w:rPr>
        <w:t> (encerramento da sessão legislativa).</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Tramitação</w:t>
      </w:r>
      <w:r>
        <w:rPr>
          <w:rFonts w:cs="Calibri" w:ascii="Times New Roman" w:hAnsi="Times New Roman" w:cstheme="minorHAnsi"/>
          <w:sz w:val="24"/>
          <w:szCs w:val="24"/>
          <w:lang w:eastAsia="pt-BR"/>
        </w:rPr>
        <w:t>: Após o envio, os parlamentares têm prazos internos específicos para apresentar emendas, geralmente ocorrendo entre outubro e novembro.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Resumo dos Prazos (Poder Executivo → Legislativo)</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tbl>
      <w:tblPr>
        <w:tblW w:w="9777" w:type="dxa"/>
        <w:jc w:val="start"/>
        <w:tblInd w:w="0" w:type="dxa"/>
        <w:tblCellMar>
          <w:top w:w="120" w:type="dxa"/>
          <w:start w:w="0" w:type="dxa"/>
          <w:bottom w:w="120" w:type="dxa"/>
          <w:end w:w="240" w:type="dxa"/>
        </w:tblCellMar>
        <w:tblLook w:val="04a0" w:noHBand="0" w:noVBand="1" w:firstColumn="1" w:lastRow="0" w:lastColumn="0" w:firstRow="1"/>
      </w:tblPr>
      <w:tblGrid>
        <w:gridCol w:w="2379"/>
        <w:gridCol w:w="3496"/>
        <w:gridCol w:w="3902"/>
      </w:tblGrid>
      <w:tr>
        <w:trPr/>
        <w:tc>
          <w:tcPr>
            <w:tcW w:w="2379" w:type="dxa"/>
            <w:tcBorders>
              <w:bottom w:val="single" w:sz="6" w:space="0" w:color="2D2F35"/>
            </w:tcBorders>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Instrumento </w:t>
            </w:r>
          </w:p>
        </w:tc>
        <w:tc>
          <w:tcPr>
            <w:tcW w:w="3496" w:type="dxa"/>
            <w:tcBorders>
              <w:bottom w:val="single" w:sz="6" w:space="0" w:color="2D2F35"/>
            </w:tcBorders>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Envio pelo Executivo</w:t>
            </w:r>
          </w:p>
        </w:tc>
        <w:tc>
          <w:tcPr>
            <w:tcW w:w="3902" w:type="dxa"/>
            <w:tcBorders>
              <w:bottom w:val="single" w:sz="6" w:space="0" w:color="2D2F35"/>
            </w:tcBorders>
            <w:tcMar>
              <w:end w:w="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Devolução pelo Legislativo</w:t>
            </w:r>
          </w:p>
        </w:tc>
      </w:tr>
      <w:tr>
        <w:trPr/>
        <w:tc>
          <w:tcPr>
            <w:tcW w:w="2379" w:type="dxa"/>
            <w:tcBorders>
              <w:bottom w:val="single" w:sz="6" w:space="0" w:color="2D2F35"/>
            </w:tcBorders>
            <w:tcMar>
              <w:top w:w="180" w:type="dxa"/>
              <w:bottom w:w="18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LDO</w:t>
            </w:r>
          </w:p>
        </w:tc>
        <w:tc>
          <w:tcPr>
            <w:tcW w:w="3496" w:type="dxa"/>
            <w:tcBorders>
              <w:bottom w:val="single" w:sz="6" w:space="0" w:color="2D2F35"/>
            </w:tcBorders>
            <w:tcMar>
              <w:top w:w="180" w:type="dxa"/>
              <w:bottom w:w="18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15 de abril</w:t>
            </w:r>
          </w:p>
        </w:tc>
        <w:tc>
          <w:tcPr>
            <w:tcW w:w="3902" w:type="dxa"/>
            <w:tcBorders>
              <w:bottom w:val="single" w:sz="6" w:space="0" w:color="2D2F35"/>
            </w:tcBorders>
            <w:tcMar>
              <w:top w:w="180" w:type="dxa"/>
              <w:bottom w:w="180" w:type="dxa"/>
              <w:end w:w="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17 de julho</w:t>
            </w:r>
          </w:p>
        </w:tc>
      </w:tr>
      <w:tr>
        <w:trPr/>
        <w:tc>
          <w:tcPr>
            <w:tcW w:w="2379" w:type="dxa"/>
            <w:tcBorders>
              <w:bottom w:val="single" w:sz="6" w:space="0" w:color="2D2F35"/>
            </w:tcBorders>
            <w:tcMar>
              <w:top w:w="180" w:type="dxa"/>
              <w:bottom w:w="18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PPA</w:t>
            </w:r>
          </w:p>
        </w:tc>
        <w:tc>
          <w:tcPr>
            <w:tcW w:w="3496" w:type="dxa"/>
            <w:tcBorders>
              <w:bottom w:val="single" w:sz="6" w:space="0" w:color="2D2F35"/>
            </w:tcBorders>
            <w:tcMar>
              <w:top w:w="180" w:type="dxa"/>
              <w:bottom w:w="18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31 de Agosto (Ano 1)</w:t>
            </w:r>
          </w:p>
        </w:tc>
        <w:tc>
          <w:tcPr>
            <w:tcW w:w="3902" w:type="dxa"/>
            <w:tcBorders>
              <w:bottom w:val="single" w:sz="6" w:space="0" w:color="2D2F35"/>
            </w:tcBorders>
            <w:tcMar>
              <w:top w:w="180" w:type="dxa"/>
              <w:bottom w:w="180" w:type="dxa"/>
              <w:end w:w="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22 de Dezembro</w:t>
            </w:r>
          </w:p>
        </w:tc>
      </w:tr>
      <w:tr>
        <w:trPr/>
        <w:tc>
          <w:tcPr>
            <w:tcW w:w="2379" w:type="dxa"/>
            <w:tcBorders/>
            <w:tcMar>
              <w:top w:w="180" w:type="dxa"/>
              <w:bottom w:w="18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LOA</w:t>
            </w:r>
          </w:p>
        </w:tc>
        <w:tc>
          <w:tcPr>
            <w:tcW w:w="3496" w:type="dxa"/>
            <w:tcBorders/>
            <w:tcMar>
              <w:top w:w="180" w:type="dxa"/>
              <w:bottom w:w="18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31 de Agosto</w:t>
            </w:r>
          </w:p>
        </w:tc>
        <w:tc>
          <w:tcPr>
            <w:tcW w:w="3902" w:type="dxa"/>
            <w:tcBorders/>
            <w:tcMar>
              <w:top w:w="180" w:type="dxa"/>
              <w:bottom w:w="180" w:type="dxa"/>
              <w:end w:w="0" w:type="dxa"/>
            </w:tcMa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22 de Dezembro</w:t>
            </w:r>
          </w:p>
        </w:tc>
      </w:tr>
    </w:tbl>
    <w:p>
      <w:pPr>
        <w:pStyle w:val="Normal"/>
        <w:bidi w:val="0"/>
        <w:spacing w:lineRule="auto" w:line="360"/>
        <w:jc w:val="both"/>
        <w:rPr/>
      </w:pPr>
      <w:r>
        <w:rPr>
          <w:rFonts w:cs="Calibri" w:ascii="Times New Roman" w:hAnsi="Times New Roman" w:cstheme="minorHAnsi"/>
          <w:sz w:val="24"/>
          <w:szCs w:val="24"/>
          <w:lang w:eastAsia="pt-BR"/>
        </w:rPr>
        <w:t>Estes prazos são essenciais para que a </w:t>
      </w:r>
      <w:hyperlink r:id="rId4" w:tgtFrame="_blank">
        <w:r>
          <w:rPr>
            <w:rFonts w:cs="Calibri" w:ascii="Times New Roman" w:hAnsi="Times New Roman" w:cstheme="minorHAnsi"/>
            <w:sz w:val="24"/>
            <w:szCs w:val="24"/>
            <w:u w:val="single"/>
            <w:lang w:eastAsia="pt-BR"/>
          </w:rPr>
          <w:t>Câmara dos Deputados</w:t>
        </w:r>
      </w:hyperlink>
      <w:r>
        <w:rPr>
          <w:rFonts w:cs="Calibri" w:ascii="Times New Roman" w:hAnsi="Times New Roman" w:cstheme="minorHAnsi"/>
          <w:sz w:val="24"/>
          <w:szCs w:val="24"/>
          <w:lang w:eastAsia="pt-BR"/>
        </w:rPr>
        <w:t> e o </w:t>
      </w:r>
      <w:hyperlink r:id="rId5" w:tgtFrame="_blank">
        <w:r>
          <w:rPr>
            <w:rFonts w:cs="Calibri" w:ascii="Times New Roman" w:hAnsi="Times New Roman" w:cstheme="minorHAnsi"/>
            <w:sz w:val="24"/>
            <w:szCs w:val="24"/>
            <w:u w:val="single"/>
            <w:lang w:eastAsia="pt-BR"/>
          </w:rPr>
          <w:t>Senado Federal</w:t>
        </w:r>
      </w:hyperlink>
      <w:r>
        <w:rPr>
          <w:rFonts w:cs="Calibri" w:ascii="Times New Roman" w:hAnsi="Times New Roman" w:cstheme="minorHAnsi"/>
          <w:sz w:val="24"/>
          <w:szCs w:val="24"/>
          <w:lang w:eastAsia="pt-BR"/>
        </w:rPr>
        <w:t> possam analisar as metas fiscais e as prioridades de investimento do governo. </w:t>
      </w:r>
    </w:p>
    <w:p>
      <w:pPr>
        <w:pStyle w:val="Normal"/>
        <w:bidi w:val="0"/>
        <w:spacing w:lineRule="auto" w:line="360"/>
        <w:jc w:val="center"/>
        <w:rPr>
          <w:rFonts w:ascii="Times New Roman" w:hAnsi="Times New Roman"/>
          <w:sz w:val="24"/>
          <w:szCs w:val="24"/>
        </w:rPr>
      </w:pPr>
      <w:r>
        <w:rPr>
          <w:rFonts w:ascii="Times New Roman" w:hAnsi="Times New Roman"/>
          <w:sz w:val="24"/>
          <w:szCs w:val="24"/>
        </w:rPr>
        <w:drawing>
          <wp:inline distT="0" distB="0" distL="0" distR="0">
            <wp:extent cx="4879975" cy="3119755"/>
            <wp:effectExtent l="0" t="0" r="0" b="0"/>
            <wp:docPr id="3" name="Imagem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 title=""/>
                    <pic:cNvPicPr>
                      <a:picLocks noChangeAspect="1" noChangeArrowheads="1"/>
                    </pic:cNvPicPr>
                  </pic:nvPicPr>
                  <pic:blipFill>
                    <a:blip r:embed="rId6"/>
                    <a:srcRect l="9659" t="3775" r="9225" b="3976"/>
                    <a:stretch>
                      <a:fillRect/>
                    </a:stretch>
                  </pic:blipFill>
                  <pic:spPr bwMode="auto">
                    <a:xfrm>
                      <a:off x="0" y="0"/>
                      <a:ext cx="4879975" cy="3119755"/>
                    </a:xfrm>
                    <a:prstGeom prst="rect">
                      <a:avLst/>
                    </a:prstGeom>
                  </pic:spPr>
                </pic:pic>
              </a:graphicData>
            </a:graphic>
          </wp:inline>
        </w:drawing>
      </w:r>
      <w:r>
        <w:br w:type="page"/>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ELABORAÇÃO DA LOA – ETAPA 1</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O PLOA para o exercício seguinte deve ser enviado pelo Presidente da República ao Congresso Nacional até 31 de agosto de cada ano Vale ressaltar que cada ente (Estados, DF, Municíios) tem seu prazo, podendo divergir do prazo da Uniao.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 orçamento é visto como instrumento de viabilização do planejamento do Governo, voltado para resultados. Tem ênfase na análise da finalidade do gasto da Administração Pública, transformando o orçamento em instrumento efetivo de programação, de modo a possibilitar a implantação da avaliação das ações. O ciclo orçamentário é desenvolvido como processo contínuo de análise e decisão ao longo de todo o exercício do cliclo.</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É importante ressaltar que</w:t>
      </w:r>
      <w:r>
        <w:rPr>
          <w:rFonts w:cs="Calibri" w:ascii="Times New Roman" w:hAnsi="Times New Roman" w:cstheme="minorHAnsi"/>
          <w:b/>
          <w:bCs/>
          <w:sz w:val="24"/>
          <w:szCs w:val="24"/>
          <w:lang w:eastAsia="pt-BR"/>
        </w:rPr>
        <w:t xml:space="preserve"> </w:t>
      </w:r>
      <w:r>
        <w:rPr>
          <w:rFonts w:cs="Calibri" w:ascii="Times New Roman" w:hAnsi="Times New Roman" w:cstheme="minorHAnsi"/>
          <w:sz w:val="24"/>
          <w:szCs w:val="24"/>
          <w:lang w:eastAsia="pt-BR"/>
        </w:rPr>
        <w:t xml:space="preserve">o processo de elaboração da proposta orçamentária para os Poderes Legislativo e Judiciário, assim como para o Ministério Público da União (MPU) e Defensoria Pública da União (DPU) apresenta as seguintes peculiaridades: </w:t>
      </w:r>
    </w:p>
    <w:p>
      <w:pPr>
        <w:pStyle w:val="Normal"/>
        <w:bidi w:val="0"/>
        <w:spacing w:lineRule="auto" w:line="360"/>
        <w:jc w:val="both"/>
        <w:rPr>
          <w:rFonts w:ascii="Times New Roman" w:hAnsi="Times New Roman"/>
          <w:sz w:val="24"/>
          <w:szCs w:val="24"/>
        </w:rPr>
      </w:pPr>
      <w:r>
        <w:rPr>
          <w:rFonts w:cs="Segoe UI Symbol" w:ascii="Times New Roman" w:hAnsi="Times New Roman"/>
          <w:sz w:val="24"/>
          <w:szCs w:val="24"/>
          <w:lang w:eastAsia="pt-BR"/>
        </w:rPr>
        <w:t xml:space="preserve">- </w:t>
      </w:r>
      <w:r>
        <w:rPr>
          <w:rFonts w:cs="Calibri" w:ascii="Times New Roman" w:hAnsi="Times New Roman" w:cstheme="minorHAnsi"/>
          <w:sz w:val="24"/>
          <w:szCs w:val="24"/>
          <w:lang w:eastAsia="pt-BR"/>
        </w:rPr>
        <w:t>Geralmente deve ser entregue à SOF até meados de agosto de cada ano, visando prazo hábil à anexação do Poder Executivo;</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Poder Judiciário deverá encaminhar à Comissao Mista de Orçamento (CMO) </w:t>
      </w:r>
      <w:r>
        <w:rPr>
          <w:rFonts w:cs="Calibri" w:ascii="Times New Roman" w:hAnsi="Times New Roman" w:cstheme="minorHAnsi"/>
          <w:b/>
          <w:bCs/>
          <w:sz w:val="24"/>
          <w:szCs w:val="24"/>
          <w:u w:val="single"/>
          <w:lang w:eastAsia="pt-BR"/>
        </w:rPr>
        <w:t>parecer de mérito</w:t>
      </w:r>
      <w:r>
        <w:rPr>
          <w:rFonts w:cs="Calibri" w:ascii="Times New Roman" w:hAnsi="Times New Roman" w:cstheme="minorHAnsi"/>
          <w:sz w:val="24"/>
          <w:szCs w:val="24"/>
          <w:lang w:eastAsia="pt-BR"/>
        </w:rPr>
        <w:t xml:space="preserve"> de suas propostas orçamentárias elaborado pelo Conselho Nacional de Justiça(CNJ), conforme estabelece a LDO;</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O Ministerio Publico da Uniao segue o mesmo tramite e cuja elaboração se dará pelo Conselho Nacional do Ministério Publico (CNMP)  </w:t>
      </w:r>
    </w:p>
    <w:p>
      <w:pPr>
        <w:pStyle w:val="Normal"/>
        <w:bidi w:val="0"/>
        <w:spacing w:lineRule="auto" w:line="360"/>
        <w:jc w:val="both"/>
        <w:rPr>
          <w:rFonts w:ascii="Times New Roman" w:hAnsi="Times New Roman"/>
          <w:sz w:val="24"/>
          <w:szCs w:val="24"/>
        </w:rPr>
      </w:pPr>
      <w:r>
        <w:rPr>
          <w:rFonts w:cs="Segoe UI Symbol" w:ascii="Times New Roman" w:hAnsi="Times New Roman"/>
          <w:sz w:val="24"/>
          <w:szCs w:val="24"/>
          <w:lang w:eastAsia="pt-BR"/>
        </w:rPr>
        <w:t xml:space="preserve">- </w:t>
      </w:r>
      <w:r>
        <w:rPr>
          <w:rFonts w:cs="Calibri" w:ascii="Times New Roman" w:hAnsi="Times New Roman" w:cstheme="minorHAnsi"/>
          <w:sz w:val="24"/>
          <w:szCs w:val="24"/>
          <w:lang w:eastAsia="pt-BR"/>
        </w:rPr>
        <w:t xml:space="preserve">Atenção aos </w:t>
      </w:r>
      <w:r>
        <w:rPr>
          <w:rFonts w:cs="Calibri" w:ascii="Times New Roman" w:hAnsi="Times New Roman" w:cstheme="minorHAnsi"/>
          <w:b/>
          <w:bCs/>
          <w:color w:val="FF0000"/>
          <w:sz w:val="24"/>
          <w:szCs w:val="24"/>
          <w:lang w:eastAsia="pt-BR"/>
        </w:rPr>
        <w:t>limites orçamentários para a despesa primária</w:t>
      </w:r>
      <w:r>
        <w:rPr>
          <w:rFonts w:cs="Calibri" w:ascii="Times New Roman" w:hAnsi="Times New Roman" w:cstheme="minorHAnsi"/>
          <w:color w:val="FF0000"/>
          <w:sz w:val="24"/>
          <w:szCs w:val="24"/>
          <w:lang w:eastAsia="pt-BR"/>
        </w:rPr>
        <w:t xml:space="preserve"> </w:t>
      </w:r>
      <w:r>
        <w:rPr>
          <w:rFonts w:cs="Calibri" w:ascii="Times New Roman" w:hAnsi="Times New Roman" w:cstheme="minorHAnsi"/>
          <w:sz w:val="24"/>
          <w:szCs w:val="24"/>
          <w:lang w:eastAsia="pt-BR"/>
        </w:rPr>
        <w:t xml:space="preserve">para a elaboração de suas respectivas propostas orçamentárias.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Avaliação da execução orçamentária com o objetivo de subsidiar a elaboração da proposta orçamentária, com base em relatórios gerenciais, conferindo racionalidade ao processo;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Atualização das projeções de receita e de execução das despesas e de elaboração da proposta orçamentária, com o intuito de se atingir as metas fiscais fixadas na LDO;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 elaboração do projeto e execução da LOA, realizadas de modo a evidenciar a transparência da gestão fiscal, permite o amplo acesso da sociedade.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FF0000"/>
          <w:sz w:val="24"/>
          <w:szCs w:val="24"/>
        </w:rPr>
        <w:t xml:space="preserve">É indispensável levar em consideração os resultados de avaliações e monitoramento de políticas públicas e programas de governo.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O </w:t>
      </w:r>
      <w:r>
        <w:rPr>
          <w:rFonts w:cs="Calibri" w:ascii="Times New Roman" w:hAnsi="Times New Roman" w:cstheme="minorHAnsi"/>
          <w:b/>
          <w:bCs/>
          <w:sz w:val="24"/>
          <w:szCs w:val="24"/>
        </w:rPr>
        <w:t>§16, do art. 37 da CF/88</w:t>
      </w:r>
      <w:r>
        <w:rPr>
          <w:rFonts w:cs="Calibri" w:ascii="Times New Roman" w:hAnsi="Times New Roman" w:cstheme="minorHAnsi"/>
          <w:sz w:val="24"/>
          <w:szCs w:val="24"/>
        </w:rPr>
        <w:t xml:space="preserve">, dispõe que os órgãos e entidades da administração pública devem realizar avaliação das políticas públicas, devendo as leis orçamentárias observar, no que couber, os resultados desse monitoramento e da avaliação das políticas públicas, em observância ao referido dispositivo constitucional.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A LDO reforça o texto constitucional quando determina que as informações sobre a execução física das ações orçamentárias e os resultados de avaliações e do monitoramento de políticas públicas e programas de governo devem ser considerados como diretrizes na alocação de recursos na LOA.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Os resultados das avaliações devem ser considerados na elaboração da proposta orçamentária pelas Unidades e Órgãos, buscando o aperfeiçoamento das ações de governo, com o intuito de retroalimentar o orçamento com as correções ou melhorias identificadas.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rPr>
        <w:t>→</w:t>
      </w:r>
      <w:r>
        <w:rPr>
          <w:rFonts w:cs="Calibri" w:ascii="Times New Roman" w:hAnsi="Times New Roman" w:cstheme="minorHAnsi"/>
          <w:b/>
          <w:bCs/>
          <w:sz w:val="24"/>
          <w:szCs w:val="24"/>
        </w:rPr>
        <w:t xml:space="preserve">Conselho de Monitoramento e Avaliação de Políticas Públicas – CMAP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Outrossim, a CF/1988 reforça que se os órgãos dos demais poderes não encaminharem as respectivas propostas orçamentárias dentro do prazo estabelecido na lei de diretrizes orçamentárias, o Poder Executivo considerará, para fins de consolidação da proposta orçamentária anual, os valores aprovados na lei orçamentária vigente, ajustados de acordo com os limites estipulados.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i/>
          <w:iCs/>
          <w:sz w:val="24"/>
          <w:szCs w:val="24"/>
        </w:rPr>
        <w:t xml:space="preserve">Lei 4.320/64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i/>
          <w:iCs/>
          <w:sz w:val="24"/>
          <w:szCs w:val="24"/>
        </w:rPr>
        <w:t xml:space="preserve">Art. 32. Se não receber a proposta orçamentária no prazo fixado nas Constituições ou nas Leis Orgânicas dos Municípios, o Poder Legislativo considerará como proposta a Lei de Orçamento vigente. </w:t>
      </w:r>
    </w:p>
    <w:p>
      <w:pPr>
        <w:pStyle w:val="Normal"/>
        <w:bidi w:val="0"/>
        <w:spacing w:lineRule="auto" w:line="360"/>
        <w:jc w:val="both"/>
        <w:rPr>
          <w:rFonts w:cs="Calibri" w:cstheme="minorHAnsi"/>
          <w:b/>
          <w:b/>
          <w:bCs/>
          <w:lang w:eastAsia="pt-BR"/>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APROVAÇÃO, DISCUSSÃO E VOTAÇÃO – ETAPA 2</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0070C0"/>
          <w:sz w:val="24"/>
          <w:szCs w:val="24"/>
          <w:lang w:eastAsia="pt-BR"/>
        </w:rPr>
        <w:t>O Congresso Nacional</w:t>
      </w:r>
      <w:r>
        <w:rPr>
          <w:rFonts w:cs="Calibri" w:ascii="Times New Roman" w:hAnsi="Times New Roman" w:cstheme="minorHAnsi"/>
          <w:color w:val="0070C0"/>
          <w:sz w:val="24"/>
          <w:szCs w:val="24"/>
          <w:lang w:eastAsia="pt-BR"/>
        </w:rPr>
        <w:t xml:space="preserve"> </w:t>
      </w:r>
      <w:r>
        <w:rPr>
          <w:rFonts w:cs="Calibri" w:ascii="Times New Roman" w:hAnsi="Times New Roman" w:cstheme="minorHAnsi"/>
          <w:sz w:val="24"/>
          <w:szCs w:val="24"/>
          <w:lang w:eastAsia="pt-BR"/>
        </w:rPr>
        <w:t xml:space="preserve">tem como responsabilidades, entre outras, deliberar sobre as leis orçamentárias e </w:t>
      </w:r>
      <w:r>
        <w:rPr>
          <w:rFonts w:cs="Calibri" w:ascii="Times New Roman" w:hAnsi="Times New Roman" w:cstheme="minorHAnsi"/>
          <w:b/>
          <w:bCs/>
          <w:sz w:val="24"/>
          <w:szCs w:val="24"/>
          <w:lang w:eastAsia="pt-BR"/>
        </w:rPr>
        <w:t xml:space="preserve">proceder à fiscalização contábil, financeira, orçamentária, operacional e patrimonial </w:t>
      </w:r>
      <w:r>
        <w:rPr>
          <w:rFonts w:cs="Calibri" w:ascii="Times New Roman" w:hAnsi="Times New Roman" w:cstheme="minorHAnsi"/>
          <w:sz w:val="24"/>
          <w:szCs w:val="24"/>
          <w:lang w:eastAsia="pt-BR"/>
        </w:rPr>
        <w:t xml:space="preserve">da União e das entidades da Administração direta e indireta.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As leis orçamentárias</w:t>
      </w:r>
      <w:r>
        <w:rPr>
          <w:rFonts w:cs="Calibri" w:ascii="Times New Roman" w:hAnsi="Times New Roman" w:cstheme="minorHAnsi"/>
          <w:sz w:val="24"/>
          <w:szCs w:val="24"/>
          <w:lang w:eastAsia="pt-BR"/>
        </w:rPr>
        <w:t xml:space="preserve"> inicialmente são enviadas como projeto pela Presidência da República ao Congresso Nacional, ao qual cabe discutir, votar, alterar e, se for o caso, aprovar o texto normativo para posterior vigência como lei após concordância do Chefe do Executivo.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O projeto orçamentário ao ser recebido pelo Poder Legislativo é autuado, numerado e publicado em avulsos eletrônicos, recebendo um calendário de tramitação nos termos regimentais, que traz prazos informativos de emendas, publicação de relatórios e de emissão de pareceres. Em seguida, é encaminhado para a Comissão Mista de Planos, Orçamentos Públicos e Fiscalização – CMO para emissão de parecer antes de seguir à Mesa do Congresso.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Os projetos orçamentários devem ser apreciados pelo Congresso em sessão conjunta, onde senadores e deputados se reúnem em um só local para discutir e votar a matéria em questão. Com a aprovação, são enviados ao Presidente da República para </w:t>
      </w:r>
      <w:r>
        <w:rPr>
          <w:rFonts w:cs="Calibri" w:ascii="Times New Roman" w:hAnsi="Times New Roman" w:cstheme="minorHAnsi"/>
          <w:b/>
          <w:bCs/>
          <w:color w:val="00B050"/>
          <w:sz w:val="24"/>
          <w:szCs w:val="24"/>
        </w:rPr>
        <w:t>sanção (concordância)</w:t>
      </w:r>
      <w:r>
        <w:rPr>
          <w:rFonts w:cs="Calibri" w:ascii="Times New Roman" w:hAnsi="Times New Roman" w:cstheme="minorHAnsi"/>
          <w:color w:val="00B050"/>
          <w:sz w:val="24"/>
          <w:szCs w:val="24"/>
        </w:rPr>
        <w:t xml:space="preserve"> </w:t>
      </w:r>
      <w:r>
        <w:rPr>
          <w:rFonts w:cs="Calibri" w:ascii="Times New Roman" w:hAnsi="Times New Roman" w:cstheme="minorHAnsi"/>
          <w:sz w:val="24"/>
          <w:szCs w:val="24"/>
        </w:rPr>
        <w:t xml:space="preserve">ou </w:t>
      </w:r>
      <w:r>
        <w:rPr>
          <w:rFonts w:cs="Calibri" w:ascii="Times New Roman" w:hAnsi="Times New Roman" w:cstheme="minorHAnsi"/>
          <w:b/>
          <w:bCs/>
          <w:color w:val="FF0000"/>
          <w:sz w:val="24"/>
          <w:szCs w:val="24"/>
        </w:rPr>
        <w:t>veto (discordância),</w:t>
      </w:r>
      <w:r>
        <w:rPr>
          <w:rFonts w:cs="Calibri" w:ascii="Times New Roman" w:hAnsi="Times New Roman" w:cstheme="minorHAnsi"/>
          <w:color w:val="FF0000"/>
          <w:sz w:val="24"/>
          <w:szCs w:val="24"/>
        </w:rPr>
        <w:t xml:space="preserve"> </w:t>
      </w:r>
      <w:r>
        <w:rPr>
          <w:rFonts w:cs="Calibri" w:ascii="Times New Roman" w:hAnsi="Times New Roman" w:cstheme="minorHAnsi"/>
          <w:b/>
          <w:bCs/>
          <w:color w:val="FF0000"/>
          <w:sz w:val="24"/>
          <w:szCs w:val="24"/>
        </w:rPr>
        <w:t>parcial ou total</w:t>
      </w:r>
      <w:r>
        <w:rPr>
          <w:rFonts w:cs="Calibri" w:ascii="Times New Roman" w:hAnsi="Times New Roman" w:cstheme="minorHAnsi"/>
          <w:sz w:val="24"/>
          <w:szCs w:val="24"/>
        </w:rPr>
        <w:t xml:space="preserve">. Aceitando o texto encaminhado, o Presidente da República sanciona, promulga e publica, transformando-o em lei.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CF/1988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Art. 166. Os projetos de lei relativos ao plano plurianual, às diretrizes orçamentárias, ao orçamento anual e aos créditos adicionais serão apreciados pelas duas Casas do Congresso Nacional, na forma do regimento comum. Ainda conforme a CF/1988, caberá à Comissão mista permanente de Senadores e Deputados: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I – </w:t>
      </w:r>
      <w:r>
        <w:rPr>
          <w:rFonts w:cs="Calibri" w:ascii="Times New Roman" w:hAnsi="Times New Roman" w:cstheme="minorHAnsi"/>
          <w:b/>
          <w:bCs/>
          <w:i/>
          <w:iCs/>
          <w:sz w:val="24"/>
          <w:szCs w:val="24"/>
          <w:u w:val="single"/>
        </w:rPr>
        <w:t>examinar e emitir parecer</w:t>
      </w:r>
      <w:r>
        <w:rPr>
          <w:rFonts w:cs="Calibri" w:ascii="Times New Roman" w:hAnsi="Times New Roman" w:cstheme="minorHAnsi"/>
          <w:i/>
          <w:iCs/>
          <w:sz w:val="24"/>
          <w:szCs w:val="24"/>
        </w:rPr>
        <w:t xml:space="preserve"> sobre os </w:t>
      </w:r>
      <w:r>
        <w:rPr>
          <w:rFonts w:cs="Calibri" w:ascii="Times New Roman" w:hAnsi="Times New Roman" w:cstheme="minorHAnsi"/>
          <w:b/>
          <w:bCs/>
          <w:i/>
          <w:iCs/>
          <w:sz w:val="24"/>
          <w:szCs w:val="24"/>
        </w:rPr>
        <w:t>projetos relativos ao PPA, LDO, LOA, créditos adicionais</w:t>
      </w:r>
      <w:r>
        <w:rPr>
          <w:rFonts w:cs="Calibri" w:ascii="Times New Roman" w:hAnsi="Times New Roman" w:cstheme="minorHAnsi"/>
          <w:i/>
          <w:iCs/>
          <w:sz w:val="24"/>
          <w:szCs w:val="24"/>
        </w:rPr>
        <w:t xml:space="preserve"> e sobre as </w:t>
      </w:r>
      <w:r>
        <w:rPr>
          <w:rFonts w:cs="Calibri" w:ascii="Times New Roman" w:hAnsi="Times New Roman" w:cstheme="minorHAnsi"/>
          <w:b/>
          <w:bCs/>
          <w:i/>
          <w:iCs/>
          <w:sz w:val="24"/>
          <w:szCs w:val="24"/>
        </w:rPr>
        <w:t xml:space="preserve">contas apresentadas anualmente pelo Presidente da República;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II – </w:t>
      </w:r>
      <w:r>
        <w:rPr>
          <w:rFonts w:cs="Calibri" w:ascii="Times New Roman" w:hAnsi="Times New Roman" w:cstheme="minorHAnsi"/>
          <w:b/>
          <w:bCs/>
          <w:i/>
          <w:iCs/>
          <w:sz w:val="24"/>
          <w:szCs w:val="24"/>
          <w:u w:val="single"/>
        </w:rPr>
        <w:t>examinar e emitir parecer</w:t>
      </w:r>
      <w:r>
        <w:rPr>
          <w:rFonts w:cs="Calibri" w:ascii="Times New Roman" w:hAnsi="Times New Roman" w:cstheme="minorHAnsi"/>
          <w:i/>
          <w:iCs/>
          <w:sz w:val="24"/>
          <w:szCs w:val="24"/>
        </w:rPr>
        <w:t xml:space="preserve"> sobre </w:t>
      </w:r>
      <w:r>
        <w:rPr>
          <w:rFonts w:cs="Calibri" w:ascii="Times New Roman" w:hAnsi="Times New Roman" w:cstheme="minorHAnsi"/>
          <w:b/>
          <w:bCs/>
          <w:i/>
          <w:iCs/>
          <w:sz w:val="24"/>
          <w:szCs w:val="24"/>
        </w:rPr>
        <w:t>os planos e programas nacionais, regionais e</w:t>
      </w:r>
      <w:r>
        <w:rPr>
          <w:rFonts w:cs="Calibri" w:ascii="Times New Roman" w:hAnsi="Times New Roman" w:cstheme="minorHAnsi"/>
          <w:i/>
          <w:iCs/>
          <w:sz w:val="24"/>
          <w:szCs w:val="24"/>
        </w:rPr>
        <w:t xml:space="preserve"> setoriais previstos nesta Constituição e exercer o acompanhamento e a fiscalização orçamentária, sem prejuízo da atuação das demais comissões do Congresso Nacional e de suas Casas criadas de acordo com a CF/1988.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Seguindo os preceitos da Carta Magna</w:t>
      </w:r>
      <w:r>
        <w:rPr>
          <w:rFonts w:cs="Calibri" w:ascii="Times New Roman" w:hAnsi="Times New Roman" w:cstheme="minorHAnsi"/>
          <w:b/>
          <w:bCs/>
          <w:color w:val="0070C0"/>
          <w:sz w:val="24"/>
          <w:szCs w:val="24"/>
          <w:lang w:eastAsia="pt-BR"/>
        </w:rPr>
        <w:t>, as emendas</w:t>
      </w:r>
      <w:r>
        <w:rPr>
          <w:rFonts w:cs="Calibri" w:ascii="Times New Roman" w:hAnsi="Times New Roman" w:cstheme="minorHAnsi"/>
          <w:color w:val="0070C0"/>
          <w:sz w:val="24"/>
          <w:szCs w:val="24"/>
          <w:lang w:eastAsia="pt-BR"/>
        </w:rPr>
        <w:t xml:space="preserve"> </w:t>
      </w:r>
      <w:r>
        <w:rPr>
          <w:rFonts w:cs="Calibri" w:ascii="Times New Roman" w:hAnsi="Times New Roman" w:cstheme="minorHAnsi"/>
          <w:sz w:val="24"/>
          <w:szCs w:val="24"/>
          <w:lang w:eastAsia="pt-BR"/>
        </w:rPr>
        <w:t>ao</w:t>
      </w:r>
      <w:r>
        <w:rPr>
          <w:rFonts w:cs="Calibri" w:ascii="Times New Roman" w:hAnsi="Times New Roman" w:cstheme="minorHAnsi"/>
          <w:b/>
          <w:bCs/>
          <w:color w:val="0070C0"/>
          <w:sz w:val="24"/>
          <w:szCs w:val="24"/>
          <w:lang w:eastAsia="pt-BR"/>
        </w:rPr>
        <w:t xml:space="preserve"> projeto de lei de diretrizes orçamentárias (PLDO) </w:t>
      </w:r>
      <w:r>
        <w:rPr>
          <w:rFonts w:cs="Calibri" w:ascii="Times New Roman" w:hAnsi="Times New Roman" w:cstheme="minorHAnsi"/>
          <w:b/>
          <w:bCs/>
          <w:color w:val="FF0000"/>
          <w:sz w:val="24"/>
          <w:szCs w:val="24"/>
          <w:lang w:eastAsia="pt-BR"/>
        </w:rPr>
        <w:t xml:space="preserve">NÃO poderão ser aprovadas quando incompatíveis com o PPA; </w:t>
      </w:r>
      <w:r>
        <w:rPr>
          <w:rFonts w:cs="Calibri" w:ascii="Times New Roman" w:hAnsi="Times New Roman" w:cstheme="minorHAnsi"/>
          <w:b/>
          <w:bCs/>
          <w:color w:val="002060"/>
          <w:sz w:val="24"/>
          <w:szCs w:val="24"/>
          <w:lang w:eastAsia="pt-BR"/>
        </w:rPr>
        <w:t>as emendas</w:t>
      </w:r>
      <w:r>
        <w:rPr>
          <w:rFonts w:cs="Calibri" w:ascii="Times New Roman" w:hAnsi="Times New Roman" w:cstheme="minorHAnsi"/>
          <w:color w:val="002060"/>
          <w:sz w:val="24"/>
          <w:szCs w:val="24"/>
          <w:lang w:eastAsia="pt-BR"/>
        </w:rPr>
        <w:t xml:space="preserve"> </w:t>
      </w:r>
      <w:r>
        <w:rPr>
          <w:rFonts w:cs="Calibri" w:ascii="Times New Roman" w:hAnsi="Times New Roman" w:cstheme="minorHAnsi"/>
          <w:sz w:val="24"/>
          <w:szCs w:val="24"/>
          <w:lang w:eastAsia="pt-BR"/>
        </w:rPr>
        <w:t xml:space="preserve">ao </w:t>
      </w:r>
      <w:r>
        <w:rPr>
          <w:rFonts w:cs="Calibri" w:ascii="Times New Roman" w:hAnsi="Times New Roman" w:cstheme="minorHAnsi"/>
          <w:b/>
          <w:bCs/>
          <w:color w:val="002060"/>
          <w:sz w:val="24"/>
          <w:szCs w:val="24"/>
          <w:lang w:eastAsia="pt-BR"/>
        </w:rPr>
        <w:t>projeto de lei do orçamento anual (PLOA)</w:t>
      </w:r>
      <w:r>
        <w:rPr>
          <w:rFonts w:cs="Calibri" w:ascii="Times New Roman" w:hAnsi="Times New Roman" w:cstheme="minorHAnsi"/>
          <w:color w:val="002060"/>
          <w:sz w:val="24"/>
          <w:szCs w:val="24"/>
          <w:lang w:eastAsia="pt-BR"/>
        </w:rPr>
        <w:t xml:space="preserve"> </w:t>
      </w:r>
      <w:r>
        <w:rPr>
          <w:rFonts w:cs="Calibri" w:ascii="Times New Roman" w:hAnsi="Times New Roman" w:cstheme="minorHAnsi"/>
          <w:sz w:val="24"/>
          <w:szCs w:val="24"/>
          <w:lang w:eastAsia="pt-BR"/>
        </w:rPr>
        <w:t xml:space="preserve">ou aos projetos que o modifiquem </w:t>
      </w:r>
      <w:r>
        <w:rPr>
          <w:rFonts w:cs="Calibri" w:ascii="Times New Roman" w:hAnsi="Times New Roman" w:cstheme="minorHAnsi"/>
          <w:b/>
          <w:bCs/>
          <w:sz w:val="24"/>
          <w:szCs w:val="24"/>
          <w:lang w:eastAsia="pt-BR"/>
        </w:rPr>
        <w:t>somente podem ser aprovadas caso:</w:t>
      </w:r>
      <w:r>
        <w:rPr>
          <w:rFonts w:cs="Calibri" w:ascii="Times New Roman" w:hAnsi="Times New Roman" w:cstheme="minorHAnsi"/>
          <w:sz w:val="24"/>
          <w:szCs w:val="24"/>
          <w:lang w:eastAsia="pt-BR"/>
        </w:rPr>
        <w:t xml:space="preserve"> </w:t>
      </w:r>
    </w:p>
    <w:tbl>
      <w:tblPr>
        <w:tblW w:w="9726" w:type="dxa"/>
        <w:jc w:val="start"/>
        <w:tblInd w:w="15" w:type="dxa"/>
        <w:tblCellMar>
          <w:top w:w="15" w:type="dxa"/>
          <w:start w:w="15" w:type="dxa"/>
          <w:bottom w:w="15" w:type="dxa"/>
          <w:end w:w="15" w:type="dxa"/>
        </w:tblCellMar>
        <w:tblLook w:val="04a0" w:noHBand="0" w:noVBand="1" w:firstColumn="1" w:lastRow="0" w:lastColumn="0" w:firstRow="1"/>
      </w:tblPr>
      <w:tblGrid>
        <w:gridCol w:w="5747"/>
        <w:gridCol w:w="3978"/>
      </w:tblGrid>
      <w:tr>
        <w:trPr/>
        <w:tc>
          <w:tcPr>
            <w:tcW w:w="9725" w:type="dxa"/>
            <w:gridSpan w:val="2"/>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xml:space="preserve">sejam compatíveis com o plano plurianual e com a lei de diretrizes orçamentárias </w:t>
            </w:r>
          </w:p>
        </w:tc>
      </w:tr>
      <w:tr>
        <w:trPr/>
        <w:tc>
          <w:tcPr>
            <w:tcW w:w="5747" w:type="dxa"/>
            <w:vMerge w:val="restart"/>
            <w:tcBorders>
              <w:top w:val="single" w:sz="8" w:space="0" w:color="000000"/>
              <w:start w:val="single" w:sz="8" w:space="0" w:color="000000"/>
              <w:bottom w:val="single" w:sz="8" w:space="0" w:color="000000"/>
              <w:end w:val="single" w:sz="8" w:space="0" w:color="000000"/>
            </w:tcBorders>
            <w:shd w:color="auto" w:fill="EFDBD8"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xml:space="preserve">indiquem os recursos necessários, admitidos apenas os provenientes de anulação de despesa, excluídas as que incidam sobre </w:t>
            </w:r>
          </w:p>
        </w:tc>
        <w:tc>
          <w:tcPr>
            <w:tcW w:w="3978"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dotações para pessoal e seus encargos </w:t>
            </w:r>
          </w:p>
        </w:tc>
      </w:tr>
      <w:tr>
        <w:trPr/>
        <w:tc>
          <w:tcPr>
            <w:tcW w:w="5747" w:type="dxa"/>
            <w:vMerge w:val="continue"/>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tc>
        <w:tc>
          <w:tcPr>
            <w:tcW w:w="3978"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serviço da dívida </w:t>
            </w:r>
          </w:p>
        </w:tc>
      </w:tr>
      <w:tr>
        <w:trPr/>
        <w:tc>
          <w:tcPr>
            <w:tcW w:w="5747" w:type="dxa"/>
            <w:vMerge w:val="continue"/>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tc>
        <w:tc>
          <w:tcPr>
            <w:tcW w:w="3978" w:type="dxa"/>
            <w:tcBorders>
              <w:top w:val="single" w:sz="8" w:space="0" w:color="000000"/>
              <w:start w:val="single" w:sz="8" w:space="0" w:color="000000"/>
              <w:bottom w:val="single" w:sz="8" w:space="0" w:color="000000"/>
              <w:end w:val="single" w:sz="8" w:space="0" w:color="000000"/>
            </w:tcBorders>
            <w:shd w:color="auto" w:fill="EFDBD8"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transferências tributárias constitucionais para Estados, Municípios e Distrito Federal </w:t>
            </w:r>
          </w:p>
        </w:tc>
      </w:tr>
      <w:tr>
        <w:trPr/>
        <w:tc>
          <w:tcPr>
            <w:tcW w:w="5747" w:type="dxa"/>
            <w:vMerge w:val="restart"/>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xml:space="preserve">sejam relacionadas </w:t>
            </w:r>
          </w:p>
        </w:tc>
        <w:tc>
          <w:tcPr>
            <w:tcW w:w="3978"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com a correção de erros ou omissões </w:t>
            </w:r>
          </w:p>
        </w:tc>
      </w:tr>
      <w:tr>
        <w:trPr/>
        <w:tc>
          <w:tcPr>
            <w:tcW w:w="5747" w:type="dxa"/>
            <w:vMerge w:val="continue"/>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tc>
        <w:tc>
          <w:tcPr>
            <w:tcW w:w="3978"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com os dispositivos do texto do projeto de lei </w:t>
            </w:r>
          </w:p>
        </w:tc>
      </w:tr>
    </w:tbl>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Além disso, a Lei de responsabilidade fiscal (LRF) traz outra possibilidade: o Poder Legislativo poderia tentar, sem embasamento técnico, reestimar os valores de receitas apresentados pelo Poder Executivo. Para prevenir isso, o § 1o do art. 12 da LRF determina: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LRF Art.12 § 1o Reestimativa de receita por parte do Poder Legislativo só será admitida se comprovado erro ou omissão de ordem técnica ou legal.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A Lei no 4.320/64 traz mais dispositivos em relação às emendas.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Segundo o art. 33 da Lei 4.320/1964, </w:t>
      </w:r>
      <w:r>
        <w:rPr>
          <w:rFonts w:cs="Calibri" w:ascii="Times New Roman" w:hAnsi="Times New Roman" w:cstheme="minorHAnsi"/>
          <w:b/>
          <w:bCs/>
          <w:i/>
          <w:iCs/>
          <w:color w:val="C00000"/>
          <w:sz w:val="24"/>
          <w:szCs w:val="24"/>
          <w:lang w:eastAsia="pt-BR"/>
        </w:rPr>
        <w:t xml:space="preserve">NÃO se admitirão emendas ao projeto de lei de orçamento que visem: </w:t>
      </w:r>
    </w:p>
    <w:tbl>
      <w:tblPr>
        <w:tblW w:w="9726" w:type="dxa"/>
        <w:jc w:val="start"/>
        <w:tblInd w:w="15" w:type="dxa"/>
        <w:tblCellMar>
          <w:top w:w="15" w:type="dxa"/>
          <w:start w:w="15" w:type="dxa"/>
          <w:bottom w:w="15" w:type="dxa"/>
          <w:end w:w="15" w:type="dxa"/>
        </w:tblCellMar>
        <w:tblLook w:val="04a0" w:noHBand="0" w:noVBand="1" w:firstColumn="1" w:lastRow="0" w:lastColumn="0" w:firstRow="1"/>
      </w:tblPr>
      <w:tblGrid>
        <w:gridCol w:w="9726"/>
      </w:tblGrid>
      <w:tr>
        <w:trPr/>
        <w:tc>
          <w:tcPr>
            <w:tcW w:w="9726"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i/>
                <w:iCs/>
                <w:color w:val="C00000"/>
                <w:sz w:val="24"/>
                <w:szCs w:val="24"/>
                <w:lang w:eastAsia="pt-BR"/>
              </w:rPr>
              <w:t xml:space="preserve">Alterar a dotação solicitada para despesa de custeio, salvo quando provada, nesse ponto a inexatidão da proposta </w:t>
            </w:r>
          </w:p>
        </w:tc>
      </w:tr>
      <w:tr>
        <w:trPr/>
        <w:tc>
          <w:tcPr>
            <w:tcW w:w="9726"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i/>
                <w:iCs/>
                <w:color w:val="C00000"/>
                <w:sz w:val="24"/>
                <w:szCs w:val="24"/>
                <w:lang w:eastAsia="pt-BR"/>
              </w:rPr>
              <w:t xml:space="preserve">Conceder dotação para o início de obra cujo projeto não esteja aprovado pelos órgãos competentes </w:t>
            </w:r>
          </w:p>
        </w:tc>
      </w:tr>
      <w:tr>
        <w:trPr/>
        <w:tc>
          <w:tcPr>
            <w:tcW w:w="9726"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i/>
                <w:iCs/>
                <w:color w:val="C00000"/>
                <w:sz w:val="24"/>
                <w:szCs w:val="24"/>
                <w:lang w:eastAsia="pt-BR"/>
              </w:rPr>
              <w:t xml:space="preserve">Conceder dotação para instalação ou funcionamento de serviço que não esteja anteriormente criado </w:t>
            </w:r>
          </w:p>
        </w:tc>
      </w:tr>
      <w:tr>
        <w:trPr/>
        <w:tc>
          <w:tcPr>
            <w:tcW w:w="9726" w:type="dxa"/>
            <w:tcBorders>
              <w:top w:val="single" w:sz="8" w:space="0" w:color="000000"/>
              <w:start w:val="single" w:sz="8" w:space="0" w:color="000000"/>
              <w:bottom w:val="single" w:sz="8" w:space="0" w:color="000000"/>
              <w:end w:val="single" w:sz="8" w:space="0" w:color="000000"/>
            </w:tcBorders>
            <w:shd w:color="auto" w:fill="EFDBD8"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b/>
                <w:bCs/>
                <w:i/>
                <w:iCs/>
                <w:color w:val="C00000"/>
                <w:sz w:val="24"/>
                <w:szCs w:val="24"/>
                <w:lang w:eastAsia="pt-BR"/>
              </w:rPr>
              <w:t xml:space="preserve">Conceder dotação superior aos quantitativos previamente fixados em resolução do Poder Legislativo para concessão de auxílios e subvenções. </w:t>
            </w:r>
          </w:p>
        </w:tc>
      </w:tr>
    </w:tbl>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Funcionamento das emendas parlamentares dentro desses prazos de votação</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As emendas parlamentares são o mecanismo que permitem aos deputados e senadores opinarem diretamente na alocação de recursos públicos. Elas ocorrem principalmente durante a tramitação da </w:t>
      </w:r>
      <w:r>
        <w:rPr>
          <w:rFonts w:cs="Calibri" w:ascii="Times New Roman" w:hAnsi="Times New Roman" w:cstheme="minorHAnsi"/>
          <w:b/>
          <w:bCs/>
          <w:sz w:val="24"/>
          <w:szCs w:val="24"/>
          <w:lang w:eastAsia="pt-BR"/>
        </w:rPr>
        <w:t>LOA</w:t>
      </w:r>
      <w:r>
        <w:rPr>
          <w:rFonts w:cs="Calibri" w:ascii="Times New Roman" w:hAnsi="Times New Roman" w:cstheme="minorHAnsi"/>
          <w:sz w:val="24"/>
          <w:szCs w:val="24"/>
          <w:lang w:eastAsia="pt-BR"/>
        </w:rPr>
        <w:t> (entre setembro e dezembro). Aqui está o funcionamento prático:</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lightGray"/>
          <w:lang w:eastAsia="pt-BR"/>
        </w:rPr>
        <w:t>1. Tipos de Emendas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Individual (Parlamentar):</w:t>
      </w:r>
      <w:r>
        <w:rPr>
          <w:rFonts w:cs="Calibri" w:ascii="Times New Roman" w:hAnsi="Times New Roman" w:cstheme="minorHAnsi"/>
          <w:sz w:val="24"/>
          <w:szCs w:val="24"/>
          <w:lang w:eastAsia="pt-BR"/>
        </w:rPr>
        <w:t> Cada parlamentar tem uma cota fixa de recursos para destinar a obras ou projetos em sua base eleitoral (o "reduto" político).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De Bancada:</w:t>
      </w:r>
      <w:r>
        <w:rPr>
          <w:rFonts w:cs="Calibri" w:ascii="Times New Roman" w:hAnsi="Times New Roman" w:cstheme="minorHAnsi"/>
          <w:sz w:val="24"/>
          <w:szCs w:val="24"/>
          <w:lang w:eastAsia="pt-BR"/>
        </w:rPr>
        <w:t> Elaboradas em conjunto pelos parlamentares de um mesmo estado para grandes obras regionais (ex: um hospital estadual ou uma rodovia).</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De Comissão:</w:t>
      </w:r>
      <w:r>
        <w:rPr>
          <w:rFonts w:cs="Calibri" w:ascii="Times New Roman" w:hAnsi="Times New Roman" w:cstheme="minorHAnsi"/>
          <w:sz w:val="24"/>
          <w:szCs w:val="24"/>
          <w:lang w:eastAsia="pt-BR"/>
        </w:rPr>
        <w:t> Propostas pelas comissões temáticas da Câmara ou do Senado (ex: Comissão de Saúde) para políticas públicas setoriais.</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highlight w:val="lightGray"/>
          <w:lang w:eastAsia="pt-BR"/>
        </w:rPr>
        <w:t>2. O Caráter Impositivo (Obrigatoriedade)</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Atualmente, a maioria das emendas individuais e de bancada é </w:t>
      </w:r>
      <w:r>
        <w:rPr>
          <w:rFonts w:cs="Calibri" w:ascii="Times New Roman" w:hAnsi="Times New Roman" w:cstheme="minorHAnsi"/>
          <w:b/>
          <w:bCs/>
          <w:sz w:val="24"/>
          <w:szCs w:val="24"/>
          <w:lang w:eastAsia="pt-BR"/>
        </w:rPr>
        <w:t>impositiva</w:t>
      </w:r>
      <w:r>
        <w:rPr>
          <w:rFonts w:cs="Calibri" w:ascii="Times New Roman" w:hAnsi="Times New Roman" w:cstheme="minorHAnsi"/>
          <w:sz w:val="24"/>
          <w:szCs w:val="24"/>
          <w:lang w:eastAsia="pt-BR"/>
        </w:rPr>
        <w:t>. Isso significa que, uma vez aprovado e transformado em lei, o Governo Federal é </w:t>
      </w:r>
      <w:r>
        <w:rPr>
          <w:rFonts w:cs="Calibri" w:ascii="Times New Roman" w:hAnsi="Times New Roman" w:cstheme="minorHAnsi"/>
          <w:b/>
          <w:bCs/>
          <w:sz w:val="24"/>
          <w:szCs w:val="24"/>
          <w:lang w:eastAsia="pt-BR"/>
        </w:rPr>
        <w:t>obrigado</w:t>
      </w:r>
      <w:r>
        <w:rPr>
          <w:rFonts w:cs="Calibri" w:ascii="Times New Roman" w:hAnsi="Times New Roman" w:cstheme="minorHAnsi"/>
          <w:sz w:val="24"/>
          <w:szCs w:val="24"/>
          <w:lang w:eastAsia="pt-BR"/>
        </w:rPr>
        <w:t> a pagar esses valores, não podendo simplesmente "engavetar" o gasto por falta de vontade política.</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lightGray"/>
          <w:lang w:eastAsia="pt-BR"/>
        </w:rPr>
        <w:t>3. Regras e Limites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Saúde como Prioridade:</w:t>
      </w:r>
      <w:r>
        <w:rPr>
          <w:rFonts w:cs="Calibri" w:ascii="Times New Roman" w:hAnsi="Times New Roman" w:cstheme="minorHAnsi"/>
          <w:sz w:val="24"/>
          <w:szCs w:val="24"/>
          <w:lang w:eastAsia="pt-BR"/>
        </w:rPr>
        <w:t> No caso das emendas individuais, a Constituição exige que </w:t>
      </w:r>
      <w:r>
        <w:rPr>
          <w:rFonts w:cs="Calibri" w:ascii="Times New Roman" w:hAnsi="Times New Roman" w:cstheme="minorHAnsi"/>
          <w:b/>
          <w:bCs/>
          <w:sz w:val="24"/>
          <w:szCs w:val="24"/>
          <w:lang w:eastAsia="pt-BR"/>
        </w:rPr>
        <w:t>50% do valor</w:t>
      </w:r>
      <w:r>
        <w:rPr>
          <w:rFonts w:cs="Calibri" w:ascii="Times New Roman" w:hAnsi="Times New Roman" w:cstheme="minorHAnsi"/>
          <w:sz w:val="24"/>
          <w:szCs w:val="24"/>
          <w:lang w:eastAsia="pt-BR"/>
        </w:rPr>
        <w:t> seja obrigatoriamente destinado a ações e serviços públicos de saúde.</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Prazos de Apresentação:</w:t>
      </w:r>
      <w:r>
        <w:rPr>
          <w:rFonts w:cs="Calibri" w:ascii="Times New Roman" w:hAnsi="Times New Roman" w:cstheme="minorHAnsi"/>
          <w:sz w:val="24"/>
          <w:szCs w:val="24"/>
          <w:lang w:eastAsia="pt-BR"/>
        </w:rPr>
        <w:t> Logo após o envio da LOA pelo Executivo (31 de agosto), a Comissão Mista de Orçamento (CMO) define um cronograma (geralmente em outubro) para que os parlamentares cadastrem suas emendas no sistema.</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lightGray"/>
          <w:lang w:eastAsia="pt-BR"/>
        </w:rPr>
        <w:t>4. O Fluxo na Prática</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Proposição:</w:t>
      </w:r>
      <w:r>
        <w:rPr>
          <w:rFonts w:cs="Calibri" w:ascii="Times New Roman" w:hAnsi="Times New Roman" w:cstheme="minorHAnsi"/>
          <w:sz w:val="24"/>
          <w:szCs w:val="24"/>
          <w:lang w:eastAsia="pt-BR"/>
        </w:rPr>
        <w:t> O parlamentar indica onde quer gastar o dinheiro.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Análise:</w:t>
      </w:r>
      <w:r>
        <w:rPr>
          <w:rFonts w:cs="Calibri" w:ascii="Times New Roman" w:hAnsi="Times New Roman" w:cstheme="minorHAnsi"/>
          <w:sz w:val="24"/>
          <w:szCs w:val="24"/>
          <w:lang w:eastAsia="pt-BR"/>
        </w:rPr>
        <w:t> O Relator Geral do Orçamento verifica se a emenda é técnica e legalmente viável.</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Votação:</w:t>
      </w:r>
      <w:r>
        <w:rPr>
          <w:rFonts w:cs="Calibri" w:ascii="Times New Roman" w:hAnsi="Times New Roman" w:cstheme="minorHAnsi"/>
          <w:sz w:val="24"/>
          <w:szCs w:val="24"/>
          <w:lang w:eastAsia="pt-BR"/>
        </w:rPr>
        <w:t> As emendas são votadas junto com o texto final da LOA até 22 de dezembro.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Execução:</w:t>
      </w:r>
      <w:r>
        <w:rPr>
          <w:rFonts w:cs="Calibri" w:ascii="Times New Roman" w:hAnsi="Times New Roman" w:cstheme="minorHAnsi"/>
          <w:sz w:val="24"/>
          <w:szCs w:val="24"/>
          <w:lang w:eastAsia="pt-BR"/>
        </w:rPr>
        <w:t> No ano seguinte, o governo libera o recurso (empenha e paga) conforme o projeto avançado.</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Como as </w:t>
      </w:r>
      <w:r>
        <w:rPr>
          <w:rFonts w:cs="Calibri" w:ascii="Times New Roman" w:hAnsi="Times New Roman" w:cstheme="minorHAnsi"/>
          <w:b/>
          <w:bCs/>
          <w:color w:val="FF0000"/>
          <w:sz w:val="24"/>
          <w:szCs w:val="24"/>
          <w:lang w:eastAsia="pt-BR"/>
        </w:rPr>
        <w:t>Emendas de Relator (identificadas pelo código RP9)</w:t>
      </w:r>
      <w:r>
        <w:rPr>
          <w:rFonts w:cs="Calibri" w:ascii="Times New Roman" w:hAnsi="Times New Roman" w:cstheme="minorHAnsi"/>
          <w:sz w:val="24"/>
          <w:szCs w:val="24"/>
          <w:lang w:eastAsia="pt-BR"/>
        </w:rPr>
        <w:t> ficaram conhecidas pelo apelido de "</w:t>
      </w:r>
      <w:r>
        <w:rPr>
          <w:rFonts w:cs="Calibri" w:ascii="Times New Roman" w:hAnsi="Times New Roman" w:cstheme="minorHAnsi"/>
          <w:b/>
          <w:bCs/>
          <w:color w:val="FF0000"/>
          <w:sz w:val="24"/>
          <w:szCs w:val="24"/>
          <w:lang w:eastAsia="pt-BR"/>
        </w:rPr>
        <w:t>Orçamento Secreto</w:t>
      </w:r>
      <w:r>
        <w:rPr>
          <w:rFonts w:cs="Calibri" w:ascii="Times New Roman" w:hAnsi="Times New Roman" w:cstheme="minorHAnsi"/>
          <w:sz w:val="24"/>
          <w:szCs w:val="24"/>
          <w:lang w:eastAsia="pt-BR"/>
        </w:rPr>
        <w:t xml:space="preserve">" devido à baixa transparência que possuíam originalmente. Elas funcionam de forma bem diferente das emendas individuais comuns.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As principais diferenças são: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1. Autoria e Transparência</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Emendas Individuais (RP6):</w:t>
      </w:r>
      <w:r>
        <w:rPr>
          <w:rFonts w:cs="Calibri" w:ascii="Times New Roman" w:hAnsi="Times New Roman" w:cstheme="minorHAnsi"/>
          <w:sz w:val="24"/>
          <w:szCs w:val="24"/>
          <w:lang w:eastAsia="pt-BR"/>
        </w:rPr>
        <w:t> Têm "nome e sobrenome". Cada um dos 513 deputados e 81 senadores tem uma cota idêntica. O sistema indica exatamente qual parlamentar destinou o recurso e para qual cidade.</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FF0000"/>
          <w:sz w:val="24"/>
          <w:szCs w:val="24"/>
          <w:lang w:eastAsia="pt-BR"/>
        </w:rPr>
        <w:t>Emendas de Relator (RP9):</w:t>
      </w:r>
      <w:r>
        <w:rPr>
          <w:rFonts w:cs="Calibri" w:ascii="Times New Roman" w:hAnsi="Times New Roman" w:cstheme="minorHAnsi"/>
          <w:color w:val="FF0000"/>
          <w:sz w:val="24"/>
          <w:szCs w:val="24"/>
          <w:lang w:eastAsia="pt-BR"/>
        </w:rPr>
        <w:t> </w:t>
      </w:r>
      <w:r>
        <w:rPr>
          <w:rFonts w:cs="Calibri" w:ascii="Times New Roman" w:hAnsi="Times New Roman" w:cstheme="minorHAnsi"/>
          <w:sz w:val="24"/>
          <w:szCs w:val="24"/>
          <w:lang w:eastAsia="pt-BR"/>
        </w:rPr>
        <w:t>O autor oficial é o </w:t>
      </w:r>
      <w:r>
        <w:rPr>
          <w:rFonts w:cs="Calibri" w:ascii="Times New Roman" w:hAnsi="Times New Roman" w:cstheme="minorHAnsi"/>
          <w:b/>
          <w:bCs/>
          <w:sz w:val="24"/>
          <w:szCs w:val="24"/>
          <w:lang w:eastAsia="pt-BR"/>
        </w:rPr>
        <w:t>Relator-Geral do Orçamento</w:t>
      </w:r>
      <w:r>
        <w:rPr>
          <w:rFonts w:cs="Calibri" w:ascii="Times New Roman" w:hAnsi="Times New Roman" w:cstheme="minorHAnsi"/>
          <w:sz w:val="24"/>
          <w:szCs w:val="24"/>
          <w:lang w:eastAsia="pt-BR"/>
        </w:rPr>
        <w:t> . Na prática, ele distribuía os recursos com base em acordos políticos com outros parlamentares, mas o nome de quem "pediu" o dinheiro não aparecia no orçamento, dificultando o controle social.</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2. O Caráter Impositivo (Obrigatoriedade)</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Emendas Individuais:</w:t>
      </w:r>
      <w:r>
        <w:rPr>
          <w:rFonts w:cs="Calibri" w:ascii="Times New Roman" w:hAnsi="Times New Roman" w:cstheme="minorHAnsi"/>
          <w:sz w:val="24"/>
          <w:szCs w:val="24"/>
          <w:lang w:eastAsia="pt-BR"/>
        </w:rPr>
        <w:t> São </w:t>
      </w:r>
      <w:r>
        <w:rPr>
          <w:rFonts w:cs="Calibri" w:ascii="Times New Roman" w:hAnsi="Times New Roman" w:cstheme="minorHAnsi"/>
          <w:b/>
          <w:bCs/>
          <w:sz w:val="24"/>
          <w:szCs w:val="24"/>
          <w:lang w:eastAsia="pt-BR"/>
        </w:rPr>
        <w:t>impositivas</w:t>
      </w:r>
      <w:r>
        <w:rPr>
          <w:rFonts w:cs="Calibri" w:ascii="Times New Roman" w:hAnsi="Times New Roman" w:cstheme="minorHAnsi"/>
          <w:sz w:val="24"/>
          <w:szCs w:val="24"/>
          <w:lang w:eastAsia="pt-BR"/>
        </w:rPr>
        <w:t> . O governo é obrigado por lei a pagar (executar) esses valores, independentemente da política de ocultação.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FF0000"/>
          <w:sz w:val="24"/>
          <w:szCs w:val="24"/>
          <w:lang w:eastAsia="pt-BR"/>
        </w:rPr>
        <w:t>Emendas de Relator: Não são impositivas</w:t>
      </w:r>
      <w:r>
        <w:rPr>
          <w:rFonts w:cs="Calibri" w:ascii="Times New Roman" w:hAnsi="Times New Roman" w:cstheme="minorHAnsi"/>
          <w:color w:val="FF0000"/>
          <w:sz w:val="24"/>
          <w:szCs w:val="24"/>
          <w:lang w:eastAsia="pt-BR"/>
        </w:rPr>
        <w:t> </w:t>
      </w:r>
      <w:r>
        <w:rPr>
          <w:rFonts w:cs="Calibri" w:ascii="Times New Roman" w:hAnsi="Times New Roman" w:cstheme="minorHAnsi"/>
          <w:sz w:val="24"/>
          <w:szCs w:val="24"/>
          <w:lang w:eastAsia="pt-BR"/>
        </w:rPr>
        <w:t>. O governo tem o poder de decidir se paga ou não, o que historicamente foi usado como moeda de troca para aprovar projetos de interesse do Executivo no Congresso.</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3. Distribuição dos Valores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Individuais:</w:t>
      </w:r>
      <w:r>
        <w:rPr>
          <w:rFonts w:cs="Calibri" w:ascii="Times New Roman" w:hAnsi="Times New Roman" w:cstheme="minorHAnsi"/>
          <w:sz w:val="24"/>
          <w:szCs w:val="24"/>
          <w:lang w:eastAsia="pt-BR"/>
        </w:rPr>
        <w:t> O valor é dividido de forma </w:t>
      </w:r>
      <w:r>
        <w:rPr>
          <w:rFonts w:cs="Calibri" w:ascii="Times New Roman" w:hAnsi="Times New Roman" w:cstheme="minorHAnsi"/>
          <w:b/>
          <w:bCs/>
          <w:sz w:val="24"/>
          <w:szCs w:val="24"/>
          <w:lang w:eastAsia="pt-BR"/>
        </w:rPr>
        <w:t>igualitária</w:t>
      </w:r>
      <w:r>
        <w:rPr>
          <w:rFonts w:cs="Calibri" w:ascii="Times New Roman" w:hAnsi="Times New Roman" w:cstheme="minorHAnsi"/>
          <w:sz w:val="24"/>
          <w:szCs w:val="24"/>
          <w:lang w:eastAsia="pt-BR"/>
        </w:rPr>
        <w:t> entre todos os parlamentares.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FF0000"/>
          <w:sz w:val="24"/>
          <w:szCs w:val="24"/>
          <w:lang w:eastAsia="pt-BR"/>
        </w:rPr>
        <w:t>Relator:</w:t>
      </w:r>
      <w:r>
        <w:rPr>
          <w:rFonts w:cs="Calibri" w:ascii="Times New Roman" w:hAnsi="Times New Roman" w:cstheme="minorHAnsi"/>
          <w:color w:val="FF0000"/>
          <w:sz w:val="24"/>
          <w:szCs w:val="24"/>
          <w:lang w:eastAsia="pt-BR"/>
        </w:rPr>
        <w:t> </w:t>
      </w:r>
      <w:r>
        <w:rPr>
          <w:rFonts w:cs="Calibri" w:ascii="Times New Roman" w:hAnsi="Times New Roman" w:cstheme="minorHAnsi"/>
          <w:sz w:val="24"/>
          <w:szCs w:val="24"/>
          <w:lang w:eastAsia="pt-BR"/>
        </w:rPr>
        <w:t>Os valores eram distribuídos de forma </w:t>
      </w:r>
      <w:r>
        <w:rPr>
          <w:rFonts w:cs="Calibri" w:ascii="Times New Roman" w:hAnsi="Times New Roman" w:cstheme="minorHAnsi"/>
          <w:b/>
          <w:bCs/>
          <w:sz w:val="24"/>
          <w:szCs w:val="24"/>
          <w:lang w:eastAsia="pt-BR"/>
        </w:rPr>
        <w:t>desigual</w:t>
      </w:r>
      <w:r>
        <w:rPr>
          <w:rFonts w:cs="Calibri" w:ascii="Times New Roman" w:hAnsi="Times New Roman" w:cstheme="minorHAnsi"/>
          <w:sz w:val="24"/>
          <w:szCs w:val="24"/>
          <w:lang w:eastAsia="pt-BR"/>
        </w:rPr>
        <w:t> . Parlamentares aliados ao governo ou à cúpula da Câmara e do Senado costumavam receber fatias muito maiores do que a oposição.</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O Cenário Atual (Decisão do STF)</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No final de 2022, o </w:t>
      </w:r>
      <w:r>
        <w:rPr>
          <w:rFonts w:cs="Calibri" w:ascii="Times New Roman" w:hAnsi="Times New Roman" w:cstheme="minorHAnsi"/>
          <w:b/>
          <w:bCs/>
          <w:sz w:val="24"/>
          <w:szCs w:val="24"/>
          <w:lang w:eastAsia="pt-BR"/>
        </w:rPr>
        <w:t>Supremo Tribunal Federal (STF)</w:t>
      </w:r>
      <w:r>
        <w:rPr>
          <w:rFonts w:cs="Calibri" w:ascii="Times New Roman" w:hAnsi="Times New Roman" w:cstheme="minorHAnsi"/>
          <w:sz w:val="24"/>
          <w:szCs w:val="24"/>
          <w:lang w:eastAsia="pt-BR"/>
        </w:rPr>
        <w:t xml:space="preserve"> considerou o modelo das </w:t>
      </w:r>
      <w:r>
        <w:rPr>
          <w:rFonts w:cs="Calibri" w:ascii="Times New Roman" w:hAnsi="Times New Roman" w:cstheme="minorHAnsi"/>
          <w:b/>
          <w:bCs/>
          <w:color w:val="FF0000"/>
          <w:sz w:val="24"/>
          <w:szCs w:val="24"/>
          <w:lang w:eastAsia="pt-BR"/>
        </w:rPr>
        <w:t>Emendas de Relator (RP9) inconstitucional por falta de transparência.</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O que mudou:</w:t>
      </w:r>
      <w:r>
        <w:rPr>
          <w:rFonts w:cs="Calibri" w:ascii="Times New Roman" w:hAnsi="Times New Roman" w:cstheme="minorHAnsi"/>
          <w:sz w:val="24"/>
          <w:szCs w:val="24"/>
          <w:lang w:eastAsia="pt-BR"/>
        </w:rPr>
        <w:t> O valor que antes era das RP9 foi dividido: metade foi para as </w:t>
      </w:r>
      <w:r>
        <w:rPr>
          <w:rFonts w:cs="Calibri" w:ascii="Times New Roman" w:hAnsi="Times New Roman" w:cstheme="minorHAnsi"/>
          <w:b/>
          <w:bCs/>
          <w:sz w:val="24"/>
          <w:szCs w:val="24"/>
          <w:lang w:eastAsia="pt-BR"/>
        </w:rPr>
        <w:t>emendas individuais</w:t>
      </w:r>
      <w:r>
        <w:rPr>
          <w:rFonts w:cs="Calibri" w:ascii="Times New Roman" w:hAnsi="Times New Roman" w:cstheme="minorHAnsi"/>
          <w:sz w:val="24"/>
          <w:szCs w:val="24"/>
          <w:lang w:eastAsia="pt-BR"/>
        </w:rPr>
        <w:t> (aumentando a cota de cada parlamentar) e a outra metade voltou para a </w:t>
      </w:r>
      <w:r>
        <w:rPr>
          <w:rFonts w:cs="Calibri" w:ascii="Times New Roman" w:hAnsi="Times New Roman" w:cstheme="minorHAnsi"/>
          <w:b/>
          <w:bCs/>
          <w:sz w:val="24"/>
          <w:szCs w:val="24"/>
          <w:lang w:eastAsia="pt-BR"/>
        </w:rPr>
        <w:t>caixa direta do Governo Federal</w:t>
      </w:r>
      <w:r>
        <w:rPr>
          <w:rFonts w:cs="Calibri" w:ascii="Times New Roman" w:hAnsi="Times New Roman" w:cstheme="minorHAnsi"/>
          <w:sz w:val="24"/>
          <w:szCs w:val="24"/>
          <w:lang w:eastAsia="pt-BR"/>
        </w:rPr>
        <w:t> (ministérios) para ser usada em políticas públicas programadas pelo Executivo. Dessa forma, o orçamento ganhou mais transparência, já que agora quase todo o recurso indicado pelos parlamentares precisa ter o nome do autor declarado</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As mudanças recentes, especialmente a migração de recursos das antigas emendas de relator para as emendas individuais, impactaram significativamente a </w:t>
      </w:r>
      <w:r>
        <w:rPr>
          <w:rFonts w:cs="Calibri" w:ascii="Times New Roman" w:hAnsi="Times New Roman" w:cstheme="minorHAnsi"/>
          <w:b/>
          <w:bCs/>
          <w:sz w:val="24"/>
          <w:szCs w:val="24"/>
          <w:lang w:eastAsia="pt-BR"/>
        </w:rPr>
        <w:t>saúde</w:t>
      </w:r>
      <w:r>
        <w:rPr>
          <w:rFonts w:cs="Calibri" w:ascii="Times New Roman" w:hAnsi="Times New Roman" w:cstheme="minorHAnsi"/>
          <w:sz w:val="24"/>
          <w:szCs w:val="24"/>
          <w:lang w:eastAsia="pt-BR"/>
        </w:rPr>
        <w:t> e a </w:t>
      </w:r>
      <w:r>
        <w:rPr>
          <w:rFonts w:cs="Calibri" w:ascii="Times New Roman" w:hAnsi="Times New Roman" w:cstheme="minorHAnsi"/>
          <w:b/>
          <w:bCs/>
          <w:sz w:val="24"/>
          <w:szCs w:val="24"/>
          <w:lang w:eastAsia="pt-BR"/>
        </w:rPr>
        <w:t>educação</w:t>
      </w:r>
      <w:r>
        <w:rPr>
          <w:rFonts w:cs="Calibri" w:ascii="Times New Roman" w:hAnsi="Times New Roman" w:cstheme="minorHAnsi"/>
          <w:sz w:val="24"/>
          <w:szCs w:val="24"/>
          <w:lang w:eastAsia="pt-BR"/>
        </w:rPr>
        <w:t> no orçamento de 2026.</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Os principais reflexos da execução das emendas:</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1. Fortalecimento da Saúde via Emendas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Destino Obrigatório</w:t>
      </w:r>
      <w:r>
        <w:rPr>
          <w:rFonts w:cs="Calibri" w:ascii="Times New Roman" w:hAnsi="Times New Roman" w:cstheme="minorHAnsi"/>
          <w:sz w:val="24"/>
          <w:szCs w:val="24"/>
          <w:lang w:eastAsia="pt-BR"/>
        </w:rPr>
        <w:t>: Pela regra atual, os parlamentares deverão destinar, no mínimo, </w:t>
      </w:r>
      <w:r>
        <w:rPr>
          <w:rFonts w:cs="Calibri" w:ascii="Times New Roman" w:hAnsi="Times New Roman" w:cstheme="minorHAnsi"/>
          <w:b/>
          <w:bCs/>
          <w:sz w:val="24"/>
          <w:szCs w:val="24"/>
          <w:lang w:eastAsia="pt-BR"/>
        </w:rPr>
        <w:t>50% das suas emendas individuais</w:t>
      </w:r>
      <w:r>
        <w:rPr>
          <w:rFonts w:cs="Calibri" w:ascii="Times New Roman" w:hAnsi="Times New Roman" w:cstheme="minorHAnsi"/>
          <w:sz w:val="24"/>
          <w:szCs w:val="24"/>
          <w:lang w:eastAsia="pt-BR"/>
        </w:rPr>
        <w:t> diretamente para a saúde.</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Orçamento 2026</w:t>
      </w:r>
      <w:r>
        <w:rPr>
          <w:rFonts w:cs="Calibri" w:ascii="Times New Roman" w:hAnsi="Times New Roman" w:cstheme="minorHAnsi"/>
          <w:sz w:val="24"/>
          <w:szCs w:val="24"/>
          <w:lang w:eastAsia="pt-BR"/>
        </w:rPr>
        <w:t>: A área da saúde contará com um total de </w:t>
      </w:r>
      <w:r>
        <w:rPr>
          <w:rFonts w:cs="Calibri" w:ascii="Times New Roman" w:hAnsi="Times New Roman" w:cstheme="minorHAnsi"/>
          <w:b/>
          <w:bCs/>
          <w:sz w:val="24"/>
          <w:szCs w:val="24"/>
          <w:lang w:eastAsia="pt-BR"/>
        </w:rPr>
        <w:t>R$ 271,3 bilhões</w:t>
      </w:r>
      <w:r>
        <w:rPr>
          <w:rFonts w:cs="Calibri" w:ascii="Times New Roman" w:hAnsi="Times New Roman" w:cstheme="minorHAnsi"/>
          <w:sz w:val="24"/>
          <w:szCs w:val="24"/>
          <w:lang w:eastAsia="pt-BR"/>
        </w:rPr>
        <w:t>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Execução</w:t>
      </w:r>
      <w:r>
        <w:rPr>
          <w:rFonts w:cs="Calibri" w:ascii="Times New Roman" w:hAnsi="Times New Roman" w:cstheme="minorHAnsi"/>
          <w:sz w:val="24"/>
          <w:szCs w:val="24"/>
          <w:lang w:eastAsia="pt-BR"/>
        </w:rPr>
        <w:t>: O governo previu gastos de cerca de </w:t>
      </w:r>
      <w:r>
        <w:rPr>
          <w:rFonts w:cs="Calibri" w:ascii="Times New Roman" w:hAnsi="Times New Roman" w:cstheme="minorHAnsi"/>
          <w:b/>
          <w:bCs/>
          <w:sz w:val="24"/>
          <w:szCs w:val="24"/>
          <w:lang w:eastAsia="pt-BR"/>
        </w:rPr>
        <w:t>R$ 4 bilhões acima do piso</w:t>
      </w:r>
      <w:r>
        <w:rPr>
          <w:rFonts w:cs="Calibri" w:ascii="Times New Roman" w:hAnsi="Times New Roman" w:cstheme="minorHAnsi"/>
          <w:sz w:val="24"/>
          <w:szCs w:val="24"/>
          <w:lang w:eastAsia="pt-BR"/>
        </w:rPr>
        <w:t> constitucional de 15% da Receita Corrente Líquida (RCL) para 2026.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2. Desafios na Educação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Orçamento 2026</w:t>
      </w:r>
      <w:r>
        <w:rPr>
          <w:rFonts w:cs="Calibri" w:ascii="Times New Roman" w:hAnsi="Times New Roman" w:cstheme="minorHAnsi"/>
          <w:sz w:val="24"/>
          <w:szCs w:val="24"/>
          <w:lang w:eastAsia="pt-BR"/>
        </w:rPr>
        <w:t>: A educação receberá </w:t>
      </w:r>
      <w:r>
        <w:rPr>
          <w:rFonts w:cs="Calibri" w:ascii="Times New Roman" w:hAnsi="Times New Roman" w:cstheme="minorHAnsi"/>
          <w:b/>
          <w:bCs/>
          <w:sz w:val="24"/>
          <w:szCs w:val="24"/>
          <w:lang w:eastAsia="pt-BR"/>
        </w:rPr>
        <w:t>R$ 233,7 bilhões</w:t>
      </w:r>
      <w:r>
        <w:rPr>
          <w:rFonts w:cs="Calibri" w:ascii="Times New Roman" w:hAnsi="Times New Roman" w:cstheme="minorHAnsi"/>
          <w:sz w:val="24"/>
          <w:szCs w:val="24"/>
          <w:lang w:eastAsia="pt-BR"/>
        </w:rPr>
        <w:t> .</w:t>
      </w:r>
    </w:p>
    <w:p>
      <w:pPr>
        <w:pStyle w:val="Normal"/>
        <w:bidi w:val="0"/>
        <w:spacing w:lineRule="auto" w:line="360"/>
        <w:jc w:val="both"/>
        <w:rPr/>
      </w:pPr>
      <w:r>
        <w:rPr>
          <w:rFonts w:cs="Calibri" w:ascii="Times New Roman" w:hAnsi="Times New Roman" w:cstheme="minorHAnsi"/>
          <w:b/>
          <w:bCs/>
          <w:sz w:val="24"/>
          <w:szCs w:val="24"/>
          <w:lang w:eastAsia="pt-BR"/>
        </w:rPr>
        <w:t>Cortes em Ensino Superior</w:t>
      </w:r>
      <w:r>
        <w:rPr>
          <w:rFonts w:cs="Calibri" w:ascii="Times New Roman" w:hAnsi="Times New Roman" w:cstheme="minorHAnsi"/>
          <w:sz w:val="24"/>
          <w:szCs w:val="24"/>
          <w:lang w:eastAsia="pt-BR"/>
        </w:rPr>
        <w:t> : Houve reduções orçamentárias em órgãos de fomento à pesquisa, como a </w:t>
      </w:r>
      <w:hyperlink r:id="rId7" w:tgtFrame="_blank">
        <w:r>
          <w:rPr>
            <w:rFonts w:cs="Calibri" w:ascii="Times New Roman" w:hAnsi="Times New Roman" w:cstheme="minorHAnsi"/>
            <w:sz w:val="24"/>
            <w:szCs w:val="24"/>
            <w:u w:val="single"/>
            <w:lang w:eastAsia="pt-BR"/>
          </w:rPr>
          <w:t>Capes</w:t>
        </w:r>
      </w:hyperlink>
      <w:r>
        <w:rPr>
          <w:rFonts w:cs="Calibri" w:ascii="Times New Roman" w:hAnsi="Times New Roman" w:cstheme="minorHAnsi"/>
          <w:sz w:val="24"/>
          <w:szCs w:val="24"/>
          <w:lang w:eastAsia="pt-BR"/>
        </w:rPr>
        <w:t> (queda de R.92,4 milhões).</w:t>
      </w:r>
    </w:p>
    <w:p>
      <w:pPr>
        <w:pStyle w:val="Normal"/>
        <w:bidi w:val="0"/>
        <w:spacing w:lineRule="auto" w:line="360"/>
        <w:jc w:val="both"/>
        <w:rPr/>
      </w:pPr>
      <w:r>
        <w:rPr>
          <w:rStyle w:val="Strong"/>
          <w:rFonts w:cs="Calibri" w:ascii="Times New Roman" w:hAnsi="Times New Roman" w:cstheme="minorHAnsi"/>
          <w:sz w:val="24"/>
          <w:szCs w:val="24"/>
        </w:rPr>
        <w:t>Impacto nas Emendas</w:t>
      </w:r>
      <w:r>
        <w:rPr>
          <w:rFonts w:cs="Calibri" w:ascii="Times New Roman" w:hAnsi="Times New Roman" w:cstheme="minorHAnsi"/>
          <w:sz w:val="24"/>
          <w:szCs w:val="24"/>
        </w:rPr>
        <w:t>: O Congresso reduziu o volume de emendas destinadas especificamente para a educação em 2026 para priorizar a assistência social em ano eleitoral.</w:t>
      </w:r>
      <w:r>
        <w:rPr>
          <w:rFonts w:cs="Calibri" w:ascii="Times New Roman" w:hAnsi="Times New Roman" w:cstheme="minorHAnsi"/>
          <w:sz w:val="24"/>
          <w:szCs w:val="24"/>
          <w:lang w:eastAsia="pt-BR"/>
        </w:rPr>
        <w:t>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u w:val="single"/>
          <w:lang w:eastAsia="pt-BR"/>
        </w:rPr>
        <w:t>3. Convivência com o Novo Arcabouço Fiscal</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 grande desafio para 2026 é equilibrar os </w:t>
      </w:r>
      <w:r>
        <w:rPr>
          <w:rFonts w:cs="Calibri" w:ascii="Times New Roman" w:hAnsi="Times New Roman" w:cstheme="minorHAnsi"/>
          <w:b/>
          <w:bCs/>
          <w:sz w:val="24"/>
          <w:szCs w:val="24"/>
          <w:lang w:eastAsia="pt-BR"/>
        </w:rPr>
        <w:t>pisos constitucionais</w:t>
      </w:r>
      <w:r>
        <w:rPr>
          <w:rFonts w:cs="Calibri" w:ascii="Times New Roman" w:hAnsi="Times New Roman" w:cstheme="minorHAnsi"/>
          <w:sz w:val="24"/>
          <w:szCs w:val="24"/>
          <w:lang w:eastAsia="pt-BR"/>
        </w:rPr>
        <w:t> (mínimos obrigatórios) de saúde e educação com os limites de gastos do governo.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Pressão Fiscal</w:t>
      </w:r>
      <w:r>
        <w:rPr>
          <w:rFonts w:cs="Calibri" w:ascii="Times New Roman" w:hAnsi="Times New Roman" w:cstheme="minorHAnsi"/>
          <w:sz w:val="24"/>
          <w:szCs w:val="24"/>
          <w:lang w:eastAsia="pt-BR"/>
        </w:rPr>
        <w:t>: Estima-se que a necessidade de financiamento da saúde crescerá mais rápido que o espaço fiscal permitido pelo arcabouço, o que pode forçar o governo a bloquear outras despesas para cumprir os mínimos legais.</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pPr>
      <w:r>
        <w:rPr>
          <w:rFonts w:cs="Calibri" w:ascii="Times New Roman" w:hAnsi="Times New Roman" w:cstheme="minorHAnsi"/>
          <w:b/>
          <w:bCs/>
          <w:sz w:val="24"/>
          <w:szCs w:val="24"/>
          <w:lang w:eastAsia="pt-BR"/>
        </w:rPr>
        <w:t>Calendário Eleitoral</w:t>
      </w:r>
      <w:r>
        <w:rPr>
          <w:rFonts w:cs="Calibri" w:ascii="Times New Roman" w:hAnsi="Times New Roman" w:cstheme="minorHAnsi"/>
          <w:sz w:val="24"/>
          <w:szCs w:val="24"/>
          <w:lang w:eastAsia="pt-BR"/>
        </w:rPr>
        <w:t>: Por ser ano de eleições, a </w:t>
      </w:r>
      <w:hyperlink r:id="rId8" w:tgtFrame="_blank">
        <w:r>
          <w:rPr>
            <w:rFonts w:cs="Calibri" w:ascii="Times New Roman" w:hAnsi="Times New Roman" w:cstheme="minorHAnsi"/>
            <w:sz w:val="24"/>
            <w:szCs w:val="24"/>
            <w:u w:val="single"/>
            <w:lang w:eastAsia="pt-BR"/>
          </w:rPr>
          <w:t>Lei de Diretrizes Orçamentárias (LDO)</w:t>
        </w:r>
      </w:hyperlink>
      <w:r>
        <w:rPr>
          <w:rFonts w:cs="Calibri" w:ascii="Times New Roman" w:hAnsi="Times New Roman" w:cstheme="minorHAnsi"/>
          <w:sz w:val="24"/>
          <w:szCs w:val="24"/>
          <w:lang w:eastAsia="pt-BR"/>
        </w:rPr>
        <w:t> de 2026 distribui que </w:t>
      </w:r>
      <w:r>
        <w:rPr>
          <w:rFonts w:cs="Calibri" w:ascii="Times New Roman" w:hAnsi="Times New Roman" w:cstheme="minorHAnsi"/>
          <w:b/>
          <w:bCs/>
          <w:sz w:val="24"/>
          <w:szCs w:val="24"/>
          <w:lang w:eastAsia="pt-BR"/>
        </w:rPr>
        <w:t>65% das emendas individuais e de bancada</w:t>
      </w:r>
      <w:r>
        <w:rPr>
          <w:rFonts w:cs="Calibri" w:ascii="Times New Roman" w:hAnsi="Times New Roman" w:cstheme="minorHAnsi"/>
          <w:sz w:val="24"/>
          <w:szCs w:val="24"/>
          <w:lang w:eastAsia="pt-BR"/>
        </w:rPr>
        <w:t> devem ser pagas ainda no primeiro semestre (até julho).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 ciclo orçamentário de 2025 e 2026 passou por atualizações profundas, motivadas por um acordo histórico entre o Congresso Nacional e o Supremo Tribunal Federal (STF) para encerrar o "orçamento secreto" e garantir transparência.</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Mudanças na Jurisprudência e Leis (2025-2026)</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 marco principal é a </w:t>
      </w:r>
      <w:r>
        <w:rPr>
          <w:rFonts w:cs="Calibri" w:ascii="Times New Roman" w:hAnsi="Times New Roman" w:cstheme="minorHAnsi"/>
          <w:b/>
          <w:bCs/>
          <w:sz w:val="24"/>
          <w:szCs w:val="24"/>
          <w:lang w:eastAsia="pt-BR"/>
        </w:rPr>
        <w:t>Lei Complementar 210/2024</w:t>
      </w:r>
      <w:r>
        <w:rPr>
          <w:rFonts w:cs="Calibri" w:ascii="Times New Roman" w:hAnsi="Times New Roman" w:cstheme="minorHAnsi"/>
          <w:sz w:val="24"/>
          <w:szCs w:val="24"/>
          <w:lang w:eastAsia="pt-BR"/>
        </w:rPr>
        <w:t>, que entrou em vigor para regulamentar as decisões do STF (ADPF 854) sobre as emendas parlamentares. As principais atualizações são: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Rastreabilidade Obrigatória</w:t>
      </w:r>
      <w:r>
        <w:rPr>
          <w:rFonts w:cs="Calibri" w:ascii="Times New Roman" w:hAnsi="Times New Roman" w:cstheme="minorHAnsi"/>
          <w:sz w:val="24"/>
          <w:szCs w:val="24"/>
          <w:lang w:eastAsia="pt-BR"/>
        </w:rPr>
        <w:t>: Todas as emendas (individuais, de bancada e de comissão) agora exigem a identificação clara do parlamentar solicitante e do objeto do gasto, impedindo o anonimato anterior.</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Fim das "Contas de Passagem"</w:t>
      </w:r>
      <w:r>
        <w:rPr>
          <w:rFonts w:cs="Calibri" w:ascii="Times New Roman" w:hAnsi="Times New Roman" w:cstheme="minorHAnsi"/>
          <w:sz w:val="24"/>
          <w:szCs w:val="24"/>
          <w:lang w:eastAsia="pt-BR"/>
        </w:rPr>
        <w:t>: Para as chamadas "Emendas PIX", foram criadas contas específicas e mecanismos de transparência que permitem aos órgãos de controle (CGU e TCU) monitorar o destino final do dinheiro em estados e municípios.</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Calendário Eleitoral Antecipado (LDO 2026)</w:t>
      </w:r>
      <w:r>
        <w:rPr>
          <w:rFonts w:cs="Calibri" w:ascii="Times New Roman" w:hAnsi="Times New Roman" w:cstheme="minorHAnsi"/>
          <w:sz w:val="24"/>
          <w:szCs w:val="24"/>
          <w:lang w:eastAsia="pt-BR"/>
        </w:rPr>
        <w:t>: A Lei de Diretrizes Orçamentárias de 2026 (Lei 15.321/2025) estabeleceu que </w:t>
      </w:r>
      <w:r>
        <w:rPr>
          <w:rFonts w:cs="Calibri" w:ascii="Times New Roman" w:hAnsi="Times New Roman" w:cstheme="minorHAnsi"/>
          <w:b/>
          <w:bCs/>
          <w:sz w:val="24"/>
          <w:szCs w:val="24"/>
          <w:lang w:eastAsia="pt-BR"/>
        </w:rPr>
        <w:t>65% das emendas impositivas</w:t>
      </w:r>
      <w:r>
        <w:rPr>
          <w:rFonts w:cs="Calibri" w:ascii="Times New Roman" w:hAnsi="Times New Roman" w:cstheme="minorHAnsi"/>
          <w:sz w:val="24"/>
          <w:szCs w:val="24"/>
          <w:lang w:eastAsia="pt-BR"/>
        </w:rPr>
        <w:t> devem ser pagas até julho de 2026, evitando bloqueios durante o período eleitoral.</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Piso da Meta Fiscal</w:t>
      </w:r>
      <w:r>
        <w:rPr>
          <w:rFonts w:cs="Calibri" w:ascii="Times New Roman" w:hAnsi="Times New Roman" w:cstheme="minorHAnsi"/>
          <w:sz w:val="24"/>
          <w:szCs w:val="24"/>
          <w:lang w:eastAsia="pt-BR"/>
        </w:rPr>
        <w:t>: O governo agora pode considerar o </w:t>
      </w:r>
      <w:r>
        <w:rPr>
          <w:rFonts w:cs="Calibri" w:ascii="Times New Roman" w:hAnsi="Times New Roman" w:cstheme="minorHAnsi"/>
          <w:b/>
          <w:bCs/>
          <w:sz w:val="24"/>
          <w:szCs w:val="24"/>
          <w:lang w:eastAsia="pt-BR"/>
        </w:rPr>
        <w:t>limite inferior (piso)</w:t>
      </w:r>
      <w:r>
        <w:rPr>
          <w:rFonts w:cs="Calibri" w:ascii="Times New Roman" w:hAnsi="Times New Roman" w:cstheme="minorHAnsi"/>
          <w:sz w:val="24"/>
          <w:szCs w:val="24"/>
          <w:lang w:eastAsia="pt-BR"/>
        </w:rPr>
        <w:t> da meta de superávit como referência, o que reduz a necessidade de bloqueios (contingenciamentos) imediatos de recursos durante o ano.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Corte em Incentivos</w:t>
      </w:r>
      <w:r>
        <w:rPr>
          <w:rFonts w:cs="Calibri" w:ascii="Times New Roman" w:hAnsi="Times New Roman" w:cstheme="minorHAnsi"/>
          <w:sz w:val="24"/>
          <w:szCs w:val="24"/>
          <w:lang w:eastAsia="pt-BR"/>
        </w:rPr>
        <w:t>: Foi aprovada a redução de </w:t>
      </w:r>
      <w:r>
        <w:rPr>
          <w:rFonts w:cs="Calibri" w:ascii="Times New Roman" w:hAnsi="Times New Roman" w:cstheme="minorHAnsi"/>
          <w:b/>
          <w:bCs/>
          <w:sz w:val="24"/>
          <w:szCs w:val="24"/>
          <w:lang w:eastAsia="pt-BR"/>
        </w:rPr>
        <w:t>10% nos incentivos tributários</w:t>
      </w:r>
      <w:r>
        <w:rPr>
          <w:rFonts w:cs="Calibri" w:ascii="Times New Roman" w:hAnsi="Times New Roman" w:cstheme="minorHAnsi"/>
          <w:sz w:val="24"/>
          <w:szCs w:val="24"/>
          <w:lang w:eastAsia="pt-BR"/>
        </w:rPr>
        <w:t> (5% em 2025 e 5% em 2026) para tentar equilibrar as contas públicas.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lightGray"/>
          <w:lang w:eastAsia="pt-BR"/>
        </w:rPr>
        <w:t>Programas Sociais: Impactos e Remanejamentos</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O orçamento de 2026, sancionado em janeiro, prioriza o desenvolvimento social sob as novas regras fiscais: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Pé-de-Meia</w:t>
      </w:r>
      <w:r>
        <w:rPr>
          <w:rFonts w:cs="Calibri" w:ascii="Times New Roman" w:hAnsi="Times New Roman" w:cstheme="minorHAnsi"/>
          <w:sz w:val="24"/>
          <w:szCs w:val="24"/>
          <w:lang w:eastAsia="pt-BR"/>
        </w:rPr>
        <w:t>: O programa recebeu um aporte de </w:t>
      </w:r>
      <w:r>
        <w:rPr>
          <w:rFonts w:cs="Calibri" w:ascii="Times New Roman" w:hAnsi="Times New Roman" w:cstheme="minorHAnsi"/>
          <w:b/>
          <w:bCs/>
          <w:sz w:val="24"/>
          <w:szCs w:val="24"/>
          <w:lang w:eastAsia="pt-BR"/>
        </w:rPr>
        <w:t>R$ 4,8 bilhões</w:t>
      </w:r>
      <w:r>
        <w:rPr>
          <w:rFonts w:cs="Calibri" w:ascii="Times New Roman" w:hAnsi="Times New Roman" w:cstheme="minorHAnsi"/>
          <w:sz w:val="24"/>
          <w:szCs w:val="24"/>
          <w:lang w:eastAsia="pt-BR"/>
        </w:rPr>
        <w:t> no programa através de critérios de elegibilidade mais rigorosos.</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Bolsa Família</w:t>
      </w:r>
      <w:r>
        <w:rPr>
          <w:rFonts w:cs="Calibri" w:ascii="Times New Roman" w:hAnsi="Times New Roman" w:cstheme="minorHAnsi"/>
          <w:sz w:val="24"/>
          <w:szCs w:val="24"/>
          <w:lang w:eastAsia="pt-BR"/>
        </w:rPr>
        <w:t>: Em 2025, novas regras de proteção foram implementadas para integrar o prontuário eletrônico ao Cadastro Único, visando maior precisão nos pagamentos e evitando fraudes. O foco para 2026 é a manutenção do valor real dos benefícios dentro do teto do Novo Arcabouço Fiscal.</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Ajustes Estruturais</w:t>
      </w:r>
      <w:r>
        <w:rPr>
          <w:rFonts w:cs="Calibri" w:ascii="Times New Roman" w:hAnsi="Times New Roman" w:cstheme="minorHAnsi"/>
          <w:sz w:val="24"/>
          <w:szCs w:val="24"/>
          <w:lang w:eastAsia="pt-BR"/>
        </w:rPr>
        <w:t>: Para acomodar o aumento das emendas e dos pisos de saúde, houve cortes em áreas como </w:t>
      </w:r>
      <w:r>
        <w:rPr>
          <w:rFonts w:cs="Calibri" w:ascii="Times New Roman" w:hAnsi="Times New Roman" w:cstheme="minorHAnsi"/>
          <w:b/>
          <w:bCs/>
          <w:sz w:val="24"/>
          <w:szCs w:val="24"/>
          <w:lang w:eastAsia="pt-BR"/>
        </w:rPr>
        <w:t>Ciência e Tecnologia</w:t>
      </w:r>
      <w:r>
        <w:rPr>
          <w:rFonts w:cs="Calibri" w:ascii="Times New Roman" w:hAnsi="Times New Roman" w:cstheme="minorHAnsi"/>
          <w:sz w:val="24"/>
          <w:szCs w:val="24"/>
          <w:lang w:eastAsia="pt-BR"/>
        </w:rPr>
        <w:t> (redução de verbas da Capes e CNPq) e em gastos administrativos de ministérios.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Acompanhar o </w:t>
      </w:r>
      <w:r>
        <w:rPr>
          <w:rFonts w:cs="Calibri" w:ascii="Times New Roman" w:hAnsi="Times New Roman" w:cstheme="minorHAnsi"/>
          <w:b/>
          <w:bCs/>
          <w:sz w:val="24"/>
          <w:szCs w:val="24"/>
          <w:lang w:eastAsia="pt-BR"/>
        </w:rPr>
        <w:t>Portal da Transparência</w:t>
      </w:r>
      <w:r>
        <w:rPr>
          <w:rFonts w:cs="Calibri" w:ascii="Times New Roman" w:hAnsi="Times New Roman" w:cstheme="minorHAnsi"/>
          <w:sz w:val="24"/>
          <w:szCs w:val="24"/>
          <w:lang w:eastAsia="pt-BR"/>
        </w:rPr>
        <w:t> tornou-se a forma oficial de verificar como o seu parlamentar está aplicando esses recursos sob as novas regras de 2026.</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Por fim, este é panorama completo:</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o ciclo orçamentário hoje é regido pelo </w:t>
      </w:r>
      <w:r>
        <w:rPr>
          <w:rFonts w:cs="Calibri" w:ascii="Times New Roman" w:hAnsi="Times New Roman" w:cstheme="minorHAnsi"/>
          <w:b/>
          <w:bCs/>
          <w:sz w:val="24"/>
          <w:szCs w:val="24"/>
          <w:lang w:eastAsia="pt-BR"/>
        </w:rPr>
        <w:t>Novo Arcabouço Fiscal</w:t>
      </w:r>
      <w:r>
        <w:rPr>
          <w:rFonts w:cs="Calibri" w:ascii="Times New Roman" w:hAnsi="Times New Roman" w:cstheme="minorHAnsi"/>
          <w:sz w:val="24"/>
          <w:szCs w:val="24"/>
          <w:lang w:eastAsia="pt-BR"/>
        </w:rPr>
        <w:t>, com prazos constitucionais rígidos (LDO em abril, PPA/LOA em agosto) e uma nova dinâmica de </w:t>
      </w:r>
      <w:r>
        <w:rPr>
          <w:rFonts w:cs="Calibri" w:ascii="Times New Roman" w:hAnsi="Times New Roman" w:cstheme="minorHAnsi"/>
          <w:b/>
          <w:bCs/>
          <w:sz w:val="24"/>
          <w:szCs w:val="24"/>
          <w:lang w:eastAsia="pt-BR"/>
        </w:rPr>
        <w:t>emendas parlamentares</w:t>
      </w:r>
      <w:r>
        <w:rPr>
          <w:rFonts w:cs="Calibri" w:ascii="Times New Roman" w:hAnsi="Times New Roman" w:cstheme="minorHAnsi"/>
          <w:sz w:val="24"/>
          <w:szCs w:val="24"/>
          <w:lang w:eastAsia="pt-BR"/>
        </w:rPr>
        <w:t> muito mais fiscalizada pelo STF e pelo TCU.</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o equilíbrio entre os </w:t>
      </w:r>
      <w:r>
        <w:rPr>
          <w:rFonts w:cs="Calibri" w:ascii="Times New Roman" w:hAnsi="Times New Roman" w:cstheme="minorHAnsi"/>
          <w:b/>
          <w:bCs/>
          <w:sz w:val="24"/>
          <w:szCs w:val="24"/>
          <w:lang w:eastAsia="pt-BR"/>
        </w:rPr>
        <w:t>pisos obrigatórios</w:t>
      </w:r>
      <w:r>
        <w:rPr>
          <w:rFonts w:cs="Calibri" w:ascii="Times New Roman" w:hAnsi="Times New Roman" w:cstheme="minorHAnsi"/>
          <w:sz w:val="24"/>
          <w:szCs w:val="24"/>
          <w:lang w:eastAsia="pt-BR"/>
        </w:rPr>
        <w:t> (Saúde e Educação) e o cumprimento das </w:t>
      </w:r>
      <w:r>
        <w:rPr>
          <w:rFonts w:cs="Calibri" w:ascii="Times New Roman" w:hAnsi="Times New Roman" w:cstheme="minorHAnsi"/>
          <w:b/>
          <w:bCs/>
          <w:sz w:val="24"/>
          <w:szCs w:val="24"/>
          <w:lang w:eastAsia="pt-BR"/>
        </w:rPr>
        <w:t>metas de superávit</w:t>
      </w:r>
      <w:r>
        <w:rPr>
          <w:rFonts w:cs="Calibri" w:ascii="Times New Roman" w:hAnsi="Times New Roman" w:cstheme="minorHAnsi"/>
          <w:sz w:val="24"/>
          <w:szCs w:val="24"/>
          <w:lang w:eastAsia="pt-BR"/>
        </w:rPr>
        <w:t xml:space="preserve"> será o grande desafio técnico e político dos orçamentos de 2025 e 2026.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xml:space="preserve">EMENDAS AO PPA?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JURISPRUDÊNCIA</w:t>
      </w:r>
      <w:r>
        <w:rPr>
          <w:rFonts w:cs="Calibri" w:ascii="Times New Roman" w:hAnsi="Times New Roman" w:cstheme="minorHAnsi"/>
          <w:color w:val="C00000"/>
          <w:sz w:val="24"/>
          <w:szCs w:val="24"/>
          <w:lang w:eastAsia="pt-BR"/>
        </w:rPr>
        <w:t xml:space="preserve"> </w:t>
      </w:r>
      <w:r>
        <w:rPr>
          <w:rFonts w:cs="Calibri" w:ascii="Times New Roman" w:hAnsi="Times New Roman" w:cstheme="minorHAnsi"/>
          <w:sz w:val="24"/>
          <w:szCs w:val="24"/>
          <w:lang w:eastAsia="pt-BR"/>
        </w:rPr>
        <w:t>No Projeto do PPA do Estado da Paraiba - PB, os Parlamentares inseriram:</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(a) prazo para o Executivo realizar execução financeira e orçamentária de emendas individuais específicas (até maio)</w:t>
        <w:br/>
        <w:t xml:space="preserve">(b) prazo para o Executivo solicitar alterações/ajustes para a execução dessas emendas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STF O Chefe do Poder Executivo possui a iniciativa exclusiva em matéria orçamentária; emendas parlamentares só são válidas se tiverem pertinência com o projeto apresentado e se não interferirem excessivamente na execução orçamentária STF. Plenário. ADI 7.643 MC-Ref/PB, Rel. Min. Alexandre de Moraes, julgado em 18/06/2024 (Info 1140).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 xml:space="preserve">CF/1988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Art. 166 § 9o As emendas individuais ao projeto de lei orçamentária serão aprovadas no limite de 2% (dois por cento) da receita corrente líquida do exercício anterior ao do encaminhamento do projeto, observado que a metade desse percentual será destinada a ações e serviços públicos de saúde.</w:t>
      </w:r>
    </w:p>
    <w:p>
      <w:pPr>
        <w:pStyle w:val="Normal"/>
        <w:bidi w:val="0"/>
        <w:spacing w:lineRule="auto" w:line="360"/>
        <w:jc w:val="both"/>
        <w:rPr>
          <w:rFonts w:ascii="Times New Roman" w:hAnsi="Times New Roman" w:cs="Calibri" w:cstheme="minorHAnsi"/>
          <w:i/>
          <w:i/>
          <w:iCs/>
          <w:sz w:val="24"/>
          <w:szCs w:val="24"/>
          <w:lang w:eastAsia="pt-BR"/>
        </w:rPr>
      </w:pPr>
      <w:r>
        <w:rPr>
          <w:rFonts w:cs="Calibri" w:cstheme="minorHAnsi" w:ascii="Times New Roman" w:hAnsi="Times New Roman"/>
          <w:i/>
          <w:i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 9-A Do limite a que se refere o § 9o deste artigo, 1,55% caberá às emendas de Deputados e 0,45% às de Senadores. (Incluído pela Emenda Constitucional no 126, de 2022) </w:t>
      </w:r>
    </w:p>
    <w:p>
      <w:pPr>
        <w:pStyle w:val="Normal"/>
        <w:bidi w:val="0"/>
        <w:spacing w:lineRule="auto" w:line="360"/>
        <w:jc w:val="both"/>
        <w:rPr>
          <w:rFonts w:ascii="Times New Roman" w:hAnsi="Times New Roman" w:cs="Calibri" w:cstheme="minorHAnsi"/>
          <w:i/>
          <w:i/>
          <w:iCs/>
          <w:sz w:val="24"/>
          <w:szCs w:val="24"/>
          <w:lang w:eastAsia="pt-BR"/>
        </w:rPr>
      </w:pPr>
      <w:r>
        <w:rPr>
          <w:rFonts w:cs="Calibri" w:cstheme="minorHAnsi" w:ascii="Times New Roman" w:hAnsi="Times New Roman"/>
          <w:i/>
          <w:i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 10. A execução do montante destinado a ações e serviços públicos de saúde previsto no § 9o, inclusive custeio, será computada para fins do cumprimento do inciso I do § 2o do art. 198, vedada a destinação para pagamento de pessoal ou encargos sociais.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rPr>
        <w:t>STF</w:t>
      </w:r>
      <w:r>
        <w:rPr>
          <w:rFonts w:cs="Calibri" w:ascii="Times New Roman" w:hAnsi="Times New Roman" w:cstheme="minorHAnsi"/>
          <w:i/>
          <w:iCs/>
          <w:sz w:val="24"/>
          <w:szCs w:val="24"/>
        </w:rPr>
        <w:t xml:space="preserve"> </w:t>
      </w:r>
      <w:r>
        <w:rPr>
          <w:rFonts w:cs="Calibri" w:ascii="Times New Roman" w:hAnsi="Times New Roman" w:cstheme="minorHAnsi"/>
          <w:i/>
          <w:iCs/>
          <w:color w:val="C00000"/>
          <w:sz w:val="24"/>
          <w:szCs w:val="24"/>
        </w:rPr>
        <w:t xml:space="preserve">“Constituições Estaduais podem prever que as emendas individuais ao projeto de lei orçamentária, de execução obrigatória, serão aprovadas no limite de 2% da RCL do exercício anterior, mas deverá determinar que metade desse percentual é destinado a ações e serviços públicos de saúde (simetria).” STF. Plenário. ADI 7.493 MC-Ref/MT, Rel. Min. Dias Toffoli, julgado em 20/2/2024 (Info 1124);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 xml:space="preserve">CF/1988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Art. 166 § 11. É obrigatória a execução orçamentária e financeira das programações oriundas de emendas individuais, em montante correspondente ao limite a que se refere o § 9o deste artigo, conforme os critérios para a execução equitativa da programação definidos na lei complementar prevista no § 9o do art. 165 desta Constituição, observado o disposto no § 9o-A deste artigo.</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12. A garantia de execução de que trata o § 11 deste artigo aplica-se também às programações incluídas por todas as emendas de iniciativa de bancada de parlamentares de Estado ou do Distrito Federal, no montante de até 1% (um por cento) da receita corrente líquida realizada no exercício anterior.</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 13. As programações orçamentárias previstas nos §§ 11 e 12 deste artigo não serão de execução obrigatória nos casos dos impedimentos de ordem técnica.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 16. Quando a transferência obrigatória da União para a execução da programação prevista nos §§ 11 e 12 deste artigo for destinada a Estados, ao Distrito Federal e a Municípios, independerá da adimplência do ente federativo destinatário e não integrará a base de cálculo da receita corrente líquida para fins de aplicação dos limites de despesa de pessoal de que trata o caput do art. 169.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 17. Os restos a pagar provenientes das programações orçamentárias previstas nos §§ 11 e 12 deste artigo poderão ser considerados para fins de cumprimento da execução financeira até o limite de 1% (um por cento) da receita corrente líquida do exercício anterior ao do encaminhamento do projeto de lei orçamentária, para as programações das emendas individuais, e até o limite de 0,5% (cinco décimos por cento), para as programações das emendas de iniciativa de bancada de parlamentares de Estado ou do Distrito Federal.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 18. Se for verificado que a reestimativa da receita e da despesa poderá resultar no não cumprimento da meta de resultado fiscal estabelecida na lei de diretrizes orçamentárias, os montantes previstos nos §§ 11 e 12 deste artigo poderão ser reduzidos em até a mesma proporção da limitação incidente sobre o conjunto das demais despesas discricionárias.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 19. Considera-se equitativa a execução das programações de caráter obrigatório que observe critérios objetivos e imparciais e que atenda de forma igualitária e impessoal às emendas apresentadas, independentemente da autoria, observado o disposto no § 9o-A deste artigo. </w:t>
      </w:r>
    </w:p>
    <w:p>
      <w:pPr>
        <w:pStyle w:val="Normal"/>
        <w:bidi w:val="0"/>
        <w:spacing w:lineRule="auto" w:line="360"/>
        <w:jc w:val="both"/>
        <w:rPr>
          <w:rFonts w:ascii="Times New Roman" w:hAnsi="Times New Roman" w:cs="Calibri" w:cstheme="minorHAnsi"/>
          <w:i/>
          <w:i/>
          <w:iCs/>
          <w:sz w:val="24"/>
          <w:szCs w:val="24"/>
        </w:rPr>
      </w:pPr>
      <w:r>
        <w:rPr>
          <w:rFonts w:cs="Calibri" w:cstheme="minorHAnsi" w:ascii="Times New Roman" w:hAnsi="Times New Roman"/>
          <w:i/>
          <w:iCs/>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 20. As programações das emendas de bancada, quando versarem sobre o início de investimentos com duração de mais de 1 (um) exercício financeiro ou cuja execução já tenha sido iniciada, deverão ser objeto de emenda pela mesma bancada estadual, a cada exercício, até a conclusão da obra ou do empreendimento.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lightGray"/>
          <w:lang w:eastAsia="pt-BR"/>
        </w:rPr>
        <w:t>TRANSFERÊNCIAS</w:t>
      </w:r>
      <w:r>
        <w:rPr>
          <w:rFonts w:cs="Calibri" w:ascii="Times New Roman" w:hAnsi="Times New Roman" w:cstheme="minorHAnsi"/>
          <w:b/>
          <w:bCs/>
          <w:sz w:val="24"/>
          <w:szCs w:val="24"/>
          <w:lang w:eastAsia="pt-BR"/>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Art.166-A. As emendas individuais impositivas apresentadas ao projeto de lei orçamentária anual poderão alocar recursos a Estados, ao Distrito Federal e a Municípios por meio de: (Incluído pela Emenda Constitucional no 105, de 2019) </w:t>
      </w:r>
    </w:p>
    <w:tbl>
      <w:tblPr>
        <w:tblW w:w="9726" w:type="dxa"/>
        <w:jc w:val="start"/>
        <w:tblInd w:w="15" w:type="dxa"/>
        <w:tblCellMar>
          <w:top w:w="15" w:type="dxa"/>
          <w:start w:w="15" w:type="dxa"/>
          <w:bottom w:w="15" w:type="dxa"/>
          <w:end w:w="15" w:type="dxa"/>
        </w:tblCellMar>
        <w:tblLook w:val="04a0" w:noHBand="0" w:noVBand="1" w:firstColumn="1" w:lastRow="0" w:lastColumn="0" w:firstRow="1"/>
      </w:tblPr>
      <w:tblGrid>
        <w:gridCol w:w="2040"/>
        <w:gridCol w:w="7685"/>
      </w:tblGrid>
      <w:tr>
        <w:trPr/>
        <w:tc>
          <w:tcPr>
            <w:tcW w:w="2040"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TRANSFERÊNCIA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ESPECIAL </w:t>
            </w:r>
          </w:p>
        </w:tc>
        <w:tc>
          <w:tcPr>
            <w:tcW w:w="7685"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os recursos serão repassados diretamente ao estado ou município beneficiado, independente de celebração de convênio; pertencerão ao ente federado no ato da efetiva transferência financeira; e serão aplicados em programações finalísticas das áreas de competência do governo local (beneficiado). </w:t>
            </w:r>
          </w:p>
        </w:tc>
      </w:tr>
      <w:tr>
        <w:trPr/>
        <w:tc>
          <w:tcPr>
            <w:tcW w:w="2040"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TRANSFERÊNCIA COM FINALIDADE DEFINIDA </w:t>
            </w:r>
          </w:p>
        </w:tc>
        <w:tc>
          <w:tcPr>
            <w:tcW w:w="7685" w:type="dxa"/>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os recursos serão vinculados à programação estabelecida na emenda parlamentar; e aplicados nas áreas de competência constitucional da União. </w:t>
            </w:r>
          </w:p>
        </w:tc>
      </w:tr>
      <w:tr>
        <w:trPr/>
        <w:tc>
          <w:tcPr>
            <w:tcW w:w="9725" w:type="dxa"/>
            <w:gridSpan w:val="2"/>
            <w:tcBorders>
              <w:top w:val="single" w:sz="8" w:space="0" w:color="000000"/>
              <w:start w:val="single" w:sz="8" w:space="0" w:color="000000"/>
              <w:bottom w:val="single" w:sz="8" w:space="0" w:color="000000"/>
              <w:end w:val="single" w:sz="8" w:space="0" w:color="000000"/>
            </w:tcBorders>
            <w:shd w:color="auto" w:fill="FFFFFF" w:val="clear"/>
            <w:vAlign w:val="center"/>
          </w:tcPr>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pelo menos 70% das transferências especiais deverão ser destinadas a despesas de capital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no máximo 30% dos recursos dessas transferências poderão ser destinados ao custeio </w:t>
            </w:r>
          </w:p>
        </w:tc>
      </w:tr>
    </w:tbl>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 xml:space="preserve">CF/1988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Art. 166-A. § 1o Os recursos transferidos na forma do caput deste artigo não integrarão a receita do Estado, do Distrito Federal e dos Municípios para fins de repartição e para o cálculo dos limites da despesa com pessoal ativo e inativo, nos termos do § 16 do art. 166, e de endividamento do ente federado, vedada, em qualquer caso, a aplicação dos recursos a que se refere o caput deste artigo no pagamento de:</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I - despesas com pessoal e encargos sociais relativas a ativos e inativos, e com pensionistas;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II - encargos referentes ao serviço da dívida.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    </w:t>
      </w:r>
      <w:r>
        <w:rPr>
          <w:rFonts w:cs="Calibri" w:ascii="Times New Roman" w:hAnsi="Times New Roman" w:cstheme="minorHAnsi"/>
          <w:i/>
          <w:iCs/>
          <w:sz w:val="24"/>
          <w:szCs w:val="24"/>
          <w:lang w:eastAsia="pt-BR"/>
        </w:rPr>
        <w:t xml:space="preserve">(a) obrigou, de forma prévia ao recebimento dos recursos, a inserção (na plataforma eletrônica específica do Orçamento da União) de planos de trabalho, com indicação do objeto a ser executado, sua finalidade, a estimativa de recursos para a execução e o prazo da execução, bem como a classificação orçamentária da despesa;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    </w:t>
      </w:r>
      <w:r>
        <w:rPr>
          <w:rFonts w:cs="Calibri" w:ascii="Times New Roman" w:hAnsi="Times New Roman" w:cstheme="minorHAnsi"/>
          <w:i/>
          <w:iCs/>
          <w:sz w:val="24"/>
          <w:szCs w:val="24"/>
          <w:lang w:eastAsia="pt-BR"/>
        </w:rPr>
        <w:t xml:space="preserve">(b) rastreabilidade e transparência;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    </w:t>
      </w:r>
      <w:r>
        <w:rPr>
          <w:rFonts w:cs="Calibri" w:ascii="Times New Roman" w:hAnsi="Times New Roman" w:cstheme="minorHAnsi"/>
          <w:i/>
          <w:iCs/>
          <w:sz w:val="24"/>
          <w:szCs w:val="24"/>
          <w:lang w:eastAsia="pt-BR"/>
        </w:rPr>
        <w:t xml:space="preserve">(c) a plena incidência dos controles externo e interno – TCU e CGU.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(STF. ADI 7.688 MC-Ref/DF, ADI 7.695 MC-Ref/DF e ADI 7.697 MC-Ref/DF, Rel. Min. Flávio Dino, julg. em 19/8/2024 (Info 1146) </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 xml:space="preserve">Lei Complementar 210/2024  Emendas Individuais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No caso das emendas individuais impositivas, o autor da emenda deverá informar o objeto e o valor da transferência no momento da indicação do ente beneficiado, com destinação preferencial para obras inacabadas de sua autoria.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Os recursos da União repassados aos demais entes por meio de transferências especiais ficam também sujeitos à apreciação do Tribunal de Contas da União, nos termos de seu regimento interno.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O beneficiário das emendas individuais impositivas deverá indicar no sistema Transferegov.br, ou em outro que vier a substituí-lo, a agência bancária e a conta corrente específica em que serão depositados os recursos, para que seja realizado o depósito e possibilitada a movimentação do conjunto dos recursos.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O Poder Executivo do ente beneficiário das transferências especiais, deverá comunicar ao respectivo Poder Legislativo, ao Tribunal de Contas da União e aos tribunais de contas estaduais ou municipais, no prazo de 30 (trinta) dias, o valor do recurso recebido, o respectivo plano de trabalho e o cronograma de execução, do que dará ampla publicidade.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As transferências especiais destinadas aos entes federativos em situação de calamidade ou de emergência reconhecida pelo Poder Executivo federal terão prioridade para execução.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rPr>
        <w:t xml:space="preserve">Emendas de Bancada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Dispõe sobre a proposição e a execução de emendas parlamentares na lei orçamentária anual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As emendas de bancada estadual somente poderão destinar recursos a projetos e ações estruturantes para a unidade da Federação representada pela bancada, vedada a individualização de ações e de projetos para atender a demandas ou a indicações de cada membro da bancada.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Serão apresentadas e aprovadas por bancada estadual até 8 emendas.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highlight w:val="lightGray"/>
        </w:rPr>
        <w:t>I</w:t>
      </w:r>
      <w:r>
        <w:rPr>
          <w:rFonts w:cs="Calibri" w:ascii="Times New Roman" w:hAnsi="Times New Roman" w:cstheme="minorHAnsi"/>
          <w:b/>
          <w:bCs/>
          <w:color w:val="C00000"/>
          <w:sz w:val="24"/>
          <w:szCs w:val="24"/>
          <w:highlight w:val="lightGray"/>
        </w:rPr>
        <w:t>mpedimentos de ordem técnica (art. 10)</w:t>
      </w:r>
      <w:r>
        <w:rPr>
          <w:rFonts w:cs="Calibri" w:ascii="Times New Roman" w:hAnsi="Times New Roman" w:cstheme="minorHAnsi"/>
          <w:b/>
          <w:bCs/>
          <w:color w:val="C00000"/>
          <w:sz w:val="24"/>
          <w:szCs w:val="24"/>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 </w:t>
      </w:r>
      <w:r>
        <w:rPr>
          <w:rFonts w:cs="Calibri" w:ascii="Times New Roman" w:hAnsi="Times New Roman" w:cstheme="minorHAnsi"/>
          <w:sz w:val="24"/>
          <w:szCs w:val="24"/>
        </w:rPr>
        <w:t>Caberá à área técnica de cada órgão ou ente executor identificar e formalizar existência de qualquer impedimento de ordem técnica, sob pena de responsabilidade. Formalizada a identificação de impedimento de ordem técnica, caberá ao órgão ou ente executor da emenda analisá-lo e determinar diligências com vistas a assegurar a execução da emenda parlamentar mediante a regularização do impedimento, sempre que possível.</w:t>
      </w:r>
      <w:r>
        <w:rPr>
          <w:rFonts w:cs="Calibri" w:ascii="Times New Roman" w:hAnsi="Times New Roman" w:cstheme="minorHAnsi"/>
          <w:sz w:val="24"/>
          <w:szCs w:val="24"/>
          <w:lang w:eastAsia="pt-BR"/>
        </w:rPr>
        <w:t xml:space="preserve">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São consideradas hipóteses de impedimentos de ordem técnica para execução de emendas parlamentares</w:t>
      </w:r>
      <w:r>
        <w:rPr>
          <w:rFonts w:cs="Calibri" w:ascii="Times New Roman" w:hAnsi="Times New Roman" w:cstheme="minorHAnsi"/>
          <w:sz w:val="24"/>
          <w:szCs w:val="24"/>
          <w:lang w:eastAsia="pt-BR"/>
        </w:rPr>
        <w:t xml:space="preserve">, exclusivamente: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I - incompatibilidade do objeto da despesa com finalidade ou atributos da ação orçamentária e respectivo subtítulo, bem como dos demais classificadores da despesa;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II-óbices cujo prazo para superação inviabilize o empenho no exercício financeiro ou no prazo previsto na legislação aplicável;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III - ausência de projeto de engenharia aprovado pelo órgão setorial responsável pela programação, nos casos em que for necessário;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IV - ausência de licença ambiental prévia, nos casos em que for necessária;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V - não comprovação, por parte dos Estados, do Distrito Federal ou dos Municípios que fiquem a cargo do empreendimento após sua conclusão, da capacidade de aportar recursos para seu custeio, operação e manutenção;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VI-nãocomprovaçãodasuficiênciadosrecursosorçamentáriosefinanceirospara conclusão do empreendimento ou de etapa útil com funcionalidade que permita o imediato usufruto dos benefícios pela sociedade;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VII - incompatibilidade com a política pública aprovada no âmbito do órgão setorial responsável pela programação;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VIII - incompatibilidade do objeto proposto com o programa do órgão ou ente executor;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IX - ausência de pertinência temática entre o objeto proposto e a finalidade institucional da entidade beneficiária;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 - não apresentação de proposta ou plano de trabalho ou apresentação fora dos prazos previstos;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XI - não realização de complementação ou de ajustes solicitados em proposta ou plano de trabalho, bem como realização de complementação ou de ajustes fora dos prazos previstos;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XII - desistência da proposta pelo proponente;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XIII - reprovação da proposta ou plano de trabalho;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XIV - insuficiência do valor priorizado para a execução orçamentária da proposta ou plano de trabalho;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XV - não indicação de instituição financeira e da conta específica para recebimento e movimentação de recursos de transferências especiais pelo ente federado beneficiário no sistema Transferegov.br ou em outro que vier a substituí- lo;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XVI - omissão ou erro na indicação de beneficiário pelo autor da emenda impositiva individual ou de bancada estadual;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XVII - inscrição no Cadastro Nacional da Pessoa Jurídica (CNPJ) não correspondente à do beneficiário;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XVIII - incompatibilidade do beneficiário com o subtítulo da programação orçamentária da emenda;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XIX - inobservância da aplicação mínima obrigatória de 70% (setenta por cento) em despesas de capital nas transferências especiais, por autor;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XX - atendimento do objeto da programação orçamentária com recursos inferiores ao valor da dotação aprovada para o exercício financeiro, observado que o impedimento incidirá sobre os saldos remanescentes;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XXI - impossibilidade de atendimento do objeto da programação orçamentária aprovada, ou de uma etapa útil do projeto, em decorrência de insuficiência de dotação orçamentária disponível;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XXII - não observância da legislação aplicável ou incompatibilidade das despesas com a política pública setorial e com os critérios técnicos que a consubstanciam;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XXIII - incompatibilidade, devidamente justificada, com o disposto no art. 37 da Constituição Federal;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XXIV - alocação de recursos em programação de natureza não discricionária;</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XXV - ausência de indicação, pelo autor da emenda, do objeto a ser executado, no caso das transferências especiais;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XXVI - indicação, no caso de transferências especiais, de objeto com valor inferior ao montante mínimo para celebração de convênios e de contrato de repasses previsto no regulamento específico do tema; 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XXVII - outras hipóteses previstas na lei de diretrizes orçamentárias.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Formalizada a identificação de impedimento de ordem técnica, caberá ao órgão ou ente executor da emenda analisá-lo e determinar diligências com vistas a assegurar a execução da emenda parlamentar mediante a regularização do impedimento, sempre que possível. A Lei Complementar ainda estabeleceu limite de crescimento das emendas parlamentares aos projetos de lei orçamentária anual.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Não obstante, fica autorizado o contingenciamento de dotações de emendas parlamentares até a mesma proporção aplicada às demais despesas discricionárias, com vistas a atender ao disposto nas normas fiscais vigentes.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Contudo, é vedada a imposição de regra, restrição ou impedimento às emendas parlamentares que não sejam aplicáveis às programações orçamentárias discricionárias do Poder Executivo. </w:t>
      </w:r>
    </w:p>
    <w:p>
      <w:pPr>
        <w:pStyle w:val="Normal"/>
        <w:bidi w:val="0"/>
        <w:spacing w:lineRule="auto" w:line="360"/>
        <w:jc w:val="both"/>
        <w:rPr>
          <w:rFonts w:cs="Calibri" w:cstheme="minorHAnsi"/>
          <w:lang w:eastAsia="pt-BR"/>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A Lei no 4.320/64, em seu art. 47, prevê que imediatamente após a promulgação da Lei de Orçamento, e com base nos limites nela fixados, o Poder Executivo aprovará um quadro de cotas trimestrais da despesa que cada unidade orçamentária fica autorizada a utilizar. São objetivos dessa fixação de cotas:</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assegurar às unidades orçamentárias, em tempo útil, a soma de recursos necessários e suficientes a melhor execução do seu programa anual de trabalho;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manter, durante o exercício, na medida do possível, o equilíbrio entre a receita arrecadada e a despesa realizada, de modo a reduzir ao mínimo eventuais insuficiências de tesouraria.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Essa programação leva em conta os créditos adicionais e as operações extraorçamentárias. As cotas podem ser alteradas durante o exercício, observados o limite da dotação e o comportamento da execução orçamentária.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A Lei de Responsabilidade Fiscal (LRF), por sua vez, aperfeiçoou esse mecanismo, prevendo que, após a publicação da Lei Orçamentária Anual (LOA), o Poder Executivo, mediante decreto, estabelecerá, em até 30 dias, a programação financeira e o cronograma de desembolso mensal por órgãos, observadas as metas de resultados fiscais dispostas na Lei de Diretrizes Orçamentárias (LDO).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lang w:eastAsia="pt-BR"/>
        </w:rPr>
        <w:t xml:space="preserve">LRF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Art. 8º Até trinta dias após a publicação dos orçamentos, nos termos em que dispuser a lei de diretrizes orçamentárias e observado o disposto na alínea c do inciso I do art. 4o, o Poder Executivo estabelecerá a programação financeira e o cronograma de execução mensal de desembolso.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lang w:eastAsia="pt-BR"/>
        </w:rPr>
        <w:t xml:space="preserve">Parágrafo único. Os recursos legalmente vinculados a finalidade específica serão utilizados exclusivamente para atender ao objeto de sua vinculação, ainda que em exercício diverso daquele em que ocorrer o ingresso.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Ainda de acordo com a LRF, se for verificado, ao final de um bimestre, que a realização da receita poderá não comportar o cumprimento das metas de resultado primário ou nominal estabelecidas no Anexo de Metas Fiscais, os Poderes e o Ministério Público promoverão, por ato próprio e nos montantes necessários, em 30 dias, limitação de empenho e movimentação financeira, segundo os critérios fixados pela lei de diretrizes orçamentárias. No caso de restabelecimento da receita prevista, ainda que parcial, a recomposição das dotações cujos empenhos foram limitados será de forma proporcional às reduções efetivadas.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u w:val="single"/>
          <w:lang w:eastAsia="pt-BR"/>
        </w:rPr>
        <w:t xml:space="preserve">Não serão objeto de limitação as despesas: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que constituam obrigações constitucionais e legais do ente, inclusive aquelas destinadas ao pagamento do serviço da dívida;</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as relativas à inovação e ao desenvolvimento científico e tecnológico custeadas por fundo criado para tal finalidade; e</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 as ressalvadas pela lei de diretrizes orçamentárias.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Em âmbito federal, a limitação dos gastos é realizada por meio do Decreto de Programação Orçamentária e Financeira, também chamado de Decreto de Contingenciamento.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lightGray"/>
          <w:lang w:eastAsia="pt-BR"/>
        </w:rPr>
        <w:t>Ajustes Fiscais</w:t>
      </w:r>
      <w:r>
        <w:rPr>
          <w:rFonts w:cs="Calibri" w:ascii="Times New Roman" w:hAnsi="Times New Roman" w:cstheme="minorHAnsi"/>
          <w:b/>
          <w:bCs/>
          <w:sz w:val="24"/>
          <w:szCs w:val="24"/>
          <w:lang w:eastAsia="pt-BR"/>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Fica autorizado o contingenciamento de dotações de emendas parlamentares até a mesma proporção aplicada às demais despesas discricionárias, com vistas a atender ao disposto nas normas fiscais vigentes.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E vedada a imposição de regra, restrição ou impedimento às emendas parlamentares que não sejam aplicáveis às programações orçamentárias discricionárias do Poder Executivo. </w:t>
      </w:r>
    </w:p>
    <w:p>
      <w:pPr>
        <w:pStyle w:val="Normal"/>
        <w:bidi w:val="0"/>
        <w:spacing w:lineRule="auto" w:line="360"/>
        <w:jc w:val="both"/>
        <w:rPr>
          <w:rFonts w:ascii="Times New Roman" w:hAnsi="Times New Roman" w:cs="Calibri" w:cstheme="minorHAnsi"/>
          <w:sz w:val="24"/>
          <w:szCs w:val="24"/>
          <w:lang w:eastAsia="pt-BR"/>
        </w:rPr>
      </w:pPr>
      <w:r>
        <w:rPr>
          <w:rFonts w:cs="Calibri" w:cstheme="minorHAnsi" w:ascii="Times New Roman" w:hAnsi="Times New Roman"/>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lang w:eastAsia="pt-BR"/>
        </w:rPr>
        <w:t>AINDA, NO EXECUÇÃO DO ORÇAMENTO – ETAPA 3</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A execução orçamentária e financeira ocorrem concomitantemente, por estarem atreladas uma a outra. Havendo orçamento e não existindo o financeiro, não poderá ocorrer a despesa. Por outro lado, pode haver recurso financeiro, mas não se poderá gastá-lo, se não houver a disponibilidade orçamentária. Em consequência, pode-se definir execução orçamentária como sendo a utilização dos créditos consignados no Orçamento ou Lei Orçamentária Anual - LOA. Já a execução financeira, por sua vez, representa a utilização de recursos financeiros, visando atender à realização dos projetos e/ou atividades atribuídas às Unidades Orçamentárias pelo Orçamento.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color w:val="C00000"/>
          <w:sz w:val="24"/>
          <w:szCs w:val="24"/>
        </w:rPr>
        <w:t>CF/1988</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Art. 165 § 10. A administração tem o dever de executar as programações orçamentárias, adotando os meios e as medidas necessários, com o propósito de garantir a efetiva entrega de bens e serviços à sociedade.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Art. 165 § 11. O disposto no § 10 deste artigo, nos termos da lei de diretrizes orçamentárias: (Incluído pela Emenda Constitucional no 102, de 2019)</w:t>
      </w:r>
      <w:r>
        <w:rPr>
          <w:rFonts w:cs="Calibri" w:ascii="Times New Roman" w:hAnsi="Times New Roman" w:cstheme="minorHAnsi"/>
          <w:sz w:val="24"/>
          <w:szCs w:val="24"/>
        </w:rPr>
        <w:t xml:space="preserve"> (Produção de efeito)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I - subordina-se ao cumprimento de dispositivos constitucionais e legais que estabeleçam metas fiscais ou limites de despesas e não impede o cancelamento necessário à abertura de créditos adicionais; </w:t>
      </w:r>
    </w:p>
    <w:p>
      <w:pPr>
        <w:pStyle w:val="Normal"/>
        <w:bidi w:val="0"/>
        <w:spacing w:lineRule="auto" w:line="360"/>
        <w:jc w:val="both"/>
        <w:rPr>
          <w:rFonts w:ascii="Times New Roman" w:hAnsi="Times New Roman"/>
          <w:sz w:val="24"/>
          <w:szCs w:val="24"/>
        </w:rPr>
      </w:pPr>
      <w:r>
        <w:rPr>
          <w:rFonts w:cs="Calibri" w:ascii="Times New Roman" w:hAnsi="Times New Roman" w:cstheme="minorHAnsi"/>
          <w:i/>
          <w:iCs/>
          <w:sz w:val="24"/>
          <w:szCs w:val="24"/>
        </w:rPr>
        <w:t xml:space="preserve">II - não se aplica nos casos de impedimentos de ordem técnica devidamente justificados;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i/>
          <w:iCs/>
          <w:sz w:val="24"/>
          <w:szCs w:val="24"/>
        </w:rPr>
        <w:t xml:space="preserve">III - aplica-se exclusivamente às despesas primárias discricionárias. </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r>
        <w:br w:type="page"/>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highlight w:val="cyan"/>
          <w:lang w:eastAsia="pt-BR"/>
        </w:rPr>
        <w:t>ORÇAMENTO IMPOSITIVO</w:t>
      </w:r>
      <w:r>
        <w:rPr>
          <w:rFonts w:cs="Calibri" w:ascii="Times New Roman" w:hAnsi="Times New Roman" w:cstheme="minorHAnsi"/>
          <w:b/>
          <w:bCs/>
          <w:sz w:val="24"/>
          <w:szCs w:val="24"/>
          <w:lang w:eastAsia="pt-BR"/>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lang w:eastAsia="pt-BR"/>
        </w:rPr>
        <w:t xml:space="preserve">Trata-se de princípio novo que define o dever de execução das programações orçamentárias, o que supera o antigo debate acerca da natureza jurídica da lei orçamentária, ou seja, se as programações representavam mera autorização para a execução (modelo autorizativo) ou se, diante do sistema de planejamento e orçamento da Constituição de 1988, poder-se-ia extrair o caráter vinculante da lei orçamentária, o que acabou prevalecendo. </w:t>
      </w:r>
    </w:p>
    <w:p>
      <w:pPr>
        <w:pStyle w:val="Normal"/>
        <w:bidi w:val="0"/>
        <w:spacing w:lineRule="auto" w:line="360"/>
        <w:ind w:start="708" w:hanging="0"/>
        <w:jc w:val="both"/>
        <w:rPr>
          <w:rFonts w:ascii="Times New Roman" w:hAnsi="Times New Roman"/>
          <w:sz w:val="24"/>
          <w:szCs w:val="24"/>
        </w:rPr>
      </w:pPr>
      <w:r>
        <w:rPr>
          <w:rFonts w:cs="Calibri" w:ascii="Times New Roman" w:hAnsi="Times New Roman" w:cstheme="minorHAnsi"/>
          <w:sz w:val="24"/>
          <w:szCs w:val="24"/>
        </w:rPr>
        <w:t xml:space="preserve">"Segundo Abraham (2015) o caráter híbrido de orçamento impositivo e autorizativo da LOA se explica, primeiramente, em razão da parcela cada vez maior de despesas obrigatórias não contingenciáveis previstas na Constituição e nas leis, e, recentemente, por Emenda Constitucional. (...) No restante do orçamento, em que se estabelecem despesas discricionárias, mantém-se o perfil de orçamento autorizativo. Portanto, é inegável afirmar que hoje o orçamento público no Brasil é híbrido quando, na verdade, ele é parcialmente autorizativo e parcialmente impositivo.”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Segundo Santos e Gasparini (2020), “impositivo versus autorizativo” é uma tese dual, binária, em que um ou outro Poder prevalece. Há elementos de ambos os modelos em nosso sistema</w:t>
      </w:r>
      <w:r>
        <w:rPr>
          <w:rFonts w:cs="Calibri" w:ascii="Times New Roman" w:hAnsi="Times New Roman" w:cstheme="minorHAnsi"/>
          <w:b/>
          <w:bCs/>
          <w:sz w:val="24"/>
          <w:szCs w:val="24"/>
        </w:rPr>
        <w:t xml:space="preserve">. </w:t>
      </w:r>
      <w:r>
        <w:rPr>
          <w:rFonts w:cs="Calibri" w:ascii="Times New Roman" w:hAnsi="Times New Roman" w:cstheme="minorHAnsi"/>
          <w:b/>
          <w:bCs/>
          <w:color w:val="FF0000"/>
          <w:sz w:val="24"/>
          <w:szCs w:val="24"/>
        </w:rPr>
        <w:t>O orçamento não é binário</w:t>
      </w:r>
      <w:r>
        <w:rPr>
          <w:rFonts w:cs="Calibri" w:ascii="Times New Roman" w:hAnsi="Times New Roman" w:cstheme="minorHAnsi"/>
          <w:b/>
          <w:bCs/>
          <w:sz w:val="24"/>
          <w:szCs w:val="24"/>
        </w:rPr>
        <w:t xml:space="preserve">: </w:t>
      </w:r>
      <w:r>
        <w:rPr>
          <w:rFonts w:cs="Calibri" w:ascii="Times New Roman" w:hAnsi="Times New Roman" w:cstheme="minorHAnsi"/>
          <w:b/>
          <w:bCs/>
          <w:sz w:val="24"/>
          <w:szCs w:val="24"/>
          <w:u w:val="single"/>
        </w:rPr>
        <w:t>ou autorizativo</w:t>
      </w:r>
      <w:r>
        <w:rPr>
          <w:rFonts w:cs="Calibri" w:ascii="Times New Roman" w:hAnsi="Times New Roman" w:cstheme="minorHAnsi"/>
          <w:b/>
          <w:bCs/>
          <w:sz w:val="24"/>
          <w:szCs w:val="24"/>
        </w:rPr>
        <w:t xml:space="preserve">, </w:t>
      </w:r>
      <w:r>
        <w:rPr>
          <w:rFonts w:cs="Calibri" w:ascii="Times New Roman" w:hAnsi="Times New Roman" w:cstheme="minorHAnsi"/>
          <w:b/>
          <w:bCs/>
          <w:sz w:val="24"/>
          <w:szCs w:val="24"/>
          <w:u w:val="single"/>
        </w:rPr>
        <w:t>ou impositivo</w:t>
      </w:r>
      <w:r>
        <w:rPr>
          <w:rFonts w:cs="Calibri" w:ascii="Times New Roman" w:hAnsi="Times New Roman" w:cstheme="minorHAnsi"/>
          <w:sz w:val="24"/>
          <w:szCs w:val="24"/>
        </w:rPr>
        <w:t xml:space="preserve">. Poder-se-ia denominar </w:t>
      </w:r>
      <w:r>
        <w:rPr>
          <w:rFonts w:cs="Calibri" w:ascii="Times New Roman" w:hAnsi="Times New Roman" w:cstheme="minorHAnsi"/>
          <w:b/>
          <w:bCs/>
          <w:sz w:val="24"/>
          <w:szCs w:val="24"/>
          <w:u w:val="single"/>
        </w:rPr>
        <w:t>orçamento híbrido</w:t>
      </w:r>
      <w:r>
        <w:rPr>
          <w:rFonts w:cs="Calibri" w:ascii="Times New Roman" w:hAnsi="Times New Roman" w:cstheme="minorHAnsi"/>
          <w:b/>
          <w:bCs/>
          <w:sz w:val="24"/>
          <w:szCs w:val="24"/>
        </w:rPr>
        <w:t xml:space="preserve"> ou </w:t>
      </w:r>
      <w:r>
        <w:rPr>
          <w:rFonts w:cs="Calibri" w:ascii="Times New Roman" w:hAnsi="Times New Roman" w:cstheme="minorHAnsi"/>
          <w:b/>
          <w:bCs/>
          <w:sz w:val="24"/>
          <w:szCs w:val="24"/>
          <w:u w:val="single"/>
        </w:rPr>
        <w:t>orçamento impositivo flexível</w:t>
      </w:r>
      <w:r>
        <w:rPr>
          <w:rFonts w:cs="Calibri" w:ascii="Times New Roman" w:hAnsi="Times New Roman" w:cstheme="minorHAnsi"/>
          <w:b/>
          <w:bCs/>
          <w:sz w:val="24"/>
          <w:szCs w:val="24"/>
        </w:rPr>
        <w:t xml:space="preserve">.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O dever de execução é um vínculo imposto ao gestor, no interesse da sociedade, que o impele a tomar todas as medidas necessárias (empenho, contratação, liquidação, pagamento) para viabilizar a entrega de bens e serviços correspondente às programações da lei orçamentária. A própria Constituição esclarece que o dever de execução não se aplica nos casos em que impedimentos de ordem técnica ou legal, na medida em que representam óbice intransponível para o gestor. É o caso, por exemplo, da necessidade legal de cumprir metas fiscais, o que requer contingenciamento das despesas.</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O caráter impositivo da execução do orçamento importa apenas para as chamadas despesas discricionárias (não obrigatórias). Isso porque a execução das despesas “obrigatórias” - aquelas cujo orçamentação, empenho e pagamento decorrem da existência de legislação anterior, que cria vínculos obrigacionais - define-se pela própria norma substantiva, e não pelo fato de constar da lei orçamentária.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Conforme acórdãos do TCU, a impositividade deve ser harmonizada com os demais princípios, garantias, conceitos e vedações tutelados nos arts. 165 a 169 da CF/1988, bem assim com os princípios fundamentais que regem a Administração Pública expressos no art. 37 e em outros dispositivos que integram o texto constitucional.  O dever de execução das programações orçamentárias ao ‘cumprimento de dispositivos constitucionais e legais que estabeleçam metas fiscais ou limites de despesas e não impede o cancelamento necessário à abertura de créditos adicionais’ (art. 165, § 11, da CF/1988), bem como estipulou que esse dever também não se aplica nos casos de impedimentos de ordem técnica devidamente justificados.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Por conseguinte, também se sujeitam à anualidade orçamentária, em que pese os restos a pagar delas decorrentes ser considerados para fins de cumprimento da execução financeira nos limites estabelecidos. Tampouco admite-se a sua execução em desacordo com os pressupostos da gestão fiscal responsável, destinados a manter o equilíbrio intertemporal das contas públicas e sustentabilidade da dívida pública, devendo-se submeter às regras que buscam resguardar a higidez fiscal, como a meta de resultado primário, a Regra de Ouro (art. 167, inciso III, da CF/1988), o Teto de Gastos (arcabouço fiscal – LC 200/23)</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start"/>
        <w:rPr>
          <w:rFonts w:ascii="Times New Roman" w:hAnsi="Times New Roman"/>
          <w:sz w:val="24"/>
          <w:szCs w:val="24"/>
        </w:rPr>
      </w:pPr>
      <w:r>
        <w:rPr>
          <w:rFonts w:cs="Calibri" w:ascii="Times New Roman" w:hAnsi="Times New Roman" w:cstheme="minorHAnsi"/>
          <w:b/>
          <w:bCs/>
          <w:sz w:val="24"/>
          <w:szCs w:val="24"/>
          <w:lang w:eastAsia="pt-BR"/>
        </w:rPr>
        <w:t>ELABORAÇÃO DA LOA – ETAPA 4</w:t>
      </w:r>
    </w:p>
    <w:p>
      <w:pPr>
        <w:pStyle w:val="Normal"/>
        <w:bidi w:val="0"/>
        <w:spacing w:lineRule="auto" w:line="360"/>
        <w:jc w:val="both"/>
        <w:rPr>
          <w:rFonts w:ascii="Times New Roman" w:hAnsi="Times New Roman" w:cs="Calibri" w:cstheme="minorHAnsi"/>
          <w:b/>
          <w:b/>
          <w:bCs/>
          <w:sz w:val="24"/>
          <w:szCs w:val="24"/>
          <w:lang w:eastAsia="pt-BR"/>
        </w:rPr>
      </w:pPr>
      <w:r>
        <w:rPr>
          <w:rFonts w:cs="Calibri" w:cstheme="minorHAnsi" w:ascii="Times New Roman" w:hAnsi="Times New Roman"/>
          <w:b/>
          <w:bCs/>
          <w:sz w:val="24"/>
          <w:szCs w:val="24"/>
          <w:lang w:eastAsia="pt-BR"/>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O orçamento surge como um instrumento de controle. Tradicionalmente, é uma forma de assegurar ao Executivo (controle interno) e ao Legislativo (controle externo) que os recursos serão aplicados conforme previstos e segundo as leis. Atualmente, além desse controle legal, busca-se o controle de resultados, em uma visão mais completa da efetividade das ações governamentais.  A CF/1988 e a Lei no 4.320/1964 determinam a coexistência de dois sistemas de controle: interno e externo.</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rPr>
        <w:t>- O controle interno</w:t>
      </w:r>
      <w:r>
        <w:rPr>
          <w:rFonts w:cs="Calibri" w:ascii="Times New Roman" w:hAnsi="Times New Roman" w:cstheme="minorHAnsi"/>
          <w:sz w:val="24"/>
          <w:szCs w:val="24"/>
        </w:rPr>
        <w:t xml:space="preserve"> é aquele realizado pelo órgão no âmbito da própria Administração, do próprio Poder, dentro de sua estrutura.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rPr>
        <w:t>- O controle externo</w:t>
      </w:r>
      <w:r>
        <w:rPr>
          <w:rFonts w:cs="Calibri" w:ascii="Times New Roman" w:hAnsi="Times New Roman" w:cstheme="minorHAnsi"/>
          <w:sz w:val="24"/>
          <w:szCs w:val="24"/>
        </w:rPr>
        <w:t xml:space="preserve"> é aquele realizado por uma instituição independente e autônoma.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A CF/1988 dispõe ainda que a fiscalização contábil, financeira, orçamentária, operacional e patrimonial da União e das entidades da Administração direta e indireta, quanto à legalidade, legitimidade, economicidade, aplicação das subvenções e renúncia de receitas, será exercida pelo Congresso Nacional, mediante controle externo, e pelo sistema de controle interno de cada Poder</w:t>
      </w:r>
      <w:r>
        <w:rPr>
          <w:rStyle w:val="Ncoradanotaderodap"/>
          <w:rFonts w:cs="Calibri" w:ascii="Times New Roman" w:hAnsi="Times New Roman" w:cstheme="minorHAnsi"/>
          <w:sz w:val="24"/>
          <w:szCs w:val="24"/>
        </w:rPr>
        <w:footnoteReference w:id="3"/>
      </w:r>
      <w:r>
        <w:rPr>
          <w:rFonts w:cs="Calibri" w:ascii="Times New Roman" w:hAnsi="Times New Roman" w:cstheme="minorHAnsi"/>
          <w:sz w:val="24"/>
          <w:szCs w:val="24"/>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b/>
          <w:bCs/>
          <w:sz w:val="24"/>
          <w:szCs w:val="24"/>
        </w:rPr>
        <w:t>De forma resumida</w:t>
      </w:r>
      <w:r>
        <w:rPr>
          <w:rFonts w:cs="Calibri" w:ascii="Times New Roman" w:hAnsi="Times New Roman" w:cstheme="minorHAnsi"/>
          <w:sz w:val="24"/>
          <w:szCs w:val="24"/>
        </w:rPr>
        <w:t xml:space="preserv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 o aspecto orçamentário está relacionado à arrecadação e à aplicação dos recursos públicos, conforme os instrumentos de planejamento e orçamento previstos na CF;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o aspecto operacional está relacionado à verificação do cumprimento de metas, aos resultados, à eficácia e à eficiência da gestão dos recursos públicos;</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 o aspecto patrimonial está relacionado ao controle, à salvaguarda, à conservação e à alienação de bens públicos;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 o aspecto financeiro está relacionado ao fluxo de recursos administrados pelo gestor; e </w:t>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 xml:space="preserve">- o aspecto contábil está relacionado à aplicação dos recursos públicos conforme as técnicas contábeis. </w:t>
      </w:r>
    </w:p>
    <w:p>
      <w:pPr>
        <w:pStyle w:val="Normal"/>
        <w:bidi w:val="0"/>
        <w:spacing w:lineRule="auto" w:line="360"/>
        <w:jc w:val="both"/>
        <w:rPr>
          <w:rFonts w:ascii="Times New Roman" w:hAnsi="Times New Roman" w:cs="Calibri" w:cstheme="minorHAnsi"/>
          <w:sz w:val="24"/>
          <w:szCs w:val="24"/>
        </w:rPr>
      </w:pPr>
      <w:r>
        <w:rPr>
          <w:rFonts w:cs="Calibri" w:cstheme="minorHAnsi" w:ascii="Times New Roman" w:hAnsi="Times New Roman"/>
          <w:sz w:val="24"/>
          <w:szCs w:val="24"/>
        </w:rPr>
      </w:r>
    </w:p>
    <w:p>
      <w:pPr>
        <w:pStyle w:val="Normal"/>
        <w:bidi w:val="0"/>
        <w:spacing w:lineRule="auto" w:line="360"/>
        <w:jc w:val="both"/>
        <w:rPr>
          <w:rFonts w:ascii="Times New Roman" w:hAnsi="Times New Roman"/>
          <w:sz w:val="24"/>
          <w:szCs w:val="24"/>
        </w:rPr>
      </w:pPr>
      <w:r>
        <w:rPr>
          <w:rFonts w:cs="Calibri" w:ascii="Times New Roman" w:hAnsi="Times New Roman" w:cstheme="minorHAnsi"/>
          <w:sz w:val="24"/>
          <w:szCs w:val="24"/>
        </w:rPr>
        <w:t>Prestará contas qualquer pessoa física ou jurídica, pública ou privada, que utilize, arrecade, guarde, gerencie ou administre dinheiros, bens e valores públicos ou pelos quais a União responda, ou que, em nome desta, assuma obrigações de natureza pecuniári</w:t>
      </w:r>
      <w:r>
        <w:rPr>
          <w:rStyle w:val="Ncoradanotaderodap"/>
          <w:rFonts w:cs="Calibri" w:ascii="Times New Roman" w:hAnsi="Times New Roman" w:cstheme="minorHAnsi"/>
          <w:sz w:val="24"/>
          <w:szCs w:val="24"/>
        </w:rPr>
        <w:footnoteReference w:id="4"/>
      </w:r>
      <w:r>
        <w:rPr>
          <w:rFonts w:cs="Calibri" w:ascii="Times New Roman" w:hAnsi="Times New Roman" w:cstheme="minorHAnsi"/>
          <w:sz w:val="24"/>
          <w:szCs w:val="24"/>
        </w:rPr>
        <w:t xml:space="preserve">. </w:t>
      </w:r>
    </w:p>
    <w:p>
      <w:pPr>
        <w:pStyle w:val="Normal"/>
        <w:bidi w:val="0"/>
        <w:spacing w:lineRule="auto" w:line="360" w:beforeAutospacing="1" w:afterAutospacing="1"/>
        <w:contextualSpacing/>
        <w:mirrorIndents/>
        <w:jc w:val="both"/>
        <w:rPr>
          <w:rFonts w:ascii="Times New Roman" w:hAnsi="Times New Roman" w:cs="Calibri" w:cstheme="minorHAnsi"/>
          <w:b/>
          <w:b/>
          <w:bCs/>
          <w:color w:val="C00000"/>
          <w:sz w:val="24"/>
          <w:szCs w:val="24"/>
        </w:rPr>
      </w:pPr>
      <w:r>
        <w:rPr>
          <w:rFonts w:cs="Calibri" w:cstheme="minorHAnsi" w:ascii="Times New Roman" w:hAnsi="Times New Roman"/>
          <w:b/>
          <w:bCs/>
          <w:color w:val="C00000"/>
          <w:sz w:val="24"/>
          <w:szCs w:val="24"/>
        </w:rPr>
      </w:r>
    </w:p>
    <w:p>
      <w:pPr>
        <w:pStyle w:val="Normal"/>
        <w:bidi w:val="0"/>
        <w:spacing w:lineRule="auto" w:line="360" w:beforeAutospacing="1" w:afterAutospacing="1"/>
        <w:contextualSpacing/>
        <w:mirrorIndents/>
        <w:jc w:val="both"/>
        <w:rPr>
          <w:rFonts w:ascii="Times New Roman" w:hAnsi="Times New Roman"/>
          <w:sz w:val="24"/>
          <w:szCs w:val="24"/>
        </w:rPr>
      </w:pPr>
      <w:r>
        <w:rPr>
          <w:rFonts w:cs="Calibri" w:ascii="Times New Roman" w:hAnsi="Times New Roman" w:cstheme="minorHAnsi"/>
          <w:b/>
          <w:bCs/>
          <w:color w:val="C00000"/>
          <w:sz w:val="24"/>
          <w:szCs w:val="24"/>
        </w:rPr>
        <w:t xml:space="preserve">CONTROLE NA LEI No 4.320/64 </w:t>
      </w:r>
    </w:p>
    <w:p>
      <w:pPr>
        <w:pStyle w:val="Normal"/>
        <w:bidi w:val="0"/>
        <w:spacing w:lineRule="auto" w:line="360" w:beforeAutospacing="1" w:afterAutospacing="1"/>
        <w:contextualSpacing/>
        <w:mirrorIndents/>
        <w:jc w:val="both"/>
        <w:rPr>
          <w:rFonts w:ascii="Times New Roman" w:hAnsi="Times New Roman"/>
          <w:sz w:val="24"/>
          <w:szCs w:val="24"/>
        </w:rPr>
      </w:pPr>
      <w:r>
        <w:rPr>
          <w:rFonts w:cs="Calibri" w:ascii="Times New Roman" w:hAnsi="Times New Roman" w:cstheme="minorHAnsi"/>
          <w:i/>
          <w:iCs/>
          <w:sz w:val="24"/>
          <w:szCs w:val="24"/>
        </w:rPr>
        <w:t xml:space="preserve">Art. 75. O controle da execução orçamentária compreenderá: </w:t>
      </w:r>
    </w:p>
    <w:p>
      <w:pPr>
        <w:pStyle w:val="Normal"/>
        <w:bidi w:val="0"/>
        <w:spacing w:lineRule="auto" w:line="360" w:beforeAutospacing="1" w:afterAutospacing="1"/>
        <w:contextualSpacing/>
        <w:mirrorIndents/>
        <w:jc w:val="both"/>
        <w:rPr>
          <w:rFonts w:ascii="Times New Roman" w:hAnsi="Times New Roman"/>
          <w:sz w:val="24"/>
          <w:szCs w:val="24"/>
        </w:rPr>
      </w:pPr>
      <w:r>
        <w:rPr>
          <w:rFonts w:cs="Segoe UI Symbol" w:ascii="Times New Roman" w:hAnsi="Times New Roman"/>
          <w:i/>
          <w:iCs/>
          <w:sz w:val="24"/>
          <w:szCs w:val="24"/>
        </w:rPr>
        <w:t xml:space="preserve">I - </w:t>
      </w:r>
      <w:r>
        <w:rPr>
          <w:rFonts w:cs="Calibri" w:ascii="Times New Roman" w:hAnsi="Times New Roman" w:cstheme="minorHAnsi"/>
          <w:i/>
          <w:iCs/>
          <w:sz w:val="24"/>
          <w:szCs w:val="24"/>
        </w:rPr>
        <w:t xml:space="preserve">a legalidade dos atos de que resultem a arrecadação da receita ou a realização da despesa, </w:t>
      </w:r>
    </w:p>
    <w:p>
      <w:pPr>
        <w:pStyle w:val="Normal"/>
        <w:bidi w:val="0"/>
        <w:spacing w:lineRule="auto" w:line="360" w:beforeAutospacing="1" w:afterAutospacing="1"/>
        <w:contextualSpacing/>
        <w:mirrorIndents/>
        <w:jc w:val="both"/>
        <w:rPr>
          <w:rFonts w:ascii="Times New Roman" w:hAnsi="Times New Roman"/>
          <w:sz w:val="24"/>
          <w:szCs w:val="24"/>
        </w:rPr>
      </w:pPr>
      <w:r>
        <w:rPr>
          <w:rFonts w:cs="Calibri" w:ascii="Times New Roman" w:hAnsi="Times New Roman" w:cstheme="minorHAnsi"/>
          <w:i/>
          <w:iCs/>
          <w:sz w:val="24"/>
          <w:szCs w:val="24"/>
        </w:rPr>
        <w:t xml:space="preserve">II - o nascimento ou a extinção de direitos e obrigações; a fidelidade funcional dos agentes da administração, responsáveis por bens e valores públicos; </w:t>
      </w:r>
    </w:p>
    <w:p>
      <w:pPr>
        <w:pStyle w:val="Normal"/>
        <w:bidi w:val="0"/>
        <w:spacing w:lineRule="auto" w:line="360" w:beforeAutospacing="1" w:afterAutospacing="1"/>
        <w:contextualSpacing/>
        <w:mirrorIndents/>
        <w:jc w:val="both"/>
        <w:rPr>
          <w:rFonts w:ascii="Times New Roman" w:hAnsi="Times New Roman"/>
          <w:sz w:val="24"/>
          <w:szCs w:val="24"/>
        </w:rPr>
      </w:pPr>
      <w:r>
        <w:rPr>
          <w:rFonts w:cs="Calibri" w:ascii="Times New Roman" w:hAnsi="Times New Roman" w:cstheme="minorHAnsi"/>
          <w:i/>
          <w:iCs/>
          <w:sz w:val="24"/>
          <w:szCs w:val="24"/>
        </w:rPr>
        <w:t xml:space="preserve">III - o cumprimento do programa de trabalho expresso em termos monetários e em termos de realização de obras e prestação de serviços. </w:t>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b/>
          <w:bCs/>
          <w:color w:val="FF0000"/>
          <w:sz w:val="24"/>
          <w:szCs w:val="24"/>
          <w:lang w:eastAsia="en-US"/>
        </w:rPr>
        <w:t>A atuação do Poder Legislativo no ciclo orçamentário não se encerra na apreciação e aprovação das leis orçamentárias</w:t>
      </w:r>
      <w:r>
        <w:rPr>
          <w:rFonts w:eastAsia="Calibri" w:cs="Calibri" w:ascii="Times New Roman" w:hAnsi="Times New Roman" w:cstheme="minorHAnsi" w:eastAsiaTheme="minorHAnsi"/>
          <w:sz w:val="24"/>
          <w:szCs w:val="24"/>
          <w:lang w:eastAsia="en-US"/>
        </w:rPr>
        <w:t xml:space="preserve">. </w:t>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sz w:val="24"/>
          <w:szCs w:val="24"/>
          <w:lang w:eastAsia="en-US"/>
        </w:rPr>
        <w:t xml:space="preserve">A fase de avaliação da execução orçamentária é atribuição do Congresso dentro de sua competência constitucional (art. 70) de fiscalizar os órgãos e entidades da União, bem como da administração direta e indireta, ocorrendo principalmente com relação à aplicação de recursos, recebimento de valores e uso do patrimônio público.  </w:t>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b/>
          <w:bCs/>
          <w:sz w:val="24"/>
          <w:szCs w:val="24"/>
          <w:lang w:eastAsia="en-US"/>
        </w:rPr>
        <w:t>A fiscalização parlamentar do Congresso</w:t>
      </w:r>
      <w:r>
        <w:rPr>
          <w:rFonts w:eastAsia="Calibri" w:cs="Calibri" w:ascii="Times New Roman" w:hAnsi="Times New Roman" w:cstheme="minorHAnsi" w:eastAsiaTheme="minorHAnsi"/>
          <w:sz w:val="24"/>
          <w:szCs w:val="24"/>
          <w:lang w:eastAsia="en-US"/>
        </w:rPr>
        <w:t xml:space="preserve"> é exercida </w:t>
      </w:r>
      <w:r>
        <w:rPr>
          <w:rFonts w:eastAsia="Calibri" w:cs="Calibri" w:ascii="Times New Roman" w:hAnsi="Times New Roman" w:cstheme="minorHAnsi" w:eastAsiaTheme="minorHAnsi"/>
          <w:b/>
          <w:bCs/>
          <w:sz w:val="24"/>
          <w:szCs w:val="24"/>
          <w:lang w:eastAsia="en-US"/>
        </w:rPr>
        <w:t>com auxílio do Tribunal de Contas da União (TCU),</w:t>
      </w:r>
      <w:r>
        <w:rPr>
          <w:rFonts w:eastAsia="Calibri" w:cs="Calibri" w:ascii="Times New Roman" w:hAnsi="Times New Roman" w:cstheme="minorHAnsi" w:eastAsiaTheme="minorHAnsi"/>
          <w:sz w:val="24"/>
          <w:szCs w:val="24"/>
          <w:lang w:eastAsia="en-US"/>
        </w:rPr>
        <w:t xml:space="preserve"> e pela atuação das comissões parlamentares, com destaque para a Comissão Mista de Planos Orçamentos Públicos e Fiscalização (CMO).</w:t>
      </w:r>
    </w:p>
    <w:p>
      <w:pPr>
        <w:pStyle w:val="NormalWeb"/>
        <w:bidi w:val="0"/>
        <w:spacing w:lineRule="auto" w:line="360" w:before="280" w:after="280"/>
        <w:contextualSpacing/>
        <w:mirrorIndents/>
        <w:jc w:val="both"/>
        <w:rPr>
          <w:rFonts w:ascii="Times New Roman" w:hAnsi="Times New Roman" w:eastAsia="Calibri" w:cs="Calibri" w:cstheme="minorHAnsi" w:eastAsiaTheme="minorHAnsi"/>
          <w:sz w:val="24"/>
          <w:szCs w:val="24"/>
          <w:lang w:eastAsia="en-US"/>
        </w:rPr>
      </w:pPr>
      <w:r>
        <w:rPr>
          <w:rFonts w:eastAsia="Calibri" w:cs="Calibri" w:cstheme="minorHAnsi" w:eastAsiaTheme="minorHAnsi" w:ascii="Times New Roman" w:hAnsi="Times New Roman"/>
          <w:sz w:val="24"/>
          <w:szCs w:val="24"/>
          <w:lang w:eastAsia="en-US"/>
        </w:rPr>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b/>
          <w:bCs/>
          <w:color w:val="C00000"/>
          <w:sz w:val="24"/>
          <w:szCs w:val="24"/>
          <w:lang w:eastAsia="en-US"/>
        </w:rPr>
        <w:t xml:space="preserve">CONTROLE NA LEI No 4.320/64 </w:t>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i/>
          <w:iCs/>
          <w:sz w:val="24"/>
          <w:szCs w:val="24"/>
          <w:lang w:eastAsia="en-US"/>
        </w:rPr>
        <w:t>Art. 77. A verificação da legalidade dos atos de execução orçamentária será prévia, concomitante e subsequente.</w:t>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i/>
          <w:iCs/>
          <w:sz w:val="24"/>
          <w:szCs w:val="24"/>
          <w:lang w:eastAsia="en-US"/>
        </w:rPr>
        <w:t xml:space="preserve">Art. 78. Além da prestação ou tomada de contas anual, quando instituída em lei, ou por fim de gestão, poderá haver, a qualquer tempo, levantamento, prestação ou tomada de contas de todos os responsáveis por bens ou valores públicos. </w:t>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i/>
          <w:iCs/>
          <w:sz w:val="24"/>
          <w:szCs w:val="24"/>
          <w:lang w:eastAsia="en-US"/>
        </w:rPr>
        <w:t xml:space="preserve">Art. 80. Compete aos serviços de contabilidade ou órgãos equivalentes verificar a exata observância dos limites das cotas trimestrais atribuídas a cada unidade orçamentária, dentro do sistema que for instituído para esse fim. </w:t>
      </w:r>
    </w:p>
    <w:p>
      <w:pPr>
        <w:pStyle w:val="NormalWeb"/>
        <w:bidi w:val="0"/>
        <w:spacing w:lineRule="auto" w:line="360" w:before="280" w:after="280"/>
        <w:contextualSpacing/>
        <w:mirrorIndents/>
        <w:jc w:val="both"/>
        <w:rPr>
          <w:rFonts w:ascii="Times New Roman" w:hAnsi="Times New Roman" w:eastAsia="Calibri" w:cs="Calibri" w:cstheme="minorHAnsi" w:eastAsiaTheme="minorHAnsi"/>
          <w:sz w:val="24"/>
          <w:szCs w:val="24"/>
          <w:lang w:eastAsia="en-US"/>
        </w:rPr>
      </w:pPr>
      <w:r>
        <w:rPr>
          <w:rFonts w:eastAsia="Calibri" w:cs="Calibri" w:cstheme="minorHAnsi" w:eastAsiaTheme="minorHAnsi" w:ascii="Times New Roman" w:hAnsi="Times New Roman"/>
          <w:sz w:val="24"/>
          <w:szCs w:val="24"/>
          <w:lang w:eastAsia="en-US"/>
        </w:rPr>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b/>
          <w:bCs/>
          <w:color w:val="C00000"/>
          <w:sz w:val="24"/>
          <w:szCs w:val="24"/>
          <w:lang w:eastAsia="en-US"/>
        </w:rPr>
        <w:t xml:space="preserve">CONTROLE NA CF/88 </w:t>
      </w:r>
    </w:p>
    <w:p>
      <w:pPr>
        <w:pStyle w:val="NormalWeb"/>
        <w:bidi w:val="0"/>
        <w:spacing w:lineRule="auto" w:line="360" w:before="280" w:after="280"/>
        <w:contextualSpacing/>
        <w:mirrorIndents/>
        <w:jc w:val="both"/>
        <w:rPr>
          <w:rFonts w:ascii="Times New Roman" w:hAnsi="Times New Roman"/>
          <w:sz w:val="24"/>
          <w:szCs w:val="24"/>
        </w:rPr>
      </w:pPr>
      <w:r>
        <w:rPr>
          <w:rFonts w:eastAsia="Calibri" w:cs="Calibri" w:ascii="Times New Roman" w:hAnsi="Times New Roman" w:cstheme="minorHAnsi" w:eastAsiaTheme="minorHAnsi"/>
          <w:b/>
          <w:bCs/>
          <w:sz w:val="24"/>
          <w:szCs w:val="24"/>
          <w:u w:val="single"/>
          <w:lang w:eastAsia="en-US"/>
        </w:rPr>
        <w:t xml:space="preserve">Controle Interno </w:t>
      </w:r>
    </w:p>
    <w:p>
      <w:pPr>
        <w:pStyle w:val="NormalWeb"/>
        <w:bidi w:val="0"/>
        <w:spacing w:lineRule="auto" w:line="360" w:before="280" w:after="280"/>
        <w:contextualSpacing/>
        <w:mirrorIndents/>
        <w:jc w:val="both"/>
        <w:rPr>
          <w:rFonts w:ascii="Times New Roman" w:hAnsi="Times New Roman"/>
          <w:sz w:val="24"/>
          <w:szCs w:val="24"/>
        </w:rPr>
      </w:pPr>
      <w:r>
        <w:rPr>
          <w:rFonts w:eastAsia="Calibri" w:cs="Segoe UI Symbol" w:ascii="Times New Roman" w:hAnsi="Times New Roman" w:eastAsiaTheme="minorHAnsi"/>
          <w:sz w:val="24"/>
          <w:szCs w:val="24"/>
          <w:lang w:eastAsia="en-US"/>
        </w:rPr>
        <w:t xml:space="preserve">- </w:t>
      </w:r>
      <w:r>
        <w:rPr>
          <w:rFonts w:eastAsia="Calibri" w:cs="Calibri" w:ascii="Times New Roman" w:hAnsi="Times New Roman" w:cstheme="minorHAnsi" w:eastAsiaTheme="minorHAnsi"/>
          <w:sz w:val="24"/>
          <w:szCs w:val="24"/>
          <w:lang w:eastAsia="en-US"/>
        </w:rPr>
        <w:t>avaliar o cumprimento das metas previstas no plano plurianual, a execução dos programas de governo e dos orçamentos da União;</w:t>
      </w:r>
    </w:p>
    <w:p>
      <w:pPr>
        <w:pStyle w:val="NormalWeb"/>
        <w:bidi w:val="0"/>
        <w:spacing w:lineRule="auto" w:line="360" w:before="280" w:after="280"/>
        <w:contextualSpacing/>
        <w:mirrorIndents/>
        <w:jc w:val="both"/>
        <w:rPr>
          <w:rFonts w:ascii="Times New Roman" w:hAnsi="Times New Roman"/>
          <w:sz w:val="24"/>
          <w:szCs w:val="24"/>
        </w:rPr>
      </w:pPr>
      <w:r>
        <w:rPr>
          <w:rFonts w:eastAsia="Calibri" w:cs="Segoe UI Symbol" w:ascii="Times New Roman" w:hAnsi="Times New Roman" w:eastAsiaTheme="minorHAnsi"/>
          <w:sz w:val="24"/>
          <w:szCs w:val="24"/>
          <w:lang w:eastAsia="en-US"/>
        </w:rPr>
        <w:t>-</w:t>
      </w:r>
      <w:r>
        <w:rPr>
          <w:rFonts w:eastAsia="Calibri" w:cs="Calibri" w:ascii="Times New Roman" w:hAnsi="Times New Roman" w:cstheme="minorHAnsi" w:eastAsiaTheme="minorHAnsi"/>
          <w:sz w:val="24"/>
          <w:szCs w:val="24"/>
          <w:lang w:eastAsia="en-US"/>
        </w:rPr>
        <w:t xml:space="preserve"> comprovar a legalidade e avaliar os resultados, quanto à eficácia e eficiência, da gestão orçamentária, financeira e patrimonial nos órgãos e entidades da administração federal, bem como da aplicação de recursos públicos por entidades de direito privado; </w:t>
      </w:r>
    </w:p>
    <w:p>
      <w:pPr>
        <w:pStyle w:val="NormalWeb"/>
        <w:bidi w:val="0"/>
        <w:spacing w:lineRule="auto" w:line="360" w:before="280" w:after="280"/>
        <w:contextualSpacing/>
        <w:mirrorIndents/>
        <w:jc w:val="both"/>
        <w:rPr>
          <w:rFonts w:ascii="Times New Roman" w:hAnsi="Times New Roman"/>
          <w:sz w:val="24"/>
          <w:szCs w:val="24"/>
        </w:rPr>
      </w:pPr>
      <w:r>
        <w:rPr>
          <w:rFonts w:eastAsia="Calibri" w:cs="Segoe UI Symbol" w:ascii="Times New Roman" w:hAnsi="Times New Roman" w:eastAsiaTheme="minorHAnsi"/>
          <w:sz w:val="24"/>
          <w:szCs w:val="24"/>
          <w:lang w:eastAsia="en-US"/>
        </w:rPr>
        <w:t>-</w:t>
      </w:r>
      <w:r>
        <w:rPr>
          <w:rFonts w:eastAsia="Calibri" w:cs="Calibri" w:ascii="Times New Roman" w:hAnsi="Times New Roman" w:cstheme="minorHAnsi" w:eastAsiaTheme="minorHAnsi"/>
          <w:sz w:val="24"/>
          <w:szCs w:val="24"/>
          <w:lang w:eastAsia="en-US"/>
        </w:rPr>
        <w:t xml:space="preserve"> exercer o controle das operações de crédito, avais e garantias, bem como dos direitos e haveres da União; </w:t>
      </w:r>
    </w:p>
    <w:p>
      <w:pPr>
        <w:pStyle w:val="NormalWeb"/>
        <w:bidi w:val="0"/>
        <w:spacing w:lineRule="auto" w:line="360" w:before="280" w:after="280"/>
        <w:contextualSpacing/>
        <w:mirrorIndents/>
        <w:jc w:val="both"/>
        <w:rPr>
          <w:rFonts w:ascii="Times New Roman" w:hAnsi="Times New Roman"/>
          <w:sz w:val="24"/>
          <w:szCs w:val="24"/>
        </w:rPr>
      </w:pPr>
      <w:r>
        <w:rPr>
          <w:rFonts w:eastAsia="Calibri" w:cs="Segoe UI Symbol" w:ascii="Times New Roman" w:hAnsi="Times New Roman" w:eastAsiaTheme="minorHAnsi"/>
          <w:sz w:val="24"/>
          <w:szCs w:val="24"/>
          <w:lang w:eastAsia="en-US"/>
        </w:rPr>
        <w:t xml:space="preserve">- </w:t>
      </w:r>
      <w:r>
        <w:rPr>
          <w:rFonts w:eastAsia="Calibri" w:cs="Calibri" w:ascii="Times New Roman" w:hAnsi="Times New Roman" w:cstheme="minorHAnsi" w:eastAsiaTheme="minorHAnsi"/>
          <w:sz w:val="24"/>
          <w:szCs w:val="24"/>
          <w:lang w:eastAsia="en-US"/>
        </w:rPr>
        <w:t xml:space="preserve">apoiar o controle externo no exercício de sua missão institucional. </w:t>
      </w:r>
    </w:p>
    <w:p>
      <w:pPr>
        <w:pStyle w:val="Normal"/>
        <w:bidi w:val="0"/>
        <w:spacing w:lineRule="auto" w:line="360" w:before="0" w:after="0"/>
        <w:contextualSpacing/>
        <w:mirrorIndents/>
        <w:jc w:val="both"/>
        <w:rPr>
          <w:rFonts w:ascii="Times New Roman" w:hAnsi="Times New Roman"/>
          <w:sz w:val="24"/>
          <w:szCs w:val="24"/>
        </w:rPr>
      </w:pPr>
      <w:r>
        <w:rPr>
          <w:rFonts w:ascii="Times New Roman" w:hAnsi="Times New Roman"/>
          <w:sz w:val="24"/>
          <w:szCs w:val="24"/>
        </w:rPr>
        <w:drawing>
          <wp:inline distT="0" distB="0" distL="0" distR="0">
            <wp:extent cx="3328670" cy="1781175"/>
            <wp:effectExtent l="0" t="0" r="0" b="0"/>
            <wp:docPr id="4" name="Imagem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5" descr="" title=""/>
                    <pic:cNvPicPr>
                      <a:picLocks noChangeAspect="1" noChangeArrowheads="1"/>
                    </pic:cNvPicPr>
                  </pic:nvPicPr>
                  <pic:blipFill>
                    <a:blip r:embed="rId9"/>
                    <a:srcRect l="967" t="1438" r="0" b="0"/>
                    <a:stretch>
                      <a:fillRect/>
                    </a:stretch>
                  </pic:blipFill>
                  <pic:spPr bwMode="auto">
                    <a:xfrm>
                      <a:off x="0" y="0"/>
                      <a:ext cx="3328670" cy="1781175"/>
                    </a:xfrm>
                    <a:prstGeom prst="rect">
                      <a:avLst/>
                    </a:prstGeom>
                  </pic:spPr>
                </pic:pic>
              </a:graphicData>
            </a:graphic>
          </wp:inline>
        </w:drawing>
      </w:r>
    </w:p>
    <w:p>
      <w:pPr>
        <w:pStyle w:val="Corpodotexto"/>
        <w:bidi w:val="0"/>
        <w:spacing w:lineRule="auto" w:line="360" w:before="240" w:after="24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4.7. Síntese Analítica e Conclusão</w:t>
      </w:r>
    </w:p>
    <w:p>
      <w:pPr>
        <w:pStyle w:val="Corpodotexto"/>
        <w:bidi w:val="0"/>
        <w:spacing w:lineRule="auto" w:line="360" w:before="40" w:after="0"/>
        <w:ind w:start="140" w:end="14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fusão de municípios configura-se como um instrumento estratégico e constitucionalmente amparado para enfrentar os desafios da fragmentação territorial brasileira. Se por um lado o "boom" emancipacionista pós-1988 ampliou a rede de serviços públicos, por outro, deixou um legado de unidades administrativas com limitada sustentabilidade fiscal.</w:t>
      </w:r>
    </w:p>
    <w:p>
      <w:pPr>
        <w:pStyle w:val="Corpodotexto"/>
        <w:bidi w:val="0"/>
        <w:spacing w:lineRule="auto" w:line="360"/>
        <w:jc w:val="start"/>
        <w:rPr>
          <w:rFonts w:ascii="Times New Roman" w:hAnsi="Times New Roman"/>
          <w:sz w:val="24"/>
          <w:szCs w:val="24"/>
        </w:rPr>
      </w:pPr>
      <w:r>
        <w:rPr>
          <w:rFonts w:ascii="Times New Roman" w:hAnsi="Times New Roman"/>
          <w:sz w:val="24"/>
          <w:szCs w:val="24"/>
        </w:rPr>
      </w:r>
    </w:p>
    <w:p>
      <w:pPr>
        <w:pStyle w:val="Corpodotexto"/>
        <w:bidi w:val="0"/>
        <w:spacing w:lineRule="auto" w:line="360" w:before="0" w:after="0"/>
        <w:ind w:start="140" w:end="14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reorganização do território através da fusão de municípios de pequeno porte pode promover uma aplicação mais eficiente dos recursos públicos e fortalecer a governança local. Conclui-se que, desde que o processo seja ancorado em critérios técnicos rigorosos e validado pela participação democrática da população, ele representa um caminho viável para transformar administrações precárias em estruturas eficientes, aptas a responder com excelência às demandas da sociedade moderna.</w:t>
      </w:r>
    </w:p>
    <w:p>
      <w:pPr>
        <w:pStyle w:val="Corpodotexto"/>
        <w:bidi w:val="0"/>
        <w:spacing w:lineRule="auto" w:line="360"/>
        <w:jc w:val="start"/>
        <w:rPr>
          <w:rFonts w:ascii="Times New Roman" w:hAnsi="Times New Roman"/>
          <w:sz w:val="24"/>
          <w:szCs w:val="24"/>
        </w:rPr>
      </w:pPr>
      <w:r>
        <w:rPr>
          <w:rFonts w:ascii="Times New Roman" w:hAnsi="Times New Roman"/>
          <w:sz w:val="24"/>
          <w:szCs w:val="24"/>
        </w:rPr>
      </w:r>
    </w:p>
    <w:p>
      <w:pPr>
        <w:pStyle w:val="Corpodotexto"/>
        <w:bidi w:val="0"/>
        <w:spacing w:lineRule="auto" w:line="360"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5. Proposta de Política Pública e Reorganização Territorial e Consórcios de Gestão de Risco Climático no Brasil para Redução de Municípios</w:t>
      </w:r>
    </w:p>
    <w:p>
      <w:pPr>
        <w:pStyle w:val="Corpodotexto"/>
        <w:bidi w:val="0"/>
        <w:spacing w:lineRule="auto" w:line="360"/>
        <w:jc w:val="start"/>
        <w:rPr>
          <w:rFonts w:ascii="Times New Roman" w:hAnsi="Times New Roman"/>
          <w:sz w:val="24"/>
          <w:szCs w:val="24"/>
        </w:rPr>
      </w:pPr>
      <w:r>
        <w:rPr>
          <w:rFonts w:ascii="Times New Roman" w:hAnsi="Times New Roman"/>
          <w:sz w:val="24"/>
          <w:szCs w:val="24"/>
        </w:rPr>
      </w:r>
    </w:p>
    <w:p>
      <w:pPr>
        <w:pStyle w:val="Corpodotexto"/>
        <w:bidi w:val="0"/>
        <w:spacing w:lineRule="auto" w:line="360" w:before="0" w:after="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5.1 Contexto</w:t>
      </w:r>
    </w:p>
    <w:p>
      <w:pPr>
        <w:pStyle w:val="Corpodotexto"/>
        <w:bidi w:val="0"/>
        <w:spacing w:lineRule="auto" w:line="360"/>
        <w:jc w:val="start"/>
        <w:rPr>
          <w:rFonts w:ascii="Times New Roman" w:hAnsi="Times New Roman"/>
          <w:sz w:val="24"/>
          <w:szCs w:val="24"/>
        </w:rPr>
      </w:pPr>
      <w:r>
        <w:rPr>
          <w:rFonts w:ascii="Times New Roman" w:hAnsi="Times New Roman"/>
          <w:sz w:val="24"/>
          <w:szCs w:val="24"/>
        </w:rPr>
      </w:r>
    </w:p>
    <w:p>
      <w:pPr>
        <w:pStyle w:val="Corpodotexto"/>
        <w:bidi w:val="0"/>
        <w:spacing w:lineRule="auto" w:line="360"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Diversos municípios brasileiros apresentam elevada vulnerabilidade climática, especialmente a eventos hidrometeorológicos extremos como enchentes, deslizamentos e secas prolongadas. Em muitos casos, municípios pequenos não possuem capacidade financeira, técnica ou institucional suficiente para manter infraestrutura robusta de prevenção, monitoramento e resposta a desastres.</w:t>
      </w:r>
    </w:p>
    <w:p>
      <w:pPr>
        <w:pStyle w:val="Corpodotexto"/>
        <w:bidi w:val="0"/>
        <w:spacing w:lineRule="auto" w:line="360"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fragmentação administrativa também dificulta a gestão eficiente de recursos hídricos, pois rios, bacias hidrográficas e sistemas de drenagem frequentemente atravessam múltiplos municípios com diferentes prioridades políticas e administrativas.</w:t>
      </w:r>
    </w:p>
    <w:p>
      <w:pPr>
        <w:pStyle w:val="Corpodotexto"/>
        <w:bidi w:val="0"/>
        <w:spacing w:lineRule="auto" w:line="360"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Diante desse cenário, propõe-se uma reorganização territorial e institucional baseada em dois pilares principais: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8"/>
        </w:numPr>
        <w:pBdr/>
        <w:tabs>
          <w:tab w:val="clear" w:pos="709"/>
          <w:tab w:val="left" w:pos="707" w:leader="none"/>
        </w:tabs>
        <w:bidi w:val="0"/>
        <w:spacing w:lineRule="auto" w:line="429" w:before="0" w:after="0"/>
        <w:ind w:start="707" w:hanging="283"/>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Reorganização territorial baseada em bacias hidrográficas. </w:t>
      </w:r>
    </w:p>
    <w:p>
      <w:pPr>
        <w:pStyle w:val="Corpodotexto"/>
        <w:numPr>
          <w:ilvl w:val="0"/>
          <w:numId w:val="8"/>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Criação de consórcios regionais de gestão de risco climático.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a.Pilar 1 — Reorganização Territorial por Bacias Hidrográficas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ind w:start="720" w:end="0" w:hanging="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a.1. Princípio Geral</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As fronteiras administrativas de muitos municípios não refletem a lógica natural do sistema hidrológico. Enchentes, secas e gestão de reservatórios são fenômenos que ocorrem em escala de bacia hidrográfica.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Portanto, a reorganização territorial poderia priorizar unidades administrativas alinhadas com bacias hidrográficas ou sub-bacias relevantes.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a.2. Objetivos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Melhorar a gestão integrada de recursos hídricos;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Permitir planejamento unificado de drenagem urbana e controle de enchentes;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Otimizar o gerenciamento de reservatórios, barragens e sistemas de retenção.;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Coordenar políticas de distribuição de água em períodos de escassez;</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Reduzir conflitos entre municípios localizados a montante e jusante.</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a.3. Estrutura Administrativa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Cada unidade territorial reorganizada poderia possuir:</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Secretaria regional de gestão hídrica;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Centro de monitoramento hidrometeorológico;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Autoridade única de gestão de reservatórios;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Plano integrado de drenagem urbana;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Banco de dados hidrológicos regional.</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a.4. Vantagens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  Coordenação hidrológica natural;</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  Planejamento de longo prazo mais consistente;</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  Redução de disputas intermunicipais sobre água;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  Resposta mais rápida a eventos extremos.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b. Pilar 2 — Consórcios Regionais de Gestão de Riscos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b.1 Problema Atual</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Muitos municípios pequenos possuem:</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Defesa civil pouco estruturada;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Baixa capacidade de monitoramento meteorológico;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Falta de equipamentos especializados;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Dependência de resposta estadual ou federal.</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Isso gera atrasos críticos durante eventos extremos.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b.2 Solução Proposta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Criação de consórcios intermunicipais de gestão de risco climático permitindo que várias cidades compartilhem:</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infraestrutura técnica;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centros de comando;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equipes especializadas;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equipamentos de resposta rápida.</w:t>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b.3 Estrutura dos Consórcios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Cada consórcio poderia incluir:</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i w:val="false"/>
          <w:caps w:val="false"/>
          <w:smallCaps w:val="false"/>
          <w:strike w:val="false"/>
          <w:dstrike w:val="false"/>
          <w:color w:val="000000"/>
          <w:sz w:val="24"/>
          <w:szCs w:val="24"/>
          <w:u w:val="none"/>
          <w:effect w:val="none"/>
        </w:rPr>
      </w:pPr>
      <w:r>
        <w:rPr>
          <w:rFonts w:ascii="Times New Roman" w:hAnsi="Times New Roman"/>
          <w:b/>
          <w:i w:val="false"/>
          <w:caps w:val="false"/>
          <w:smallCaps w:val="false"/>
          <w:strike w:val="false"/>
          <w:dstrike w:val="false"/>
          <w:color w:val="000000"/>
          <w:sz w:val="24"/>
          <w:szCs w:val="24"/>
          <w:u w:val="none"/>
          <w:effect w:val="none"/>
        </w:rPr>
        <w:t>Centro Regional de Comando e Monitoramento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Funções principais: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monitoramento meteorológico;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monitoramento hidrológico;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análise de risco;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coordenação de evacuações;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comunicação com população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Modelo institucional semelhante ao sistema do CEMADEN, porém regionalizado.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i w:val="false"/>
          <w:caps w:val="false"/>
          <w:smallCaps w:val="false"/>
          <w:strike w:val="false"/>
          <w:dstrike w:val="false"/>
          <w:color w:val="000000"/>
          <w:sz w:val="24"/>
          <w:szCs w:val="24"/>
          <w:u w:val="none"/>
          <w:effect w:val="none"/>
        </w:rPr>
      </w:pPr>
      <w:r>
        <w:rPr>
          <w:rFonts w:ascii="Times New Roman" w:hAnsi="Times New Roman"/>
          <w:b/>
          <w:i w:val="false"/>
          <w:caps w:val="false"/>
          <w:smallCaps w:val="false"/>
          <w:strike w:val="false"/>
          <w:dstrike w:val="false"/>
          <w:color w:val="000000"/>
          <w:sz w:val="24"/>
          <w:szCs w:val="24"/>
          <w:u w:val="none"/>
          <w:effect w:val="none"/>
        </w:rPr>
        <w:t>Infraestrutura Técnica Compartilhada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radares meteorológicos regionais;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redes de pluviômetros automáticos;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sensores de nível de rios;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estações meteorológicas;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sistemas de alerta por SMS e aplicativos,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Equipes Especializadas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engenheiros hidrólogos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meteorologistas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analistas de risco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especialistas em geotecnia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equipes de resposta a desastres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b.4. Equipamentos Compartilhados: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veículos de resgate;</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barcos para enchentes;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drones para mapeamento;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equipamentos de busca e salvamento;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unidades móveis de comunicação.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b.5. Centros Regionais de Defesa Civil</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Os consórcios poderiam operar centros regionais de defesa civil, responsáveis por:</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coordenação intermunicipal;</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logística de emergência;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treinamento de equipes locais;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planejamento de evacuação.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5.2 Integração com Sistemas Nacionais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estrutura proposta poderia integrar-se a instituições existentes: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CEMADEN (Centro Nacional de Monitoramento e Alertas de Desastres</w:t>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Naturais);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INMET;</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ANA (Agência Nacional de Águas);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Defesa Civil Nacional.</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Os centros regionais funcionariam como nós intermediários entre o nível federal e os municípios.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5.3 Impactos Esperados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9"/>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Redução de Riscos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maior capacidade de previsão;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alertas antecipados mais confiáveis;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respostas mais rápidas.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10"/>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Eficiência Econômica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Municípios pequenos poderiam acessar infraestrutura que seriam inviáveis individualmente.</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11"/>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Planejamento Climático de Longo Prazo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estrutura permitiria: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planejamento de adaptação climática</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construção coordenada de reservatórios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   gestão regional de secas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5.4. Possíveis Etapas de Implementação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1.  Identificação de regiões prioritárias com alto risco climático;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2.  Mapeamento de bacias hidrográficas e municípios envolvidos;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3.  Criação de legislação federal ou estadual permitindo fusões administrativas e consórcios ampliados;</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4.  Implantação de centros regionais piloto;</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5.  Expansão gradual para outras regiões do país.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5.5. Conclusão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adaptação às mudanças climáticas exigirá maior capacidade institucional de planejamento e resposta. A reorganização territorial baseada em bacias hidrográficas, combinada com consórcios regionais de gestão de risco, pode aumentar significativamente a eficiência do sistema brasileiro de prevenção e resposta a desastres naturais.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7. Plano de Integração e Propostas Para Fusão e Extinção de Municípios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7.1. Agricultura e a Questão Municipal: Favelização ou Integração?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dinâmica territorial e econômica de municípios como Luís Eduardo Magalhães (LEM) e das favelas presentes em grandes centros urbanos e das cidades da Serra Gaúcha revela como o tipo de desenvolvimento econômico molda, de maneiras muito distintas, a organização social, a urbanização e a complexidade produtiva de cada região.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LEM é um exemplo clássico de uma cidade que cresceu impulsionada quase exclusivamente pelo agronegócio de larga escala, baseado principalmente em culturas anuais como soja, milho e algodão. Trata-se de um modelo altamente tecnificado, com grande produtividade e forte presença de investimentos externos. No entanto, esse tipo de agro gera riqueza concentrada e pouca diversificação local. A cadeia produtiva é curta: planta-se, colhe-se, armazena-se e exporta-se. O processamento de maior valor agregado, como esmagamento, refino e fabricação de derivados, muitas vezes ocorre fora do município ou do próprio estado, o que reduz a capacidade de criar empregos industriais, serviços especializados e redes empresariais diversificadas.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Essa concentração econômica se reflete em uma dinâmica urbana acelerada e pouco planejada. O boom do agronegócio atraiu milhares de migrantes, mas a infraestrutura pública, como saneamento, moradia, mobilidade e escolas, não acompanhou o ritmo de crescimento.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 resultado é o surgimento de bairros periféricos com características semelhantes às favelas, fruto de um processo recente de expansão urbana desordenada e desigual. Não se trata exatamente do mesmo padrão observado nas favelas das grandes metrópoles, mas de uma periferização marcada por déficit de serviços básicos e por elevados níveis de informalidade.</w:t>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Serra Gaúcha, por sua vez, segue um caminho quase oposto ao de LEM. Cidades como Bento Gonçalves, Caxias do Sul e Gramado formaram-se a partir de uma cultura cooperativa e comunitária trazida pela imigração europeia, associada a uma economia diversificada e complexa. A região não depende de um único setor produtivo. Há indústria metalmecânica, produção de móveis, turismo, serviços, fruticultura, vitivinicultura e produção leiteira.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Esses setores, ao contrário das commodities agrícolas, geram cadeias produtivas mais longas e densas, que envolvem pequenas e médias empresas, cooperativas, agroindústrias, logística sofisticada, mão de obra intensiva e uma ampla rede de serviços especializados.</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 papel do tipo de agricultura é crucial nesse contraste. Culturas anuais de commodities, como soja e milho, dependem fortemente de máquinas, exigem pouca mão de obra e produzem bens homogêneos destinados a mercados globais. Isso significa que grande parte do valor é capturada fora do território produtor, deixando pouco espaço para encadeamentos produtivos locais. Por essa razão, essas regiões, embora ricas em termos de produção, tendem a apresentar economias menos diversificadas e mais suscetíveis à concentração de renda.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Já atividades como fruticultura e produção de leite criam cadeias de valor mais complexas. Uma maçã ou uma uva podem gerar suco, vinho, geleia, vinagre, embalagens, logística refrigerada, turismo rural, pequenos empreendimentos familiares e cooperativas. O leite impulsiona laticínios, queijos artesanais, sorvetes, laboratórios, assistência técnica e transporte especializado. A produção se desdobra em diversos elos econômicos, gerando empregos qualificados, microempresas, inovação e maior distribuição de renda.</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relação entre tipo de produção agrícola e organização social também pode ser observada em outros territórios. No Brasil, o crescimento de cidades do arco da soja, como Sinop, apresenta dinâmicas semelhantes às observadas em Luís Eduardo Magalhães. Impulsionada pela expansão de commodities como soja e milho, a região experimentou rápido crescimento econômico e forte migração, mas com baixa diversificação produtiva local. Parte significativa do valor gerado na produção é capturada fora do território, o que contribui para a formação de periferias urbanas com infraestrutura limitada. Processo semelhante ocorre em áreas agrícolas da Bolívia, especialmente em regiões de expansão da soja no leste do país, onde grandes propriedades mecanizadas convivem com bolsões urbanos precários formados por trabalhadores migrantes e populações de baixa renda. Em contraste, regiões onde predominam cadeias agroindustriais mais complexas tendem a apresentar desenvolvimento territorial mais equilibrado. A Nova Zelândia, por exemplo, estruturou sua economia rural a partir de cadeias longas ligadas ao leite, carne e horticultura, integrando cooperativas, processamento industrial, exportação de produtos de alto valor agregado e serviços especializados. No Brasil, algo semelhante ocorre no Sul de Minas, onde a cafeicultura, associada a torrefação, cooperativas, certificações, pesquisa e comércio especializado, gera uma rede econômica densa que distribui melhor a renda, fortalece pequenas e médias propriedades e contribui para uma urbanização mais estável e menos marcada por processos de favelização.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Esse tipo de agro tende a estruturar uma sociedade mais integrada e urbana, com menor propensão à formação de áreas precárias de habitação. Assim, o que diferencia LEM e a Serra Gaúcha não é apenas a geografia, a cultura ou a história local, mas principalmente o modelo de desenvolvimento econômico adotado.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Onde predominam cadeias produtivas curtas e forte concentração setorial, o crescimento urbano tende a ser desigual e fragmentado. Onde há diversidade produtiva e cadeias econômicas complexas, a urbanização costuma ser mais equilibrada, a classe média mais ampla e a coesão social mais forte.</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 agricultura, nesse sentido, pode funcionar tanto como vetor de inclusão quanto de concentração econômica, dependendo de sua estrutura produtiva. Essa escolha acaba se refletindo diretamente na forma como as cidades se organizam, crescem e se transformam ao longo do tempo.</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7.2. Proposta de Redução de Municípios em Critérios de Infraestrutura</w:t>
      </w:r>
    </w:p>
    <w:p>
      <w:pPr>
        <w:pStyle w:val="Corpodotexto"/>
        <w:bidi w:val="0"/>
        <w:jc w:val="start"/>
        <w:rPr>
          <w:rFonts w:ascii="Times New Roman" w:hAnsi="Times New Roman"/>
          <w:b w:val="false"/>
          <w:sz w:val="24"/>
          <w:szCs w:val="24"/>
        </w:rPr>
      </w:pPr>
      <w:r>
        <w:rPr>
          <w:rFonts w:ascii="Times New Roman" w:hAnsi="Times New Roman"/>
          <w:b w:val="false"/>
          <w:sz w:val="24"/>
          <w:szCs w:val="24"/>
        </w:rPr>
        <w:br/>
      </w:r>
    </w:p>
    <w:p>
      <w:pPr>
        <w:pStyle w:val="Corpodotexto"/>
        <w:bidi w:val="0"/>
        <w:spacing w:lineRule="auto" w:line="429" w:before="0" w:after="0"/>
        <w:jc w:val="both"/>
        <w:rPr>
          <w:rFonts w:ascii="Times New Roman" w:hAnsi="Times New Roman"/>
          <w:caps w:val="false"/>
          <w:smallCaps w:val="false"/>
          <w:strike w:val="false"/>
          <w:dstrike w:val="false"/>
          <w:color w:val="000000"/>
          <w:sz w:val="24"/>
          <w:szCs w:val="24"/>
          <w:u w:val="none"/>
          <w:effect w:val="none"/>
        </w:rPr>
      </w:pPr>
      <w:r>
        <w:rPr>
          <w:rFonts w:ascii="Times New Roman" w:hAnsi="Times New Roman"/>
          <w:caps w:val="false"/>
          <w:smallCaps w:val="false"/>
          <w:strike w:val="false"/>
          <w:dstrike w:val="false"/>
          <w:color w:val="000000"/>
          <w:sz w:val="24"/>
          <w:szCs w:val="24"/>
          <w:u w:val="none"/>
          <w:effect w:val="none"/>
        </w:rPr>
        <w:t>            </w:t>
      </w:r>
      <w:r>
        <w:rPr>
          <w:rFonts w:ascii="Times New Roman" w:hAnsi="Times New Roman"/>
          <w:b w:val="false"/>
          <w:i w:val="false"/>
          <w:caps w:val="false"/>
          <w:smallCaps w:val="false"/>
          <w:strike w:val="false"/>
          <w:dstrike w:val="false"/>
          <w:color w:val="000000"/>
          <w:sz w:val="24"/>
          <w:szCs w:val="24"/>
          <w:u w:val="none"/>
          <w:effect w:val="none"/>
        </w:rPr>
        <w:t>7.3. Proposta de Redução de Municípios em Critérios Orçamentários e Institucionais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Agrupamento dos municípios, através de um estudo sistemático, em territórios de identidade para fins de cálculo de redução de municípios de forma preliminar;</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Elaboração de modelos econométricos com diversas metodologias distintas, tais quais clusterização e econometria espacial, para fins de cálculo que servirão de base para uma análise sistemática de extinção dos municípios;</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Apresentação de Emendas Constitucionais e de Atos de Disposições Constitucionais Transitórias que garantam parâmetros para a fusão e a extinção de municípios com base em critérios populacionais e de sustentabilidade;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Criação de um fundo de emergência transitório, que servirá de base para absorver eventuais distorções ocasionadas pela redução de municípios, principalmente decorrentes de litígios que envolvam judicialização recorrente futura;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Derrogação da Lei Complementar 001/1967 com o estabelecimento de novas diretrizes para a criação de municípios, principalmente no que diz respeito à elaboração de propostas para a criação de cidades com um tamanho ótimo (30 mil pessoas) que aglutinem também as antigas, conforme estabelecidos pelos estudos de Leite (2014);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Apresentação de um Projeto de Lei semelhante ao PLC 98/2002, que versa sobre fusão e extinção de municípios;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Estabelecimento de um plano de crescimento econômico sistematizado que respeite as especificidades locais por meio de um intenso escrutínio de cada região a ser analisada;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Extensão da formulação de políticas públicas tendo como parâmetros os critérios de repartição tributária e de desempenho na gestão;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Criação de um plano de integração entre os setores primário (agricultura), secundário (indústria), terciário (serviços) e quaternário (alta tecnologia), conforme o exposto nas duas cartilhas que compõem esse trabalho;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Elaboração de um regime de transição para os municípios extintos e fundidos, tendo a vindoura Lei de Responsabilidade Gerencial (LRG) como base para uma melhor gestão das localidades atingidas;</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Estabelecimento de novos parâmetros na Lei de Responsabilidade Fiscal (LRF), que garantam critérios de desempenho municipal para a otimização da gestão fiscal, principalmente referentes à proibição de contratação de shows e de espectáculos por municípios que recebam, de forma direta, até 40% de Transferências Correntes Líquidas, e à obrigatoriedade de critérios de comprovação do investimento em saúde em educação básica, tendo como parâmetro o extinto projeto do “ICMS-Educação”;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Elaboração de uma Lei Complementar de Diretrizes Orçamentárias, que ainda não foi apresentada, a fim de se estabelecer diretrizes gerais para a consecução da melhor gestão orçamentária no âmbito dos entes federativos;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Formulação de um plano eficiente de arrecadação e de repartição de receitas constitucionais com base em experiências internacionais;</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Centralização das decisões no que se refere às políticas sociais e de gestão de políticas públicas no regime de transição da reforma;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Estabelecimento de municípios limítrofes e de amálgamas municipais de até 120 mil pessoas com base em esforço fiscal de arrecadação, conforme os ensinamentos de Dantas Júnior e Diniz (2025), que servirão para absorver as localidades a serem fundidas;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Avaliação sistemática de acordo com as diretrizes da LRG para a concessão de fundos constitucionais, sobretudo os de Participação de Municípios (FPM); </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Estabelecimento de salvaguardas na LRG que permitam a premiação pela excelência no trato com a coisa pública aos gestores públicos que comprovem que a localidade atingiu índices aceitáveis de gestão pública;</w:t>
      </w:r>
    </w:p>
    <w:p>
      <w:pPr>
        <w:pStyle w:val="Corpodotexto"/>
        <w:numPr>
          <w:ilvl w:val="0"/>
          <w:numId w:val="12"/>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Elaboração de um plano arquitetônico e de um projeto de engenharia completos, que garantam a integração total entre as localidades atingidas pelas reformas;  </w:t>
      </w:r>
    </w:p>
    <w:p>
      <w:pPr>
        <w:pStyle w:val="Corpodotexto"/>
        <w:numPr>
          <w:ilvl w:val="0"/>
          <w:numId w:val="13"/>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Integração nacional total entre todos os serviços básicos de cidadania, como Alvará de Antecedentes Criminais, para verificar a idoneidade dos gestores, principalmente no que diz respeito aos crimes de improbidade administrativa; </w:t>
      </w:r>
    </w:p>
    <w:p>
      <w:pPr>
        <w:pStyle w:val="Corpodotexto"/>
        <w:numPr>
          <w:ilvl w:val="0"/>
          <w:numId w:val="13"/>
        </w:numPr>
        <w:pBdr/>
        <w:tabs>
          <w:tab w:val="clear" w:pos="709"/>
          <w:tab w:val="left" w:pos="707" w:leader="none"/>
        </w:tabs>
        <w:bidi w:val="0"/>
        <w:spacing w:lineRule="auto" w:line="429" w:before="0" w:after="0"/>
        <w:ind w:start="707" w:hanging="283"/>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Por fim, avaliação sistemática recorrente que afira a sustentabilidade municipal, com base nos novos índices formulados em um trabalho posterior, no caso um livro de redução de municípios. </w:t>
      </w:r>
    </w:p>
    <w:p>
      <w:pPr>
        <w:pStyle w:val="Corpodotexto"/>
        <w:bidi w:val="0"/>
        <w:jc w:val="start"/>
        <w:rPr>
          <w:rFonts w:ascii="Times New Roman" w:hAnsi="Times New Roman"/>
          <w:sz w:val="24"/>
          <w:szCs w:val="24"/>
        </w:rPr>
      </w:pPr>
      <w:r>
        <w:rPr>
          <w:rFonts w:ascii="Times New Roman" w:hAnsi="Times New Roman"/>
          <w:sz w:val="24"/>
          <w:szCs w:val="24"/>
        </w:rPr>
      </w:r>
    </w:p>
    <w:p>
      <w:pPr>
        <w:pStyle w:val="Corpodotexto"/>
        <w:bidi w:val="0"/>
        <w:spacing w:lineRule="auto" w:line="429" w:before="0" w:after="0"/>
        <w:jc w:val="both"/>
        <w:rPr>
          <w:rFonts w:ascii="Times New Roman" w:hAnsi="Times New Roman"/>
          <w:b w:val="false"/>
          <w:i w:val="false"/>
          <w:caps w:val="false"/>
          <w:smallCaps w:val="false"/>
          <w:strike w:val="false"/>
          <w:dstrike w:val="false"/>
          <w:color w:val="000000"/>
          <w:sz w:val="24"/>
          <w:szCs w:val="24"/>
          <w:u w:val="none"/>
          <w:effect w:val="none"/>
        </w:rPr>
      </w:pPr>
      <w:r>
        <w:rPr>
          <w:rFonts w:ascii="Times New Roman" w:hAnsi="Times New Roman"/>
          <w:b w:val="false"/>
          <w:i w:val="false"/>
          <w:caps w:val="false"/>
          <w:smallCaps w:val="false"/>
          <w:strike w:val="false"/>
          <w:dstrike w:val="false"/>
          <w:color w:val="000000"/>
          <w:sz w:val="24"/>
          <w:szCs w:val="24"/>
          <w:u w:val="none"/>
          <w:effect w:val="none"/>
        </w:rPr>
        <w:t>Referências Bibliográficas: </w:t>
      </w:r>
    </w:p>
    <w:p>
      <w:pPr>
        <w:pStyle w:val="Corpodotexto"/>
        <w:bidi w:val="0"/>
        <w:jc w:val="start"/>
        <w:rPr>
          <w:b w:val="false"/>
        </w:rPr>
      </w:pPr>
      <w:r>
        <w:rPr>
          <w:rFonts w:ascii="Times New Roman" w:hAnsi="Times New Roman"/>
          <w:sz w:val="24"/>
          <w:szCs w:val="24"/>
        </w:rPr>
      </w:r>
    </w:p>
    <w:p>
      <w:pPr>
        <w:pStyle w:val="Corpodotexto"/>
        <w:bidi w:val="0"/>
        <w:jc w:val="start"/>
        <w:rPr/>
      </w:pPr>
      <w:r>
        <w:rPr>
          <w:rFonts w:ascii="Times New Roman" w:hAnsi="Times New Roman"/>
          <w:b w:val="false"/>
          <w:sz w:val="24"/>
          <w:szCs w:val="24"/>
        </w:rPr>
        <w:t xml:space="preserve">ABRAHAM, Marcus. Impasse do orçamento impositivo. </w:t>
      </w:r>
      <w:r>
        <w:rPr>
          <w:rStyle w:val="Nfase"/>
          <w:rFonts w:ascii="Times New Roman" w:hAnsi="Times New Roman"/>
          <w:b w:val="false"/>
          <w:sz w:val="24"/>
          <w:szCs w:val="24"/>
        </w:rPr>
        <w:t>JOTA</w:t>
      </w:r>
      <w:r>
        <w:rPr>
          <w:rFonts w:ascii="Times New Roman" w:hAnsi="Times New Roman"/>
          <w:b w:val="false"/>
          <w:sz w:val="24"/>
          <w:szCs w:val="24"/>
        </w:rPr>
        <w:t xml:space="preserve">, 2020. </w:t>
      </w:r>
    </w:p>
    <w:p>
      <w:pPr>
        <w:pStyle w:val="Corpodotexto"/>
        <w:bidi w:val="0"/>
        <w:jc w:val="start"/>
        <w:rPr/>
      </w:pPr>
      <w:r>
        <w:rPr/>
        <w:t xml:space="preserve">ABRUCIO, Fernando Luiz; et al. Políticas públicas e desafios para a gestão local. </w:t>
      </w:r>
      <w:r>
        <w:rPr>
          <w:rStyle w:val="Nfase"/>
        </w:rPr>
        <w:t>GV-Executivo</w:t>
      </w:r>
      <w:r>
        <w:rPr/>
        <w:t xml:space="preserve">, v. 23, n. 3, 2024. </w:t>
      </w:r>
    </w:p>
    <w:p>
      <w:pPr>
        <w:pStyle w:val="Corpodotexto"/>
        <w:bidi w:val="0"/>
        <w:jc w:val="start"/>
        <w:rPr/>
      </w:pPr>
      <w:r>
        <w:rPr/>
        <w:t xml:space="preserve">AFONSO, José Roberto R.; ARAÚJO, Erika Amorim. </w:t>
      </w:r>
      <w:r>
        <w:rPr>
          <w:rStyle w:val="Nfase"/>
        </w:rPr>
        <w:t>Federalismo Fiscal à Brasileira: Algumas Reflexões</w:t>
      </w:r>
      <w:r>
        <w:rPr/>
        <w:t xml:space="preserve">. Rio de Janeiro: BNDES, 2000. </w:t>
      </w:r>
    </w:p>
    <w:p>
      <w:pPr>
        <w:pStyle w:val="Corpodotexto"/>
        <w:bidi w:val="0"/>
        <w:jc w:val="start"/>
        <w:rPr/>
      </w:pPr>
      <w:r>
        <w:rPr/>
        <w:t xml:space="preserve">ARRETCHE, Marta. Federalismo e políticas sociais no Brasil. </w:t>
      </w:r>
      <w:r>
        <w:rPr>
          <w:rStyle w:val="Nfase"/>
        </w:rPr>
        <w:t>São Paulo em Perspectiva</w:t>
      </w:r>
      <w:r>
        <w:rPr/>
        <w:t xml:space="preserve">, v. 10, n. 2, 1996. </w:t>
      </w:r>
    </w:p>
    <w:p>
      <w:pPr>
        <w:pStyle w:val="Corpodotexto"/>
        <w:bidi w:val="0"/>
        <w:jc w:val="start"/>
        <w:rPr/>
      </w:pPr>
      <w:r>
        <w:rPr/>
        <w:t xml:space="preserve">ARRETCHE, Marta. Políticas sociais no Brasil: descentralização em um Estado federativo. </w:t>
      </w:r>
      <w:r>
        <w:rPr>
          <w:rStyle w:val="Nfase"/>
        </w:rPr>
        <w:t>Revista Brasileira de Ciências Sociais</w:t>
      </w:r>
      <w:r>
        <w:rPr/>
        <w:t xml:space="preserve">, v. 14, n. 40, 1999. </w:t>
      </w:r>
    </w:p>
    <w:p>
      <w:pPr>
        <w:pStyle w:val="Corpodotexto"/>
        <w:bidi w:val="0"/>
        <w:jc w:val="start"/>
        <w:rPr/>
      </w:pPr>
      <w:r>
        <w:rPr/>
        <w:t xml:space="preserve">BRASIL. </w:t>
      </w:r>
      <w:r>
        <w:rPr>
          <w:rStyle w:val="Nfase"/>
        </w:rPr>
        <w:t>Constituição da República Federativa do Brasil de 1988</w:t>
      </w:r>
      <w:r>
        <w:rPr/>
        <w:t xml:space="preserve">. Brasília, DF: Presidência da República. </w:t>
      </w:r>
    </w:p>
    <w:p>
      <w:pPr>
        <w:pStyle w:val="Corpodotexto"/>
        <w:bidi w:val="0"/>
        <w:jc w:val="start"/>
        <w:rPr/>
      </w:pPr>
      <w:r>
        <w:rPr/>
        <w:t xml:space="preserve">BRASIL. </w:t>
      </w:r>
      <w:r>
        <w:rPr>
          <w:rStyle w:val="Nfase"/>
        </w:rPr>
        <w:t>Lei Complementar nº 101, de 4 de maio de 2000</w:t>
      </w:r>
      <w:r>
        <w:rPr/>
        <w:t xml:space="preserve"> (LRF). </w:t>
      </w:r>
    </w:p>
    <w:p>
      <w:pPr>
        <w:pStyle w:val="Corpodotexto"/>
        <w:bidi w:val="0"/>
        <w:jc w:val="start"/>
        <w:rPr/>
      </w:pPr>
      <w:r>
        <w:rPr/>
        <w:t xml:space="preserve">BRASIL. </w:t>
      </w:r>
      <w:r>
        <w:rPr>
          <w:rStyle w:val="Nfase"/>
        </w:rPr>
        <w:t>Lei Complementar nº 210, de 21 de novembro de 2024</w:t>
      </w:r>
      <w:r>
        <w:rPr/>
        <w:t xml:space="preserve"> (Rastreabilidade de Emendas). BRASIL. </w:t>
      </w:r>
      <w:r>
        <w:rPr>
          <w:rStyle w:val="Nfase"/>
        </w:rPr>
        <w:t>Lei nº 4.320, de 17 de março de 1964</w:t>
      </w:r>
      <w:r>
        <w:rPr/>
        <w:t xml:space="preserve"> (Direito Financeiro). </w:t>
      </w:r>
    </w:p>
    <w:p>
      <w:pPr>
        <w:pStyle w:val="Corpodotexto"/>
        <w:bidi w:val="0"/>
        <w:jc w:val="start"/>
        <w:rPr/>
      </w:pPr>
      <w:r>
        <w:rPr/>
        <w:t xml:space="preserve">BRASIL. </w:t>
      </w:r>
      <w:r>
        <w:rPr>
          <w:rStyle w:val="Nfase"/>
        </w:rPr>
        <w:t>Lei nº 15.321, de 2025</w:t>
      </w:r>
      <w:r>
        <w:rPr/>
        <w:t xml:space="preserve"> (LDO 2026). </w:t>
      </w:r>
    </w:p>
    <w:p>
      <w:pPr>
        <w:pStyle w:val="Corpodotexto"/>
        <w:bidi w:val="0"/>
        <w:jc w:val="start"/>
        <w:rPr/>
      </w:pPr>
      <w:r>
        <w:rPr/>
        <w:t xml:space="preserve">COSTA, Reinaldo. Território e criação de municípios: o significado teórico-político da compartimentação do espaço. </w:t>
      </w:r>
      <w:r>
        <w:rPr>
          <w:rStyle w:val="Nfase"/>
        </w:rPr>
        <w:t>Ra'e Ga</w:t>
      </w:r>
      <w:r>
        <w:rPr/>
        <w:t xml:space="preserve">, v. 25, 2012. </w:t>
      </w:r>
    </w:p>
    <w:p>
      <w:pPr>
        <w:pStyle w:val="Corpodotexto"/>
        <w:bidi w:val="0"/>
        <w:jc w:val="start"/>
        <w:rPr/>
      </w:pPr>
      <w:r>
        <w:rPr/>
        <w:t>F</w:t>
      </w:r>
      <w:r>
        <w:rPr/>
        <w:t xml:space="preserve">ELTRAN, Gabriel; et al. Variações nas taxas de homicídios no Brasil. </w:t>
      </w:r>
      <w:r>
        <w:rPr>
          <w:rStyle w:val="Nfase"/>
        </w:rPr>
        <w:t>Dilemas</w:t>
      </w:r>
      <w:r>
        <w:rPr/>
        <w:t xml:space="preserve">, v. 15, n. 3, 2022. </w:t>
      </w:r>
    </w:p>
    <w:p>
      <w:pPr>
        <w:pStyle w:val="Corpodotexto"/>
        <w:bidi w:val="0"/>
        <w:jc w:val="start"/>
        <w:rPr/>
      </w:pPr>
      <w:r>
        <w:rPr/>
        <w:t xml:space="preserve">FIORAVANTE, Deisy G.; et al. </w:t>
      </w:r>
      <w:r>
        <w:rPr>
          <w:rStyle w:val="Nfase"/>
        </w:rPr>
        <w:t>Gasto público com pessoal: uma análise dos municípios brasileiros</w:t>
      </w:r>
      <w:r>
        <w:rPr/>
        <w:t xml:space="preserve">. Brasília: IPEA, 2006. </w:t>
      </w:r>
    </w:p>
    <w:p>
      <w:pPr>
        <w:pStyle w:val="Corpodotexto"/>
        <w:bidi w:val="0"/>
        <w:jc w:val="start"/>
        <w:rPr/>
      </w:pPr>
      <w:r>
        <w:rPr/>
        <w:t xml:space="preserve">IBGE. </w:t>
      </w:r>
      <w:r>
        <w:rPr>
          <w:rStyle w:val="Nfase"/>
        </w:rPr>
        <w:t>Painel Regional de Nascimentos e Pais Ausentes na Certidão</w:t>
      </w:r>
      <w:r>
        <w:rPr/>
        <w:t xml:space="preserve">. 2016-2025. </w:t>
      </w:r>
    </w:p>
    <w:p>
      <w:pPr>
        <w:pStyle w:val="Corpodotexto"/>
        <w:bidi w:val="0"/>
        <w:jc w:val="start"/>
        <w:rPr/>
      </w:pPr>
      <w:r>
        <w:rPr/>
        <w:t xml:space="preserve">INGRAM, George; DA COSTA, Sergio. </w:t>
      </w:r>
      <w:r>
        <w:rPr>
          <w:rStyle w:val="Nfase"/>
        </w:rPr>
        <w:t>Violence in Brazil: The Role of Municipalities</w:t>
      </w:r>
      <w:r>
        <w:rPr/>
        <w:t xml:space="preserve">. Brookings Institution, 2019. </w:t>
      </w:r>
    </w:p>
    <w:p>
      <w:pPr>
        <w:pStyle w:val="Corpodotexto"/>
        <w:bidi w:val="0"/>
        <w:jc w:val="start"/>
        <w:rPr/>
      </w:pPr>
      <w:r>
        <w:rPr/>
        <w:t xml:space="preserve">JUNQUEIRA, Caio; ALCARAZ, Guilherme. Arranjos federativos e federalismo fiscal: Uma proposta de fusão municipal no Brasil. </w:t>
      </w:r>
      <w:r>
        <w:rPr>
          <w:rStyle w:val="Nfase"/>
        </w:rPr>
        <w:t>Cadernos Gestão Pública e Cidadania</w:t>
      </w:r>
      <w:r>
        <w:rPr/>
        <w:t xml:space="preserve">, v. 30, 2024. </w:t>
      </w:r>
    </w:p>
    <w:p>
      <w:pPr>
        <w:pStyle w:val="Corpodotexto"/>
        <w:bidi w:val="0"/>
        <w:jc w:val="start"/>
        <w:rPr/>
      </w:pPr>
      <w:r>
        <w:rPr/>
        <w:t xml:space="preserve">MJSP. </w:t>
      </w:r>
      <w:r>
        <w:rPr>
          <w:rStyle w:val="Nfase"/>
        </w:rPr>
        <w:t>Base de Dados e Notas Metodológicas dos Gestores Estaduais 2025</w:t>
      </w:r>
      <w:r>
        <w:rPr/>
        <w:t xml:space="preserve">. Sinesp, 2025. </w:t>
      </w:r>
    </w:p>
    <w:p>
      <w:pPr>
        <w:pStyle w:val="Corpodotexto"/>
        <w:bidi w:val="0"/>
        <w:jc w:val="start"/>
        <w:rPr/>
      </w:pPr>
      <w:r>
        <w:rPr/>
        <w:t xml:space="preserve">MORA, Mônica; VARSANO, Ricardo. Fiscal Federalism in Brazil. </w:t>
      </w:r>
      <w:r>
        <w:rPr>
          <w:rStyle w:val="Nfase"/>
        </w:rPr>
        <w:t>Revista de Direito da Cidade</w:t>
      </w:r>
      <w:r>
        <w:rPr/>
        <w:t xml:space="preserve">, v. 7, n. 4, 2015. </w:t>
      </w:r>
    </w:p>
    <w:p>
      <w:pPr>
        <w:pStyle w:val="Corpodotexto"/>
        <w:bidi w:val="0"/>
        <w:jc w:val="start"/>
        <w:rPr/>
      </w:pPr>
      <w:r>
        <w:rPr/>
        <w:t xml:space="preserve">REZENDE, Fernando. A poupança pública brasileira: 1970-1980. </w:t>
      </w:r>
      <w:r>
        <w:rPr>
          <w:rStyle w:val="Nfase"/>
        </w:rPr>
        <w:t>Revista de Economia Política</w:t>
      </w:r>
      <w:r>
        <w:rPr/>
        <w:t xml:space="preserve">, v. 2, n. 3, 1982. </w:t>
      </w:r>
    </w:p>
    <w:p>
      <w:pPr>
        <w:pStyle w:val="Corpodotexto"/>
        <w:bidi w:val="0"/>
        <w:jc w:val="start"/>
        <w:rPr/>
      </w:pPr>
      <w:r>
        <w:rPr/>
        <w:t xml:space="preserve">REZENDE, Fernando. O Federalismo Fiscal no Brasil: Desafios e Perspectivas. </w:t>
      </w:r>
      <w:r>
        <w:rPr>
          <w:rStyle w:val="Nfase"/>
        </w:rPr>
        <w:t>Revista de Economia Política</w:t>
      </w:r>
      <w:r>
        <w:rPr/>
        <w:t xml:space="preserve">, v. 15, n. 3, 1995. </w:t>
      </w:r>
    </w:p>
    <w:p>
      <w:pPr>
        <w:pStyle w:val="Corpodotexto"/>
        <w:bidi w:val="0"/>
        <w:jc w:val="start"/>
        <w:rPr/>
      </w:pPr>
      <w:r>
        <w:rPr/>
        <w:t xml:space="preserve">SANCHES, J. S. </w:t>
      </w:r>
      <w:r>
        <w:rPr>
          <w:rStyle w:val="Nfase"/>
        </w:rPr>
        <w:t>O ciclo orçamentário: uma reavaliação à luz da Constituição de 1988</w:t>
      </w:r>
      <w:r>
        <w:rPr/>
        <w:t xml:space="preserve">. Brasília: ENAP, 2004. </w:t>
      </w:r>
    </w:p>
    <w:p>
      <w:pPr>
        <w:pStyle w:val="Corpodotexto"/>
        <w:bidi w:val="0"/>
        <w:jc w:val="start"/>
        <w:rPr/>
      </w:pPr>
      <w:r>
        <w:rPr/>
        <w:t xml:space="preserve">SANTOS, Núbia C. B.; GASPARINI, Carlos E. Orçamento Impositivo e Relação entre Poderes no Brasil. </w:t>
      </w:r>
      <w:r>
        <w:rPr>
          <w:rStyle w:val="Nfase"/>
        </w:rPr>
        <w:t>Revista Brasileira de Ciência Política</w:t>
      </w:r>
      <w:r>
        <w:rPr/>
        <w:t xml:space="preserve">, n. 31, 2020. </w:t>
      </w:r>
    </w:p>
    <w:p>
      <w:pPr>
        <w:pStyle w:val="Corpodotexto"/>
        <w:bidi w:val="0"/>
        <w:jc w:val="start"/>
        <w:rPr/>
      </w:pPr>
      <w:r>
        <w:rPr/>
        <w:t xml:space="preserve">TCE/PR. </w:t>
      </w:r>
      <w:r>
        <w:rPr>
          <w:rStyle w:val="Nfase"/>
        </w:rPr>
        <w:t>Relatório de Fiscalização: Fusão de Municípios e Sustentabilidade Fiscal</w:t>
      </w:r>
      <w:r>
        <w:rPr/>
        <w:t xml:space="preserve">. Curitiba, 2015. </w:t>
      </w:r>
    </w:p>
    <w:p>
      <w:pPr>
        <w:pStyle w:val="Corpodotexto"/>
        <w:bidi w:val="0"/>
        <w:spacing w:before="0" w:after="140"/>
        <w:jc w:val="start"/>
        <w:rPr/>
      </w:pPr>
      <w:r>
        <w:rPr/>
        <w:t xml:space="preserve">VERGOLINO, José Raimundo Oliveira. </w:t>
      </w:r>
      <w:r>
        <w:rPr>
          <w:rStyle w:val="Nfase"/>
        </w:rPr>
        <w:t>Federalismo e autonomia fiscal dos governos estaduais no Brasil (1990-2010)</w:t>
      </w:r>
      <w:r>
        <w:rPr/>
        <w:t>. Brasília: IPEA, 2013.</w:t>
      </w:r>
      <w:r>
        <w:rPr>
          <w:rFonts w:ascii="Times New Roman" w:hAnsi="Times New Roman"/>
          <w:b w:val="false"/>
          <w:sz w:val="24"/>
          <w:szCs w:val="24"/>
        </w:rPr>
        <w:br/>
        <w:br/>
      </w:r>
    </w:p>
    <w:sectPr>
      <w:footnotePr>
        <w:numFmt w:val="decimal"/>
      </w:footnote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 w:name="Times New Roman">
    <w:altName w:val="serif"/>
    <w:charset w:val="01" w:characterSet="utf-8"/>
    <w:family w:val="auto"/>
    <w:pitch w:val="default"/>
  </w:font>
  <w:font w:name="Calibri">
    <w:charset w:val="01" w:characterSet="utf-8"/>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Normal"/>
        <w:bidi w:val="0"/>
        <w:jc w:val="both"/>
        <w:rPr>
          <w:rFonts w:cs="Calibri" w:cstheme="minorHAnsi"/>
          <w:sz w:val="18"/>
          <w:szCs w:val="18"/>
          <w:lang w:eastAsia="pt-BR"/>
        </w:rPr>
      </w:pPr>
      <w:r>
        <w:rPr>
          <w:rStyle w:val="Caracteresdenotaderodap"/>
        </w:rPr>
        <w:footnoteRef/>
      </w:r>
      <w:r>
        <w:rPr>
          <w:rFonts w:cs="Calibri" w:cstheme="minorHAnsi"/>
          <w:sz w:val="18"/>
          <w:szCs w:val="18"/>
          <w:lang w:eastAsia="pt-BR"/>
        </w:rPr>
        <w:t xml:space="preserve"> </w:t>
      </w:r>
      <w:r>
        <w:rPr>
          <w:rFonts w:cs="Calibri" w:cstheme="minorHAnsi"/>
          <w:sz w:val="18"/>
          <w:szCs w:val="18"/>
          <w:lang w:eastAsia="pt-BR"/>
        </w:rPr>
        <w:t xml:space="preserve">SANCHES, Osvaldo Maldonado: O ciclo orçamentário: uma reavaliação à luz da Constituição de 1988. Revista de Administração Pública, Rio de Janeiro: FGV, v. 27, n.4, pp. 54-76, out./dez. 1993 </w:t>
      </w:r>
    </w:p>
    <w:p>
      <w:pPr>
        <w:pStyle w:val="Notaderodap"/>
        <w:suppressLineNumbers/>
        <w:bidi w:val="0"/>
        <w:ind w:start="339" w:hanging="339"/>
        <w:jc w:val="start"/>
        <w:rPr/>
      </w:pPr>
      <w:r>
        <w:rPr/>
      </w:r>
    </w:p>
  </w:footnote>
  <w:footnote w:id="3">
    <w:p>
      <w:pPr>
        <w:pStyle w:val="NormalWeb"/>
        <w:bidi w:val="0"/>
        <w:spacing w:before="280" w:after="280"/>
        <w:contextualSpacing/>
        <w:mirrorIndents/>
        <w:jc w:val="both"/>
        <w:rPr>
          <w:rFonts w:ascii="Calibri" w:hAnsi="Calibri" w:eastAsia="Calibri" w:cs="Calibri" w:asciiTheme="minorHAnsi" w:cstheme="minorHAnsi" w:eastAsiaTheme="minorHAnsi" w:hAnsiTheme="minorHAnsi"/>
          <w:sz w:val="18"/>
          <w:szCs w:val="18"/>
          <w:lang w:eastAsia="en-US"/>
        </w:rPr>
      </w:pPr>
      <w:r>
        <w:rPr>
          <w:rStyle w:val="Caracteresdenotaderodap"/>
        </w:rPr>
        <w:footnoteRef/>
      </w:r>
      <w:r>
        <w:rPr>
          <w:rFonts w:eastAsia="Calibri" w:cs="Calibri" w:ascii="Calibri" w:hAnsi="Calibri" w:asciiTheme="minorHAnsi" w:cstheme="minorHAnsi" w:eastAsiaTheme="minorHAnsi" w:hAnsiTheme="minorHAnsi"/>
          <w:sz w:val="18"/>
          <w:szCs w:val="18"/>
          <w:lang w:eastAsia="en-US"/>
        </w:rPr>
        <w:t xml:space="preserve"> </w:t>
      </w:r>
      <w:r>
        <w:rPr>
          <w:rFonts w:eastAsia="Calibri" w:cs="Calibri" w:ascii="Calibri" w:hAnsi="Calibri" w:asciiTheme="minorHAnsi" w:cstheme="minorHAnsi" w:eastAsiaTheme="minorHAnsi" w:hAnsiTheme="minorHAnsi"/>
          <w:sz w:val="18"/>
          <w:szCs w:val="18"/>
          <w:lang w:eastAsia="en-US"/>
        </w:rPr>
        <w:t>Art. 70, caput, da CF/1988</w:t>
      </w:r>
    </w:p>
  </w:footnote>
  <w:footnote w:id="4">
    <w:p>
      <w:pPr>
        <w:pStyle w:val="NormalWeb"/>
        <w:bidi w:val="0"/>
        <w:spacing w:before="280" w:after="280"/>
        <w:contextualSpacing/>
        <w:mirrorIndents/>
        <w:jc w:val="both"/>
        <w:rPr>
          <w:rFonts w:ascii="Calibri" w:hAnsi="Calibri" w:eastAsia="Calibri" w:cs="Calibri" w:asciiTheme="minorHAnsi" w:cstheme="minorHAnsi" w:eastAsiaTheme="minorHAnsi" w:hAnsiTheme="minorHAnsi"/>
          <w:sz w:val="18"/>
          <w:szCs w:val="18"/>
          <w:lang w:eastAsia="en-US"/>
        </w:rPr>
      </w:pPr>
      <w:r>
        <w:rPr>
          <w:rStyle w:val="Caracteresdenotaderodap"/>
        </w:rPr>
        <w:footnoteRef/>
      </w:r>
      <w:r>
        <w:rPr>
          <w:rFonts w:eastAsia="Calibri" w:cs="Calibri" w:ascii="Calibri" w:hAnsi="Calibri" w:asciiTheme="minorHAnsi" w:cstheme="minorHAnsi" w:eastAsiaTheme="minorHAnsi" w:hAnsiTheme="minorHAnsi"/>
          <w:sz w:val="18"/>
          <w:szCs w:val="18"/>
          <w:lang w:eastAsia="en-US"/>
        </w:rPr>
        <w:t xml:space="preserve"> </w:t>
      </w:r>
      <w:r>
        <w:rPr>
          <w:rFonts w:eastAsia="Calibri" w:cs="Calibri" w:ascii="Calibri" w:hAnsi="Calibri" w:asciiTheme="minorHAnsi" w:cstheme="minorHAnsi" w:eastAsiaTheme="minorHAnsi" w:hAnsiTheme="minorHAnsi"/>
          <w:sz w:val="18"/>
          <w:szCs w:val="18"/>
          <w:lang w:eastAsia="en-US"/>
        </w:rPr>
        <w:t xml:space="preserve">Art. 70, parágrafo único, da CF/1988 </w:t>
      </w:r>
    </w:p>
    <w:p>
      <w:pPr>
        <w:pStyle w:val="Notaderodap"/>
        <w:suppressLineNumbers/>
        <w:bidi w:val="0"/>
        <w:ind w:start="339" w:hanging="339"/>
        <w:jc w:val="start"/>
        <w:rPr/>
      </w:pPr>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2">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3">
    <w:lvl w:ilvl="0">
      <w:start w:val="2"/>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4">
    <w:lvl w:ilvl="0">
      <w:start w:val="3"/>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5">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6">
    <w:lvl w:ilvl="0">
      <w:start w:val="2"/>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7">
    <w:lvl w:ilvl="0">
      <w:start w:val="3"/>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8">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9">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10">
    <w:lvl w:ilvl="0">
      <w:start w:val="2"/>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11">
    <w:lvl w:ilvl="0">
      <w:start w:val="3"/>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1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pStyle w:val="Ttulo2"/>
      <w:numFmt w:val="none"/>
      <w:suff w:val="nothing"/>
      <w:lvlText w:val=""/>
      <w:lvlJc w:val="start"/>
      <w:pPr>
        <w:tabs>
          <w:tab w:val="num" w:pos="0"/>
        </w:tabs>
        <w:ind w:start="0" w:hanging="0"/>
      </w:pPr>
    </w:lvl>
    <w:lvl w:ilvl="2">
      <w:start w:val="1"/>
      <w:pStyle w:val="Ttulo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pt-BR" w:eastAsia="zh-CN" w:bidi="hi-IN"/>
    </w:rPr>
  </w:style>
  <w:style w:type="paragraph" w:styleId="Ttulo2">
    <w:name w:val="Heading 2"/>
    <w:basedOn w:val="Ttulo"/>
    <w:next w:val="Corpodotexto"/>
    <w:qFormat/>
    <w:pPr>
      <w:spacing w:before="200" w:after="120"/>
      <w:outlineLvl w:val="1"/>
    </w:pPr>
    <w:rPr>
      <w:rFonts w:ascii="Liberation Serif" w:hAnsi="Liberation Serif" w:eastAsia="Noto Serif CJK SC" w:cs="Lohit Devanagari"/>
      <w:b/>
      <w:bCs/>
      <w:sz w:val="36"/>
      <w:szCs w:val="36"/>
    </w:rPr>
  </w:style>
  <w:style w:type="paragraph" w:styleId="Ttulo3">
    <w:name w:val="Heading 3"/>
    <w:basedOn w:val="Ttulo"/>
    <w:next w:val="Corpodotexto"/>
    <w:qFormat/>
    <w:pPr>
      <w:spacing w:before="140" w:after="120"/>
      <w:outlineLvl w:val="2"/>
    </w:pPr>
    <w:rPr>
      <w:rFonts w:ascii="Liberation Serif" w:hAnsi="Liberation Serif" w:eastAsia="Noto Serif CJK SC" w:cs="Lohit Devanagari"/>
      <w:b/>
      <w:bCs/>
      <w:sz w:val="28"/>
      <w:szCs w:val="28"/>
    </w:rPr>
  </w:style>
  <w:style w:type="character" w:styleId="Smbolosdenumerao">
    <w:name w:val="Símbolos de numeração"/>
    <w:qFormat/>
    <w:rPr/>
  </w:style>
  <w:style w:type="character" w:styleId="Marcas">
    <w:name w:val="Marcas"/>
    <w:qFormat/>
    <w:rPr>
      <w:rFonts w:ascii="OpenSymbol" w:hAnsi="OpenSymbol" w:eastAsia="OpenSymbol" w:cs="OpenSymbol"/>
    </w:rPr>
  </w:style>
  <w:style w:type="character" w:styleId="LinkdaInternet">
    <w:name w:val="Link da Internet"/>
    <w:rPr>
      <w:color w:val="000080"/>
      <w:u w:val="single"/>
      <w:lang w:val="zxx" w:eastAsia="zxx" w:bidi="zxx"/>
    </w:rPr>
  </w:style>
  <w:style w:type="character" w:styleId="DefaultParagraphFont">
    <w:name w:val="Default Paragraph Font"/>
    <w:qFormat/>
    <w:rPr/>
  </w:style>
  <w:style w:type="character" w:styleId="Strong">
    <w:name w:val="Strong"/>
    <w:basedOn w:val="DefaultParagraphFont"/>
    <w:qFormat/>
    <w:rPr>
      <w:b/>
      <w:bCs/>
    </w:rPr>
  </w:style>
  <w:style w:type="character" w:styleId="Caracteresdenotaderodap">
    <w:name w:val="Caracteres de nota de rodapé"/>
    <w:qFormat/>
    <w:rPr/>
  </w:style>
  <w:style w:type="character" w:styleId="Ncoradanotaderodap">
    <w:name w:val="Âncora da nota de rodapé"/>
    <w:rPr>
      <w:vertAlign w:val="superscript"/>
    </w:rPr>
  </w:style>
  <w:style w:type="character" w:styleId="Ncoradanotadefim">
    <w:name w:val="Âncora da nota de fim"/>
    <w:rPr>
      <w:vertAlign w:val="superscript"/>
    </w:rPr>
  </w:style>
  <w:style w:type="character" w:styleId="Caracteresdenotadefim">
    <w:name w:val="Caracteres de nota de fim"/>
    <w:qFormat/>
    <w:rPr/>
  </w:style>
  <w:style w:type="character" w:styleId="Nfase">
    <w:name w:val="Ênfase"/>
    <w:qFormat/>
    <w:rPr>
      <w:i/>
      <w:iCs/>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ontedodatabela">
    <w:name w:val="Conteúdo da tabela"/>
    <w:basedOn w:val="Normal"/>
    <w:qFormat/>
    <w:pPr>
      <w:suppressLineNumbers/>
    </w:pPr>
    <w:rPr/>
  </w:style>
  <w:style w:type="paragraph" w:styleId="Ttulodetabela">
    <w:name w:val="Título de tabela"/>
    <w:basedOn w:val="Contedodatabela"/>
    <w:qFormat/>
    <w:pPr>
      <w:suppressLineNumbers/>
      <w:jc w:val="center"/>
    </w:pPr>
    <w:rPr>
      <w:b/>
      <w:bCs/>
    </w:rPr>
  </w:style>
  <w:style w:type="paragraph" w:styleId="Notaderodap">
    <w:name w:val="Footnote Text"/>
    <w:basedOn w:val="Normal"/>
    <w:pPr>
      <w:suppressLineNumbers/>
      <w:ind w:start="339" w:hanging="339"/>
    </w:pPr>
    <w:rPr>
      <w:sz w:val="20"/>
      <w:szCs w:val="20"/>
    </w:rPr>
  </w:style>
  <w:style w:type="paragraph" w:styleId="NormalWeb">
    <w:name w:val="Normal (Web)"/>
    <w:basedOn w:val="Normal"/>
    <w:qFormat/>
    <w:pPr>
      <w:spacing w:beforeAutospacing="1" w:afterAutospacing="1"/>
    </w:pPr>
    <w:rPr>
      <w:rFonts w:ascii="Times New Roman" w:hAnsi="Times New Roman" w:eastAsia="Times New Roman" w:cs="Times New Roman"/>
      <w:lang w:eastAsia="pt-B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camara.leg.br/noticias/573454-SAIBA-MAIS-SOBRE-A-TRAMITACAO-DE-PROJETOS-DE-LEI" TargetMode="External"/><Relationship Id="rId5" Type="http://schemas.openxmlformats.org/officeDocument/2006/relationships/hyperlink" Target="https://www12.senado.leg.br/radio/1/noticia/2025/04/16/proposta-da-ldo-2026-ja-esta-no-congresso-nacional" TargetMode="External"/><Relationship Id="rId6" Type="http://schemas.openxmlformats.org/officeDocument/2006/relationships/image" Target="media/image3.png"/><Relationship Id="rId7" Type="http://schemas.openxmlformats.org/officeDocument/2006/relationships/hyperlink" Target="https://www.andes.org.br/conteudos/noticia/orcamento-de-2026-universidades-perdem-r-488-milhoes-enquanto-recursos-de-emendas-aumentam1" TargetMode="External"/><Relationship Id="rId8" Type="http://schemas.openxmlformats.org/officeDocument/2006/relationships/hyperlink" Target="https://www.youtube.com/watch?v=cU1KTsLHT9I" TargetMode="External"/><Relationship Id="rId9" Type="http://schemas.openxmlformats.org/officeDocument/2006/relationships/image" Target="media/image4.png"/><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301</TotalTime>
  <Application>LibreOffice/6.4.7.2$Linux_X86_64 LibreOffice_project/40$Build-2</Application>
  <Pages>62</Pages>
  <Words>16030</Words>
  <Characters>92587</Characters>
  <CharactersWithSpaces>107953</CharactersWithSpaces>
  <Paragraphs>1490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2026-03-16T02:33:44Z</dcterms:created>
  <dc:creator/>
  <dc:description/>
  <dc:language>pt-BR</dc:language>
  <cp:lastModifiedBy/>
  <dcterms:modified xsi:type="dcterms:W3CDTF">2026-03-16T07:35:17Z</dcterms:modified>
  <cp:revision>9</cp:revision>
  <dc:subject/>
  <dc:title/>
</cp:coreProperties>
</file>