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jc w:val="center"/>
      </w:pPr>
      <w:r>
        <w:rPr>
          <w:b/>
          <w:bCs/>
          <w:color w:val="1F3864"/>
          <w:sz w:val="40"/>
          <w:szCs w:val="40"/>
        </w:rPr>
        <w:t xml:space="preserve">PLANO DE RESPOSTA A INCIDENTES</w:t>
      </w:r>
    </w:p>
    <w:p>
      <w:pPr>
        <w:spacing w:after="300" w:before="200"/>
        <w:jc w:val="center"/>
      </w:pPr>
      <w:r>
        <w:rPr>
          <w:color w:val="2E5395"/>
          <w:sz w:val="26"/>
          <w:szCs w:val="26"/>
        </w:rPr>
        <w:t xml:space="preserve">Mobilização, classificação, execução e encerramento da resposta</w:t>
      </w:r>
    </w:p>
    <w:p>
      <w:pPr>
        <w:spacing w:after="400"/>
        <w:jc w:val="center"/>
      </w:pPr>
      <w:r>
        <w:rPr>
          <w:i/>
          <w:iCs/>
          <w:color w:val="595959"/>
          <w:sz w:val="24"/>
          <w:szCs w:val="24"/>
        </w:rPr>
        <w:t xml:space="preserve">Modelo institucional reutilizável: Versão 0.3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CE4E4" w:val="clear"/>
            <w:tcMar>
              <w:top w:type="dxa" w:w="150"/>
              <w:left w:type="dxa" w:w="150"/>
              <w:bottom w:type="dxa" w:w="150"/>
              <w:right w:type="dxa" w:w="150"/>
            </w:tcMar>
          </w:tcPr>
          <w:p>
            <w:r>
              <w:rPr>
                <w:b/>
                <w:bCs/>
                <w:color w:val="9C0006"/>
                <w:sz w:val="20"/>
                <w:szCs w:val="20"/>
              </w:rPr>
              <w:t xml:space="preserve">Este documento operacionaliza a Política de Resposta a Incidentes. Não contém dados de nenhuma organização específica e não reproduz os cenários fictícios de treinamento deste repositório: use os exemplos em instrumentos/exemplos/ e o cenário em cenario/ apenas para aprender o preenchimento. Os procedimentos técnicos detalhados de cada atividade constam do Playbook DAIR.</w:t>
            </w:r>
          </w:p>
        </w:tc>
      </w:tr>
    </w:tbl>
    <w:p>
      <w:r>
        <w:br w:type="page"/>
      </w:r>
    </w:p>
    <w:sdt>
      <w:sdtPr>
        <w:alias w:val="Sumári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ind w:firstLine="0"/>
      </w:pPr>
      <w:r>
        <w:t xml:space="preserve">Dados de controle do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tblHeader/>
        </w:trPr>
        <w:tc>
          <w:tcPr>
            <w:tcW w:type="dxa" w:w="3200"/>
            <w:shd w:fill="1F3864" w:val="clear"/>
            <w:tcMar>
              <w:top w:type="dxa" w:w="80"/>
              <w:left w:type="dxa" w:w="100"/>
              <w:bottom w:type="dxa" w:w="80"/>
              <w:right w:type="dxa" w:w="100"/>
            </w:tcMar>
            <w:vAlign w:val="center"/>
          </w:tcPr>
          <w:p>
            <w:r>
              <w:rPr>
                <w:b/>
                <w:bCs/>
                <w:color w:val="FFFFFF"/>
                <w:sz w:val="18"/>
                <w:szCs w:val="18"/>
              </w:rPr>
              <w:t xml:space="preserve">Campo</w:t>
            </w:r>
          </w:p>
        </w:tc>
        <w:tc>
          <w:tcPr>
            <w:tcW w:type="dxa" w:w="5800"/>
            <w:shd w:fill="1F3864" w:val="clear"/>
            <w:tcMar>
              <w:top w:type="dxa" w:w="80"/>
              <w:left w:type="dxa" w:w="100"/>
              <w:bottom w:type="dxa" w:w="80"/>
              <w:right w:type="dxa" w:w="100"/>
            </w:tcMar>
            <w:vAlign w:val="center"/>
          </w:tcPr>
          <w:p>
            <w:r>
              <w:rPr>
                <w:b/>
                <w:bCs/>
                <w:color w:val="FFFFFF"/>
                <w:sz w:val="18"/>
                <w:szCs w:val="18"/>
              </w:rPr>
              <w:t xml:space="preserve">Valor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Organização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Proprietário do documento (owner)</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Aprovador</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Versão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Data de aprovação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 após aprovação formal]</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Vigência / próxima revisão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Fundamento</w:t>
            </w:r>
          </w:p>
        </w:tc>
        <w:tc>
          <w:tcPr>
            <w:tcW w:type="dxa" w:w="5800"/>
            <w:tcMar>
              <w:top w:type="dxa" w:w="80"/>
              <w:left w:type="dxa" w:w="100"/>
              <w:bottom w:type="dxa" w:w="80"/>
              <w:right w:type="dxa" w:w="100"/>
            </w:tcMar>
            <w:vAlign w:val="center"/>
          </w:tcPr>
          <w:p>
            <w:r>
              <w:rPr>
                <w:b w:val="false"/>
                <w:bCs w:val="false"/>
                <w:color w:val="000000"/>
                <w:sz w:val="18"/>
                <w:szCs w:val="18"/>
              </w:rPr>
              <w:t xml:space="preserve">Política de Resposta a Incidentes</w:t>
            </w:r>
          </w:p>
        </w:tc>
      </w:tr>
    </w:tbl>
    <w:p>
      <w:pPr>
        <w:spacing w:after="160" w:line="360" w:lineRule="auto"/>
        <w:ind w:firstLine="709"/>
        <w:jc w:val="both"/>
      </w:pPr>
      <w:r>
        <w:rPr>
          <w:sz w:val="24"/>
          <w:szCs w:val="24"/>
        </w:rPr>
        <w:t xml:space="preserve">Este Plano só produz efeitos após aprovação formal e preenchimento dos campos editáveis indicados ao longo do texto: sobretudo a lista de contatos da seção 1.3, que nunca deve conter nomes ou dados reais nesta cópia de modelo.</w:t>
      </w:r>
    </w:p>
    <w:p>
      <w:pPr>
        <w:pStyle w:val="Heading1"/>
        <w:spacing w:after="160" w:before="360"/>
        <w:ind w:firstLine="0"/>
      </w:pPr>
      <w:r>
        <w:t xml:space="preserve">Preparação e ativação</w:t>
      </w:r>
    </w:p>
    <w:p>
      <w:pPr>
        <w:pStyle w:val="Heading2"/>
        <w:spacing w:after="120" w:before="240"/>
        <w:ind w:firstLine="0"/>
      </w:pPr>
      <w:r>
        <w:t xml:space="preserve">Critérios de ativação</w:t>
      </w:r>
    </w:p>
    <w:p>
      <w:pPr>
        <w:spacing w:after="160" w:line="360" w:lineRule="auto"/>
        <w:ind w:firstLine="709"/>
        <w:jc w:val="both"/>
      </w:pPr>
      <w:r>
        <w:rPr>
          <w:sz w:val="24"/>
          <w:szCs w:val="24"/>
        </w:rPr>
        <w:t xml:space="preserve">A resposta deve ser ativada diante de qualquer um dos seguintes gatilhos, sem aguardar confirmação total:</w:t>
      </w:r>
    </w:p>
    <w:p>
      <w:pPr>
        <w:pStyle w:val="ListParagraph"/>
        <w:numPr>
          <w:ilvl w:val="0"/>
          <w:numId w:val="1"/>
        </w:numPr>
        <w:spacing w:after="100" w:line="360" w:lineRule="auto"/>
        <w:ind w:firstLine="0"/>
        <w:jc w:val="both"/>
      </w:pPr>
      <w:r>
        <w:rPr>
          <w:sz w:val="24"/>
          <w:szCs w:val="24"/>
        </w:rPr>
        <w:t xml:space="preserve">suspeita técnica identificada por monitoramento, alerta de segurança ou análise interna;</w:t>
      </w:r>
    </w:p>
    <w:p>
      <w:pPr>
        <w:pStyle w:val="ListParagraph"/>
        <w:numPr>
          <w:ilvl w:val="0"/>
          <w:numId w:val="1"/>
        </w:numPr>
        <w:spacing w:after="100" w:line="360" w:lineRule="auto"/>
        <w:ind w:firstLine="0"/>
        <w:jc w:val="both"/>
      </w:pPr>
      <w:r>
        <w:rPr>
          <w:sz w:val="24"/>
          <w:szCs w:val="24"/>
        </w:rPr>
        <w:t xml:space="preserve">relato humano: de colaborador, cliente, titular de dados ou terceiro;</w:t>
      </w:r>
    </w:p>
    <w:p>
      <w:pPr>
        <w:pStyle w:val="ListParagraph"/>
        <w:numPr>
          <w:ilvl w:val="0"/>
          <w:numId w:val="1"/>
        </w:numPr>
        <w:spacing w:after="100" w:line="360" w:lineRule="auto"/>
        <w:ind w:firstLine="0"/>
        <w:jc w:val="both"/>
      </w:pPr>
      <w:r>
        <w:rPr>
          <w:sz w:val="24"/>
          <w:szCs w:val="24"/>
        </w:rPr>
        <w:t xml:space="preserve">notificação de operador ou fornecedor informando incidente envolvendo dados tratados em nome da organização;</w:t>
      </w:r>
    </w:p>
    <w:p>
      <w:pPr>
        <w:pStyle w:val="ListParagraph"/>
        <w:numPr>
          <w:ilvl w:val="0"/>
          <w:numId w:val="1"/>
        </w:numPr>
        <w:spacing w:after="100" w:line="360" w:lineRule="auto"/>
        <w:ind w:firstLine="0"/>
        <w:jc w:val="both"/>
      </w:pPr>
      <w:r>
        <w:rPr>
          <w:sz w:val="24"/>
          <w:szCs w:val="24"/>
        </w:rPr>
        <w:t xml:space="preserve">notificação externa (pesquisador de segurança, imprensa, autoridade).</w:t>
      </w:r>
    </w:p>
    <w:p>
      <w:pPr>
        <w:spacing w:after="160" w:line="360" w:lineRule="auto"/>
        <w:ind w:firstLine="709"/>
        <w:jc w:val="both"/>
      </w:pPr>
      <w:r>
        <w:rPr>
          <w:sz w:val="24"/>
          <w:szCs w:val="24"/>
        </w:rPr>
        <w:t xml:space="preserve">A ativação não depende da conclusão da investigação técnica ou da análise jurídica: a preservação de evidências e a contenção emergencial têm início imediato, em paralelo à triagem (seção 3).</w:t>
      </w:r>
    </w:p>
    <w:p>
      <w:pPr>
        <w:pStyle w:val="Heading2"/>
        <w:spacing w:after="120" w:before="240"/>
        <w:ind w:firstLine="0"/>
      </w:pPr>
      <w:r>
        <w:t xml:space="preserve">Canais de acionamento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3600"/>
        <w:gridCol w:w="1400"/>
      </w:tblGrid>
      <w:tr>
        <w:trPr>
          <w:tblHeader/>
        </w:trPr>
        <w:tc>
          <w:tcPr>
            <w:tcW w:type="dxa" w:w="4000"/>
            <w:shd w:fill="1F3864" w:val="clear"/>
            <w:tcMar>
              <w:top w:type="dxa" w:w="80"/>
              <w:left w:type="dxa" w:w="100"/>
              <w:bottom w:type="dxa" w:w="80"/>
              <w:right w:type="dxa" w:w="100"/>
            </w:tcMar>
            <w:vAlign w:val="center"/>
          </w:tcPr>
          <w:p>
            <w:r>
              <w:rPr>
                <w:b/>
                <w:bCs/>
                <w:color w:val="FFFFFF"/>
                <w:sz w:val="18"/>
                <w:szCs w:val="18"/>
              </w:rPr>
              <w:t xml:space="preserve">Canal</w:t>
            </w:r>
          </w:p>
        </w:tc>
        <w:tc>
          <w:tcPr>
            <w:tcW w:type="dxa" w:w="3600"/>
            <w:shd w:fill="1F3864" w:val="clear"/>
            <w:tcMar>
              <w:top w:type="dxa" w:w="80"/>
              <w:left w:type="dxa" w:w="100"/>
              <w:bottom w:type="dxa" w:w="80"/>
              <w:right w:type="dxa" w:w="100"/>
            </w:tcMar>
            <w:vAlign w:val="center"/>
          </w:tcPr>
          <w:p>
            <w:r>
              <w:rPr>
                <w:b/>
                <w:bCs/>
                <w:color w:val="FFFFFF"/>
                <w:sz w:val="18"/>
                <w:szCs w:val="18"/>
              </w:rPr>
              <w:t xml:space="preserve">Uso</w:t>
            </w:r>
          </w:p>
        </w:tc>
        <w:tc>
          <w:tcPr>
            <w:tcW w:type="dxa" w:w="1400"/>
            <w:shd w:fill="1F3864" w:val="clear"/>
            <w:tcMar>
              <w:top w:type="dxa" w:w="80"/>
              <w:left w:type="dxa" w:w="100"/>
              <w:bottom w:type="dxa" w:w="80"/>
              <w:right w:type="dxa" w:w="100"/>
            </w:tcMar>
            <w:vAlign w:val="center"/>
          </w:tcPr>
          <w:p>
            <w:r>
              <w:rPr>
                <w:b/>
                <w:bCs/>
                <w:color w:val="FFFFFF"/>
                <w:sz w:val="18"/>
                <w:szCs w:val="18"/>
              </w:rPr>
              <w:t xml:space="preserve">Disponibilidade</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[preencher: ex.: linha de emergência de segurança]</w:t>
            </w:r>
          </w:p>
        </w:tc>
        <w:tc>
          <w:tcPr>
            <w:tcW w:type="dxa" w:w="3600"/>
            <w:tcMar>
              <w:top w:type="dxa" w:w="80"/>
              <w:left w:type="dxa" w:w="100"/>
              <w:bottom w:type="dxa" w:w="80"/>
              <w:right w:type="dxa" w:w="100"/>
            </w:tcMar>
            <w:vAlign w:val="center"/>
          </w:tcPr>
          <w:p>
            <w:r>
              <w:rPr>
                <w:b w:val="false"/>
                <w:bCs w:val="false"/>
                <w:color w:val="000000"/>
                <w:sz w:val="18"/>
                <w:szCs w:val="18"/>
              </w:rPr>
              <w:t xml:space="preserve">Canal primário para suspeitas e confirmações</w:t>
            </w:r>
          </w:p>
        </w:tc>
        <w:tc>
          <w:tcPr>
            <w:tcW w:type="dxa" w:w="1400"/>
            <w:tcMar>
              <w:top w:type="dxa" w:w="80"/>
              <w:left w:type="dxa" w:w="100"/>
              <w:bottom w:type="dxa" w:w="80"/>
              <w:right w:type="dxa" w:w="100"/>
            </w:tcMar>
            <w:vAlign w:val="center"/>
          </w:tcPr>
          <w:p>
            <w:r>
              <w:rPr>
                <w:b w:val="false"/>
                <w:bCs w:val="false"/>
                <w:color w:val="000000"/>
                <w:sz w:val="18"/>
                <w:szCs w:val="18"/>
              </w:rPr>
              <w:t xml:space="preserve">[preencher: ex.: 24x7]</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[preencher: ex.: canal interno de mensagens]</w:t>
            </w:r>
          </w:p>
        </w:tc>
        <w:tc>
          <w:tcPr>
            <w:tcW w:type="dxa" w:w="3600"/>
            <w:tcMar>
              <w:top w:type="dxa" w:w="80"/>
              <w:left w:type="dxa" w:w="100"/>
              <w:bottom w:type="dxa" w:w="80"/>
              <w:right w:type="dxa" w:w="100"/>
            </w:tcMar>
            <w:vAlign w:val="center"/>
          </w:tcPr>
          <w:p>
            <w:r>
              <w:rPr>
                <w:b w:val="false"/>
                <w:bCs w:val="false"/>
                <w:color w:val="000000"/>
                <w:sz w:val="18"/>
                <w:szCs w:val="18"/>
              </w:rPr>
              <w:t xml:space="preserve">Canal alternativo quando o canal primário estiver indisponível</w:t>
            </w:r>
          </w:p>
        </w:tc>
        <w:tc>
          <w:tcPr>
            <w:tcW w:type="dxa" w:w="14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[preencher: ex.: e-mail corporativo de segurança]</w:t>
            </w:r>
          </w:p>
        </w:tc>
        <w:tc>
          <w:tcPr>
            <w:tcW w:type="dxa" w:w="3600"/>
            <w:tcMar>
              <w:top w:type="dxa" w:w="80"/>
              <w:left w:type="dxa" w:w="100"/>
              <w:bottom w:type="dxa" w:w="80"/>
              <w:right w:type="dxa" w:w="100"/>
            </w:tcMar>
            <w:vAlign w:val="center"/>
          </w:tcPr>
          <w:p>
            <w:r>
              <w:rPr>
                <w:b w:val="false"/>
                <w:bCs w:val="false"/>
                <w:color w:val="000000"/>
                <w:sz w:val="18"/>
                <w:szCs w:val="18"/>
              </w:rPr>
              <w:t xml:space="preserve">Registro formal e rastreável do acionamento</w:t>
            </w:r>
          </w:p>
        </w:tc>
        <w:tc>
          <w:tcPr>
            <w:tcW w:type="dxa" w:w="1400"/>
            <w:tcMar>
              <w:top w:type="dxa" w:w="80"/>
              <w:left w:type="dxa" w:w="100"/>
              <w:bottom w:type="dxa" w:w="80"/>
              <w:right w:type="dxa" w:w="100"/>
            </w:tcMar>
            <w:vAlign w:val="center"/>
          </w:tcPr>
          <w:p>
            <w:r>
              <w:rPr>
                <w:b w:val="false"/>
                <w:bCs w:val="false"/>
                <w:color w:val="000000"/>
                <w:sz w:val="18"/>
                <w:szCs w:val="18"/>
              </w:rPr>
              <w:t xml:space="preserve">[preencher]</w:t>
            </w:r>
          </w:p>
        </w:tc>
      </w:tr>
    </w:tbl>
    <w:p>
      <w:pPr>
        <w:spacing w:after="160" w:line="360" w:lineRule="auto"/>
        <w:ind w:firstLine="709"/>
        <w:jc w:val="both"/>
      </w:pPr>
      <w:r>
        <w:rPr>
          <w:sz w:val="24"/>
          <w:szCs w:val="24"/>
        </w:rPr>
        <w:t xml:space="preserve">A indisponibilidade do canal corporativo primário não suspende a obrigação de reportar: a organização deve manter ao menos um canal alternativo que não dependa da mesma infraestrutura potencialmente afetada.</w:t>
      </w:r>
    </w:p>
    <w:p>
      <w:pPr>
        <w:pStyle w:val="Heading2"/>
        <w:spacing w:after="120" w:before="240"/>
        <w:ind w:firstLine="0"/>
      </w:pPr>
      <w:r>
        <w:t xml:space="preserve">Lista de contatos por papel</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1700"/>
        <w:gridCol w:w="1700"/>
        <w:gridCol w:w="1700"/>
      </w:tblGrid>
      <w:tr>
        <w:trPr>
          <w:tblHeader/>
        </w:trPr>
        <w:tc>
          <w:tcPr>
            <w:tcW w:type="dxa" w:w="2200"/>
            <w:shd w:fill="1F3864" w:val="clear"/>
            <w:tcMar>
              <w:top w:type="dxa" w:w="80"/>
              <w:left w:type="dxa" w:w="100"/>
              <w:bottom w:type="dxa" w:w="80"/>
              <w:right w:type="dxa" w:w="100"/>
            </w:tcMar>
            <w:vAlign w:val="center"/>
          </w:tcPr>
          <w:p>
            <w:r>
              <w:rPr>
                <w:b/>
                <w:bCs/>
                <w:color w:val="FFFFFF"/>
                <w:sz w:val="18"/>
                <w:szCs w:val="18"/>
              </w:rPr>
              <w:t xml:space="preserve">Papel</w:t>
            </w:r>
          </w:p>
        </w:tc>
        <w:tc>
          <w:tcPr>
            <w:tcW w:type="dxa" w:w="1700"/>
            <w:shd w:fill="1F3864" w:val="clear"/>
            <w:tcMar>
              <w:top w:type="dxa" w:w="80"/>
              <w:left w:type="dxa" w:w="100"/>
              <w:bottom w:type="dxa" w:w="80"/>
              <w:right w:type="dxa" w:w="100"/>
            </w:tcMar>
            <w:vAlign w:val="center"/>
          </w:tcPr>
          <w:p>
            <w:r>
              <w:rPr>
                <w:b/>
                <w:bCs/>
                <w:color w:val="FFFFFF"/>
                <w:sz w:val="18"/>
                <w:szCs w:val="18"/>
              </w:rPr>
              <w:t xml:space="preserve">Titular</w:t>
            </w:r>
          </w:p>
        </w:tc>
        <w:tc>
          <w:tcPr>
            <w:tcW w:type="dxa" w:w="1700"/>
            <w:shd w:fill="1F3864" w:val="clear"/>
            <w:tcMar>
              <w:top w:type="dxa" w:w="80"/>
              <w:left w:type="dxa" w:w="100"/>
              <w:bottom w:type="dxa" w:w="80"/>
              <w:right w:type="dxa" w:w="100"/>
            </w:tcMar>
            <w:vAlign w:val="center"/>
          </w:tcPr>
          <w:p>
            <w:r>
              <w:rPr>
                <w:b/>
                <w:bCs/>
                <w:color w:val="FFFFFF"/>
                <w:sz w:val="18"/>
                <w:szCs w:val="18"/>
              </w:rPr>
              <w:t xml:space="preserve">Contato primário</w:t>
            </w:r>
          </w:p>
        </w:tc>
        <w:tc>
          <w:tcPr>
            <w:tcW w:type="dxa" w:w="1700"/>
            <w:shd w:fill="1F3864" w:val="clear"/>
            <w:tcMar>
              <w:top w:type="dxa" w:w="80"/>
              <w:left w:type="dxa" w:w="100"/>
              <w:bottom w:type="dxa" w:w="80"/>
              <w:right w:type="dxa" w:w="100"/>
            </w:tcMar>
            <w:vAlign w:val="center"/>
          </w:tcPr>
          <w:p>
            <w:r>
              <w:rPr>
                <w:b/>
                <w:bCs/>
                <w:color w:val="FFFFFF"/>
                <w:sz w:val="18"/>
                <w:szCs w:val="18"/>
              </w:rPr>
              <w:t xml:space="preserve">Contato alternativo</w:t>
            </w:r>
          </w:p>
        </w:tc>
        <w:tc>
          <w:tcPr>
            <w:tcW w:type="dxa" w:w="1700"/>
            <w:shd w:fill="1F3864" w:val="clear"/>
            <w:tcMar>
              <w:top w:type="dxa" w:w="80"/>
              <w:left w:type="dxa" w:w="100"/>
              <w:bottom w:type="dxa" w:w="80"/>
              <w:right w:type="dxa" w:w="100"/>
            </w:tcMar>
            <w:vAlign w:val="center"/>
          </w:tcPr>
          <w:p>
            <w:r>
              <w:rPr>
                <w:b/>
                <w:bCs/>
                <w:color w:val="FFFFFF"/>
                <w:sz w:val="18"/>
                <w:szCs w:val="18"/>
              </w:rPr>
              <w:t xml:space="preserve">Substituto</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Segurança da Informação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TI</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Encarregado (DPO)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Jurídico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Comunicação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Continuidade de Negócio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Direção / Diretoria designada</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bl>
    <w:p>
      <w:pPr>
        <w:spacing w:after="160" w:line="360" w:lineRule="auto"/>
        <w:ind w:firstLine="709"/>
        <w:jc w:val="both"/>
      </w:pPr>
      <w:r>
        <w:rPr>
          <w:sz w:val="24"/>
          <w:szCs w:val="24"/>
        </w:rPr>
        <w:t xml:space="preserve">Manter esta tabela atualizada é condição de uso deste Plano. [preencher: periodicidade de revisão da lista, ex.: trimestral].​</w:t>
      </w:r>
    </w:p>
    <w:p>
      <w:pPr>
        <w:pStyle w:val="Heading2"/>
        <w:spacing w:after="120" w:before="240"/>
        <w:ind w:firstLine="0"/>
      </w:pPr>
      <w:r>
        <w:t xml:space="preserve">Mobilização, liderança, sala de crise e distribuição de tarefas</w:t>
      </w:r>
    </w:p>
    <w:p>
      <w:pPr>
        <w:pStyle w:val="ListParagraph"/>
        <w:numPr>
          <w:ilvl w:val="0"/>
          <w:numId w:val="1"/>
        </w:numPr>
        <w:spacing w:after="100" w:line="360" w:lineRule="auto"/>
        <w:ind w:firstLine="0"/>
        <w:jc w:val="both"/>
      </w:pPr>
      <w:r>
        <w:rPr>
          <w:sz w:val="24"/>
          <w:szCs w:val="24"/>
        </w:rPr>
        <w:t xml:space="preserve">Ao identificar um gatilho de ativação (1.1), quem o identificar aciona o Líder de Resposta a Incidentes (ou substituto) pelo canal primário.</w:t>
      </w:r>
    </w:p>
    <w:p>
      <w:pPr>
        <w:pStyle w:val="ListParagraph"/>
        <w:numPr>
          <w:ilvl w:val="0"/>
          <w:numId w:val="1"/>
        </w:numPr>
        <w:spacing w:after="100" w:line="360" w:lineRule="auto"/>
        <w:ind w:firstLine="0"/>
        <w:jc w:val="both"/>
      </w:pPr>
      <w:r>
        <w:rPr>
          <w:sz w:val="24"/>
          <w:szCs w:val="24"/>
        </w:rPr>
        <w:t xml:space="preserve">O Líder de Resposta declara a abertura do incidente, abre o registro central no Instrumento 1 e convoca os papéis necessários conforme a classificação inicial (seção 2).</w:t>
      </w:r>
    </w:p>
    <w:p>
      <w:pPr>
        <w:spacing w:after="120" w:line="360" w:lineRule="auto"/>
        <w:ind w:firstLine="709"/>
        <w:jc w:val="both"/>
      </w:pPr>
      <w:r>
        <w:rPr>
          <w:b/>
          <w:bCs/>
          <w:sz w:val="24"/>
          <w:szCs w:val="24"/>
        </w:rPr>
        <w:t xml:space="preserve">Ferramenta de sala de crise (física, virtual ou ambas): </w:t>
      </w:r>
      <w:r>
        <w:rPr>
          <w:i/>
          <w:iCs/>
          <w:color w:val="595959"/>
          <w:sz w:val="24"/>
          <w:szCs w:val="24"/>
        </w:rPr>
        <w:t xml:space="preserve">[preencher]</w:t>
      </w:r>
    </w:p>
    <w:p>
      <w:pPr>
        <w:pStyle w:val="ListParagraph"/>
        <w:numPr>
          <w:ilvl w:val="0"/>
          <w:numId w:val="1"/>
        </w:numPr>
        <w:spacing w:after="100" w:line="360" w:lineRule="auto"/>
        <w:ind w:firstLine="0"/>
        <w:jc w:val="both"/>
      </w:pPr>
      <w:r>
        <w:rPr>
          <w:sz w:val="24"/>
          <w:szCs w:val="24"/>
        </w:rPr>
        <w:t xml:space="preserve">Tarefas são distribuídas pelo Líder de Resposta, registradas no Instrumento 1 ou no Instrumento 3, com responsável e prazo.</w:t>
      </w:r>
    </w:p>
    <w:p>
      <w:pPr>
        <w:pStyle w:val="ListParagraph"/>
        <w:numPr>
          <w:ilvl w:val="0"/>
          <w:numId w:val="1"/>
        </w:numPr>
        <w:spacing w:after="100" w:line="360" w:lineRule="auto"/>
        <w:ind w:firstLine="0"/>
        <w:jc w:val="both"/>
      </w:pPr>
      <w:r>
        <w:rPr>
          <w:sz w:val="24"/>
          <w:szCs w:val="24"/>
        </w:rPr>
        <w:t xml:space="preserve">Em incidentes de longa duração, a passagem de turno (handover) registra: estado atual, decisões pendentes, evidências em custódia e próximos passos: nunca apenas "em andamento".</w:t>
      </w:r>
    </w:p>
    <w:p>
      <w:pPr>
        <w:pStyle w:val="Heading2"/>
        <w:spacing w:after="120" w:before="240"/>
        <w:ind w:firstLine="0"/>
      </w:pPr>
      <w:r>
        <w:t xml:space="preserve">Requisitos de acesso a registros, evidências e ferramentas</w:t>
      </w:r>
    </w:p>
    <w:p>
      <w:pPr>
        <w:spacing w:after="160" w:line="360" w:lineRule="auto"/>
        <w:ind w:firstLine="709"/>
        <w:jc w:val="both"/>
      </w:pPr>
      <w:r>
        <w:rPr>
          <w:sz w:val="24"/>
          <w:szCs w:val="24"/>
        </w:rPr>
        <w:t xml:space="preserve">A organização deve garantir, antes da ativação, que os papéis mobilizáveis tenham acesso tempestivo a:</w:t>
      </w:r>
    </w:p>
    <w:p>
      <w:pPr>
        <w:pStyle w:val="ListParagraph"/>
        <w:numPr>
          <w:ilvl w:val="0"/>
          <w:numId w:val="1"/>
        </w:numPr>
        <w:spacing w:after="100" w:line="360" w:lineRule="auto"/>
        <w:ind w:firstLine="0"/>
        <w:jc w:val="both"/>
      </w:pPr>
      <w:r>
        <w:rPr>
          <w:sz w:val="24"/>
          <w:szCs w:val="24"/>
        </w:rPr>
        <w:t xml:space="preserve">registros de log e monitoramento relevantes, com retenção suficiente para a janela típica de investigação;</w:t>
      </w:r>
    </w:p>
    <w:p>
      <w:pPr>
        <w:pStyle w:val="ListParagraph"/>
        <w:numPr>
          <w:ilvl w:val="0"/>
          <w:numId w:val="1"/>
        </w:numPr>
        <w:spacing w:after="100" w:line="360" w:lineRule="auto"/>
        <w:ind w:firstLine="0"/>
        <w:jc w:val="both"/>
      </w:pPr>
      <w:r>
        <w:rPr>
          <w:sz w:val="24"/>
          <w:szCs w:val="24"/>
        </w:rPr>
        <w:t xml:space="preserve">os Instrumentos 1 a 5 deste repositório (ou equivalentes adotados pela organização);</w:t>
      </w:r>
    </w:p>
    <w:p>
      <w:pPr>
        <w:pStyle w:val="ListParagraph"/>
        <w:numPr>
          <w:ilvl w:val="0"/>
          <w:numId w:val="1"/>
        </w:numPr>
        <w:spacing w:after="100" w:line="360" w:lineRule="auto"/>
        <w:ind w:firstLine="0"/>
        <w:jc w:val="both"/>
      </w:pPr>
      <w:r>
        <w:rPr>
          <w:sz w:val="24"/>
          <w:szCs w:val="24"/>
        </w:rPr>
        <w:t xml:space="preserve">ferramentas de contenção (revogação de credenciais, isolamento de rede, desativação de contas/tokens);</w:t>
      </w:r>
    </w:p>
    <w:p>
      <w:pPr>
        <w:pStyle w:val="ListParagraph"/>
        <w:numPr>
          <w:ilvl w:val="0"/>
          <w:numId w:val="1"/>
        </w:numPr>
        <w:spacing w:after="100" w:line="360" w:lineRule="auto"/>
        <w:ind w:firstLine="0"/>
        <w:jc w:val="both"/>
      </w:pPr>
      <w:r>
        <w:rPr>
          <w:sz w:val="24"/>
          <w:szCs w:val="24"/>
        </w:rPr>
        <w:t xml:space="preserve">canais de comunicação interna, contratual, regulatória e com titulares.</w:t>
      </w:r>
    </w:p>
    <w:p>
      <w:pPr>
        <w:spacing w:after="120" w:line="360" w:lineRule="auto"/>
        <w:ind w:firstLine="709"/>
        <w:jc w:val="both"/>
      </w:pPr>
      <w:r>
        <w:rPr>
          <w:b/>
          <w:bCs/>
          <w:sz w:val="24"/>
          <w:szCs w:val="24"/>
        </w:rPr>
        <w:t xml:space="preserve">Sistemas e papel responsável por conceder acesso de emergência a cada um: </w:t>
      </w:r>
      <w:r>
        <w:rPr>
          <w:i/>
          <w:iCs/>
          <w:color w:val="595959"/>
          <w:sz w:val="24"/>
          <w:szCs w:val="24"/>
        </w:rPr>
        <w:t xml:space="preserve">[preencher]</w:t>
      </w:r>
    </w:p>
    <w:p>
      <w:pPr>
        <w:pStyle w:val="Heading1"/>
        <w:spacing w:after="160" w:before="360"/>
        <w:ind w:firstLine="0"/>
      </w:pPr>
      <w:r>
        <w:t xml:space="preserve">Classificação e escalonamento</w:t>
      </w:r>
    </w:p>
    <w:p>
      <w:pPr>
        <w:pStyle w:val="Heading2"/>
        <w:spacing w:after="120" w:before="240"/>
        <w:ind w:firstLine="0"/>
      </w:pPr>
      <w:r>
        <w:t xml:space="preserve">Critérios operacionais de severidade/impacto</w:t>
      </w:r>
    </w:p>
    <w:p>
      <w:pPr>
        <w:spacing w:after="160" w:line="360" w:lineRule="auto"/>
        <w:ind w:firstLine="709"/>
        <w:jc w:val="both"/>
      </w:pPr>
      <w:r>
        <w:rPr>
          <w:sz w:val="24"/>
          <w:szCs w:val="24"/>
        </w:rPr>
        <w:t xml:space="preserve">A classificação técnica inicial considera, no mínimo: tipo de violação (confidencialidade, integridade, disponibilidade, autenticidade), criticidade dos sistemas/dados afetados, extensão estimada e reversibilidade.</w:t>
      </w:r>
    </w:p>
    <w:p>
      <w:pPr>
        <w:spacing w:after="120" w:line="360" w:lineRule="auto"/>
        <w:ind w:firstLine="709"/>
        <w:jc w:val="both"/>
      </w:pPr>
      <w:r>
        <w:rPr>
          <w:b/>
          <w:bCs/>
          <w:sz w:val="24"/>
          <w:szCs w:val="24"/>
        </w:rPr>
        <w:t xml:space="preserve">Níveis de severidade e limiares de cada nível, se adotados: </w:t>
      </w:r>
      <w:r>
        <w:rPr>
          <w:i/>
          <w:iCs/>
          <w:color w:val="595959"/>
          <w:sz w:val="24"/>
          <w:szCs w:val="24"/>
        </w:rPr>
        <w:t xml:space="preserve">[preencher]</w:t>
      </w:r>
    </w:p>
    <w:p>
      <w:pPr>
        <w:spacing w:after="160" w:line="360" w:lineRule="auto"/>
        <w:ind w:firstLine="709"/>
        <w:jc w:val="both"/>
      </w:pPr>
      <w:r>
        <w:rPr>
          <w:sz w:val="24"/>
          <w:szCs w:val="24"/>
        </w:rPr>
        <w:t xml:space="preserve">Como referência opcional, não substitutiva do campo acima, a organização pode adotar um modelo qualitativo de três eixos (adaptado do Guia de Elaboração de PPSI/SGD), combinando impacto no negócio, impacto em dados e recuperabilidade, cada um em quatro níveis: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1800"/>
        <w:gridCol w:w="1800"/>
        <w:gridCol w:w="1800"/>
      </w:tblGrid>
      <w:tr>
        <w:trPr>
          <w:tblHeader/>
        </w:trPr>
        <w:tc>
          <w:tcPr>
            <w:tcW w:type="dxa" w:w="1800"/>
            <w:shd w:fill="1F3864" w:val="clear"/>
            <w:tcMar>
              <w:top w:type="dxa" w:w="80"/>
              <w:left w:type="dxa" w:w="100"/>
              <w:bottom w:type="dxa" w:w="80"/>
              <w:right w:type="dxa" w:w="100"/>
            </w:tcMar>
            <w:vAlign w:val="center"/>
          </w:tcPr>
          <w:p>
            <w:r>
              <w:rPr>
                <w:b/>
                <w:bCs/>
                <w:color w:val="FFFFFF"/>
                <w:sz w:val="18"/>
                <w:szCs w:val="18"/>
              </w:rPr>
              <w:t xml:space="preserve">Eixo</w:t>
            </w:r>
          </w:p>
        </w:tc>
        <w:tc>
          <w:tcPr>
            <w:tcW w:type="dxa" w:w="1800"/>
            <w:shd w:fill="1F3864" w:val="clear"/>
            <w:tcMar>
              <w:top w:type="dxa" w:w="80"/>
              <w:left w:type="dxa" w:w="100"/>
              <w:bottom w:type="dxa" w:w="80"/>
              <w:right w:type="dxa" w:w="100"/>
            </w:tcMar>
            <w:vAlign w:val="center"/>
          </w:tcPr>
          <w:p>
            <w:r>
              <w:rPr>
                <w:b/>
                <w:bCs/>
                <w:color w:val="FFFFFF"/>
                <w:sz w:val="18"/>
                <w:szCs w:val="18"/>
              </w:rPr>
              <w:t xml:space="preserve">Nível 1 (baixo)</w:t>
            </w:r>
          </w:p>
        </w:tc>
        <w:tc>
          <w:tcPr>
            <w:tcW w:type="dxa" w:w="1800"/>
            <w:shd w:fill="1F3864" w:val="clear"/>
            <w:tcMar>
              <w:top w:type="dxa" w:w="80"/>
              <w:left w:type="dxa" w:w="100"/>
              <w:bottom w:type="dxa" w:w="80"/>
              <w:right w:type="dxa" w:w="100"/>
            </w:tcMar>
            <w:vAlign w:val="center"/>
          </w:tcPr>
          <w:p>
            <w:r>
              <w:rPr>
                <w:b/>
                <w:bCs/>
                <w:color w:val="FFFFFF"/>
                <w:sz w:val="18"/>
                <w:szCs w:val="18"/>
              </w:rPr>
              <w:t xml:space="preserve">Nível 2</w:t>
            </w:r>
          </w:p>
        </w:tc>
        <w:tc>
          <w:tcPr>
            <w:tcW w:type="dxa" w:w="1800"/>
            <w:shd w:fill="1F3864" w:val="clear"/>
            <w:tcMar>
              <w:top w:type="dxa" w:w="80"/>
              <w:left w:type="dxa" w:w="100"/>
              <w:bottom w:type="dxa" w:w="80"/>
              <w:right w:type="dxa" w:w="100"/>
            </w:tcMar>
            <w:vAlign w:val="center"/>
          </w:tcPr>
          <w:p>
            <w:r>
              <w:rPr>
                <w:b/>
                <w:bCs/>
                <w:color w:val="FFFFFF"/>
                <w:sz w:val="18"/>
                <w:szCs w:val="18"/>
              </w:rPr>
              <w:t xml:space="preserve">Nível 3</w:t>
            </w:r>
          </w:p>
        </w:tc>
        <w:tc>
          <w:tcPr>
            <w:tcW w:type="dxa" w:w="1800"/>
            <w:shd w:fill="1F3864" w:val="clear"/>
            <w:tcMar>
              <w:top w:type="dxa" w:w="80"/>
              <w:left w:type="dxa" w:w="100"/>
              <w:bottom w:type="dxa" w:w="80"/>
              <w:right w:type="dxa" w:w="100"/>
            </w:tcMar>
            <w:vAlign w:val="center"/>
          </w:tcPr>
          <w:p>
            <w:r>
              <w:rPr>
                <w:b/>
                <w:bCs/>
                <w:color w:val="FFFFFF"/>
                <w:sz w:val="18"/>
                <w:szCs w:val="18"/>
              </w:rPr>
              <w:t xml:space="preserve">Nível 4 (crítico)</w:t>
            </w:r>
          </w:p>
        </w:tc>
      </w:tr>
      <w:tr>
        <w:tc>
          <w:tcPr>
            <w:tcW w:type="dxa" w:w="1800"/>
            <w:tcMar>
              <w:top w:type="dxa" w:w="80"/>
              <w:left w:type="dxa" w:w="100"/>
              <w:bottom w:type="dxa" w:w="80"/>
              <w:right w:type="dxa" w:w="100"/>
            </w:tcMar>
            <w:vAlign w:val="center"/>
          </w:tcPr>
          <w:p>
            <w:r>
              <w:rPr>
                <w:b w:val="false"/>
                <w:bCs w:val="false"/>
                <w:color w:val="000000"/>
                <w:sz w:val="18"/>
                <w:szCs w:val="18"/>
              </w:rPr>
              <w:t xml:space="preserve">Impacto no negócio</w:t>
            </w:r>
          </w:p>
        </w:tc>
        <w:tc>
          <w:tcPr>
            <w:tcW w:type="dxa" w:w="1800"/>
            <w:tcMar>
              <w:top w:type="dxa" w:w="80"/>
              <w:left w:type="dxa" w:w="100"/>
              <w:bottom w:type="dxa" w:w="80"/>
              <w:right w:type="dxa" w:w="100"/>
            </w:tcMar>
            <w:vAlign w:val="center"/>
          </w:tcPr>
          <w:p>
            <w:r>
              <w:rPr>
                <w:b w:val="false"/>
                <w:bCs w:val="false"/>
                <w:color w:val="000000"/>
                <w:sz w:val="18"/>
                <w:szCs w:val="18"/>
              </w:rPr>
              <w:t xml:space="preserve">Sem efeito perceptível na operação</w:t>
            </w:r>
          </w:p>
        </w:tc>
        <w:tc>
          <w:tcPr>
            <w:tcW w:type="dxa" w:w="1800"/>
            <w:tcMar>
              <w:top w:type="dxa" w:w="80"/>
              <w:left w:type="dxa" w:w="100"/>
              <w:bottom w:type="dxa" w:w="80"/>
              <w:right w:type="dxa" w:w="100"/>
            </w:tcMar>
            <w:vAlign w:val="center"/>
          </w:tcPr>
          <w:p>
            <w:r>
              <w:rPr>
                <w:b w:val="false"/>
                <w:bCs w:val="false"/>
                <w:color w:val="000000"/>
                <w:sz w:val="18"/>
                <w:szCs w:val="18"/>
              </w:rPr>
              <w:t xml:space="preserve">Degradação pontual, sem interrupção de serviço essencial</w:t>
            </w:r>
          </w:p>
        </w:tc>
        <w:tc>
          <w:tcPr>
            <w:tcW w:type="dxa" w:w="1800"/>
            <w:tcMar>
              <w:top w:type="dxa" w:w="80"/>
              <w:left w:type="dxa" w:w="100"/>
              <w:bottom w:type="dxa" w:w="80"/>
              <w:right w:type="dxa" w:w="100"/>
            </w:tcMar>
            <w:vAlign w:val="center"/>
          </w:tcPr>
          <w:p>
            <w:r>
              <w:rPr>
                <w:b w:val="false"/>
                <w:bCs w:val="false"/>
                <w:color w:val="000000"/>
                <w:sz w:val="18"/>
                <w:szCs w:val="18"/>
              </w:rPr>
              <w:t xml:space="preserve">Interrupção de serviço essencial, com contorno disponível</w:t>
            </w:r>
          </w:p>
        </w:tc>
        <w:tc>
          <w:tcPr>
            <w:tcW w:type="dxa" w:w="1800"/>
            <w:tcMar>
              <w:top w:type="dxa" w:w="80"/>
              <w:left w:type="dxa" w:w="100"/>
              <w:bottom w:type="dxa" w:w="80"/>
              <w:right w:type="dxa" w:w="100"/>
            </w:tcMar>
            <w:vAlign w:val="center"/>
          </w:tcPr>
          <w:p>
            <w:r>
              <w:rPr>
                <w:b w:val="false"/>
                <w:bCs w:val="false"/>
                <w:color w:val="000000"/>
                <w:sz w:val="18"/>
                <w:szCs w:val="18"/>
              </w:rPr>
              <w:t xml:space="preserve">Interrupção de serviço essencial, sem contorno disponível</w:t>
            </w:r>
          </w:p>
        </w:tc>
      </w:tr>
      <w:tr>
        <w:tc>
          <w:tcPr>
            <w:tcW w:type="dxa" w:w="1800"/>
            <w:tcMar>
              <w:top w:type="dxa" w:w="80"/>
              <w:left w:type="dxa" w:w="100"/>
              <w:bottom w:type="dxa" w:w="80"/>
              <w:right w:type="dxa" w:w="100"/>
            </w:tcMar>
            <w:vAlign w:val="center"/>
          </w:tcPr>
          <w:p>
            <w:r>
              <w:rPr>
                <w:b w:val="false"/>
                <w:bCs w:val="false"/>
                <w:color w:val="000000"/>
                <w:sz w:val="18"/>
                <w:szCs w:val="18"/>
              </w:rPr>
              <w:t xml:space="preserve">Impacto em dados</w:t>
            </w:r>
          </w:p>
        </w:tc>
        <w:tc>
          <w:tcPr>
            <w:tcW w:type="dxa" w:w="1800"/>
            <w:tcMar>
              <w:top w:type="dxa" w:w="80"/>
              <w:left w:type="dxa" w:w="100"/>
              <w:bottom w:type="dxa" w:w="80"/>
              <w:right w:type="dxa" w:w="100"/>
            </w:tcMar>
            <w:vAlign w:val="center"/>
          </w:tcPr>
          <w:p>
            <w:r>
              <w:rPr>
                <w:b w:val="false"/>
                <w:bCs w:val="false"/>
                <w:color w:val="000000"/>
                <w:sz w:val="18"/>
                <w:szCs w:val="18"/>
              </w:rPr>
              <w:t xml:space="preserve">Nenhum dado pessoal ou sensível envolvido</w:t>
            </w:r>
          </w:p>
        </w:tc>
        <w:tc>
          <w:tcPr>
            <w:tcW w:type="dxa" w:w="1800"/>
            <w:tcMar>
              <w:top w:type="dxa" w:w="80"/>
              <w:left w:type="dxa" w:w="100"/>
              <w:bottom w:type="dxa" w:w="80"/>
              <w:right w:type="dxa" w:w="100"/>
            </w:tcMar>
            <w:vAlign w:val="center"/>
          </w:tcPr>
          <w:p>
            <w:r>
              <w:rPr>
                <w:b w:val="false"/>
                <w:bCs w:val="false"/>
                <w:color w:val="000000"/>
                <w:sz w:val="18"/>
                <w:szCs w:val="18"/>
              </w:rPr>
              <w:t xml:space="preserve">Dados pessoais comuns, volume limitado</w:t>
            </w:r>
          </w:p>
        </w:tc>
        <w:tc>
          <w:tcPr>
            <w:tcW w:type="dxa" w:w="1800"/>
            <w:tcMar>
              <w:top w:type="dxa" w:w="80"/>
              <w:left w:type="dxa" w:w="100"/>
              <w:bottom w:type="dxa" w:w="80"/>
              <w:right w:type="dxa" w:w="100"/>
            </w:tcMar>
            <w:vAlign w:val="center"/>
          </w:tcPr>
          <w:p>
            <w:r>
              <w:rPr>
                <w:b w:val="false"/>
                <w:bCs w:val="false"/>
                <w:color w:val="000000"/>
                <w:sz w:val="18"/>
                <w:szCs w:val="18"/>
              </w:rPr>
              <w:t xml:space="preserve">Dados pessoais sensíveis, ou volume expressivo de dados comuns</w:t>
            </w:r>
          </w:p>
        </w:tc>
        <w:tc>
          <w:tcPr>
            <w:tcW w:type="dxa" w:w="1800"/>
            <w:tcMar>
              <w:top w:type="dxa" w:w="80"/>
              <w:left w:type="dxa" w:w="100"/>
              <w:bottom w:type="dxa" w:w="80"/>
              <w:right w:type="dxa" w:w="100"/>
            </w:tcMar>
            <w:vAlign w:val="center"/>
          </w:tcPr>
          <w:p>
            <w:r>
              <w:rPr>
                <w:b w:val="false"/>
                <w:bCs w:val="false"/>
                <w:color w:val="000000"/>
                <w:sz w:val="18"/>
                <w:szCs w:val="18"/>
              </w:rPr>
              <w:t xml:space="preserve">Dados sensíveis em volume expressivo, ou dados de grupos vulneráveis</w:t>
            </w:r>
          </w:p>
        </w:tc>
      </w:tr>
      <w:tr>
        <w:tc>
          <w:tcPr>
            <w:tcW w:type="dxa" w:w="1800"/>
            <w:tcMar>
              <w:top w:type="dxa" w:w="80"/>
              <w:left w:type="dxa" w:w="100"/>
              <w:bottom w:type="dxa" w:w="80"/>
              <w:right w:type="dxa" w:w="100"/>
            </w:tcMar>
            <w:vAlign w:val="center"/>
          </w:tcPr>
          <w:p>
            <w:r>
              <w:rPr>
                <w:b w:val="false"/>
                <w:bCs w:val="false"/>
                <w:color w:val="000000"/>
                <w:sz w:val="18"/>
                <w:szCs w:val="18"/>
              </w:rPr>
              <w:t xml:space="preserve">Recuperabilidade</w:t>
            </w:r>
          </w:p>
        </w:tc>
        <w:tc>
          <w:tcPr>
            <w:tcW w:type="dxa" w:w="1800"/>
            <w:tcMar>
              <w:top w:type="dxa" w:w="80"/>
              <w:left w:type="dxa" w:w="100"/>
              <w:bottom w:type="dxa" w:w="80"/>
              <w:right w:type="dxa" w:w="100"/>
            </w:tcMar>
            <w:vAlign w:val="center"/>
          </w:tcPr>
          <w:p>
            <w:r>
              <w:rPr>
                <w:b w:val="false"/>
                <w:bCs w:val="false"/>
                <w:color w:val="000000"/>
                <w:sz w:val="18"/>
                <w:szCs w:val="18"/>
              </w:rPr>
              <w:t xml:space="preserve">Restauração imediata, sem perda</w:t>
            </w:r>
          </w:p>
        </w:tc>
        <w:tc>
          <w:tcPr>
            <w:tcW w:type="dxa" w:w="1800"/>
            <w:tcMar>
              <w:top w:type="dxa" w:w="80"/>
              <w:left w:type="dxa" w:w="100"/>
              <w:bottom w:type="dxa" w:w="80"/>
              <w:right w:type="dxa" w:w="100"/>
            </w:tcMar>
            <w:vAlign w:val="center"/>
          </w:tcPr>
          <w:p>
            <w:r>
              <w:rPr>
                <w:b w:val="false"/>
                <w:bCs w:val="false"/>
                <w:color w:val="000000"/>
                <w:sz w:val="18"/>
                <w:szCs w:val="18"/>
              </w:rPr>
              <w:t xml:space="preserve">Restauração em horas, perda mínima</w:t>
            </w:r>
          </w:p>
        </w:tc>
        <w:tc>
          <w:tcPr>
            <w:tcW w:type="dxa" w:w="1800"/>
            <w:tcMar>
              <w:top w:type="dxa" w:w="80"/>
              <w:left w:type="dxa" w:w="100"/>
              <w:bottom w:type="dxa" w:w="80"/>
              <w:right w:type="dxa" w:w="100"/>
            </w:tcMar>
            <w:vAlign w:val="center"/>
          </w:tcPr>
          <w:p>
            <w:r>
              <w:rPr>
                <w:b w:val="false"/>
                <w:bCs w:val="false"/>
                <w:color w:val="000000"/>
                <w:sz w:val="18"/>
                <w:szCs w:val="18"/>
              </w:rPr>
              <w:t xml:space="preserve">Restauração em dias, perda parcial relevante</w:t>
            </w:r>
          </w:p>
        </w:tc>
        <w:tc>
          <w:tcPr>
            <w:tcW w:type="dxa" w:w="1800"/>
            <w:tcMar>
              <w:top w:type="dxa" w:w="80"/>
              <w:left w:type="dxa" w:w="100"/>
              <w:bottom w:type="dxa" w:w="80"/>
              <w:right w:type="dxa" w:w="100"/>
            </w:tcMar>
            <w:vAlign w:val="center"/>
          </w:tcPr>
          <w:p>
            <w:r>
              <w:rPr>
                <w:b w:val="false"/>
                <w:bCs w:val="false"/>
                <w:color w:val="000000"/>
                <w:sz w:val="18"/>
                <w:szCs w:val="18"/>
              </w:rPr>
              <w:t xml:space="preserve">Restauração incerta ou com perda relevante e irreversível</w:t>
            </w:r>
          </w:p>
        </w:tc>
      </w:tr>
    </w:tbl>
    <w:p>
      <w:pPr>
        <w:spacing w:after="160" w:line="360" w:lineRule="auto"/>
        <w:ind w:firstLine="709"/>
        <w:jc w:val="both"/>
      </w:pPr>
      <w:r>
        <w:rPr>
          <w:sz w:val="24"/>
          <w:szCs w:val="24"/>
        </w:rPr>
        <w:t xml:space="preserve">Este modelo de referência não substitui a classificação qualitativa já adotada pela organização no campo acima; serve apenas como ponto de partida para quem ainda não tiver definido níveis e limiares próprios, e deve ser adaptado, nunca aplicado de forma automática.</w:t>
      </w:r>
    </w:p>
    <w:p>
      <w:pPr>
        <w:pStyle w:val="Heading2"/>
        <w:spacing w:after="120" w:before="240"/>
        <w:ind w:firstLine="0"/>
      </w:pPr>
      <w:r>
        <w:t xml:space="preserve">Autoridades de decisão e escalonamento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000"/>
        <w:gridCol w:w="3600"/>
      </w:tblGrid>
      <w:tr>
        <w:trPr>
          <w:tblHeader/>
        </w:trPr>
        <w:tc>
          <w:tcPr>
            <w:tcW w:type="dxa" w:w="2400"/>
            <w:shd w:fill="1F3864" w:val="clear"/>
            <w:tcMar>
              <w:top w:type="dxa" w:w="80"/>
              <w:left w:type="dxa" w:w="100"/>
              <w:bottom w:type="dxa" w:w="80"/>
              <w:right w:type="dxa" w:w="100"/>
            </w:tcMar>
            <w:vAlign w:val="center"/>
          </w:tcPr>
          <w:p>
            <w:r>
              <w:rPr>
                <w:b/>
                <w:bCs/>
                <w:color w:val="FFFFFF"/>
                <w:sz w:val="18"/>
                <w:szCs w:val="18"/>
              </w:rPr>
              <w:t xml:space="preserve">Nível de severidade técnica</w:t>
            </w:r>
          </w:p>
        </w:tc>
        <w:tc>
          <w:tcPr>
            <w:tcW w:type="dxa" w:w="3000"/>
            <w:shd w:fill="1F3864" w:val="clear"/>
            <w:tcMar>
              <w:top w:type="dxa" w:w="80"/>
              <w:left w:type="dxa" w:w="100"/>
              <w:bottom w:type="dxa" w:w="80"/>
              <w:right w:type="dxa" w:w="100"/>
            </w:tcMar>
            <w:vAlign w:val="center"/>
          </w:tcPr>
          <w:p>
            <w:r>
              <w:rPr>
                <w:b/>
                <w:bCs/>
                <w:color w:val="FFFFFF"/>
                <w:sz w:val="18"/>
                <w:szCs w:val="18"/>
              </w:rPr>
              <w:t xml:space="preserve">Autoridade de decisão</w:t>
            </w:r>
          </w:p>
        </w:tc>
        <w:tc>
          <w:tcPr>
            <w:tcW w:type="dxa" w:w="3600"/>
            <w:shd w:fill="1F3864" w:val="clear"/>
            <w:tcMar>
              <w:top w:type="dxa" w:w="80"/>
              <w:left w:type="dxa" w:w="100"/>
              <w:bottom w:type="dxa" w:w="80"/>
              <w:right w:type="dxa" w:w="100"/>
            </w:tcMar>
            <w:vAlign w:val="center"/>
          </w:tcPr>
          <w:p>
            <w:r>
              <w:rPr>
                <w:b/>
                <w:bCs/>
                <w:color w:val="FFFFFF"/>
                <w:sz w:val="18"/>
                <w:szCs w:val="18"/>
              </w:rPr>
              <w:t xml:space="preserve">Participação obrigatória</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Baixa]</w:t>
            </w:r>
          </w:p>
        </w:tc>
        <w:tc>
          <w:tcPr>
            <w:tcW w:type="dxa" w:w="30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3600"/>
            <w:tcMar>
              <w:top w:type="dxa" w:w="80"/>
              <w:left w:type="dxa" w:w="100"/>
              <w:bottom w:type="dxa" w:w="80"/>
              <w:right w:type="dxa" w:w="100"/>
            </w:tcMar>
            <w:vAlign w:val="center"/>
          </w:tcPr>
          <w:p>
            <w:r>
              <w:rPr>
                <w:b w:val="false"/>
                <w:bCs w:val="false"/>
                <w:color w:val="000000"/>
                <w:sz w:val="18"/>
                <w:szCs w:val="18"/>
              </w:rPr>
              <w:t xml:space="preserve">Segurança, TI</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Média]</w:t>
            </w:r>
          </w:p>
        </w:tc>
        <w:tc>
          <w:tcPr>
            <w:tcW w:type="dxa" w:w="30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3600"/>
            <w:tcMar>
              <w:top w:type="dxa" w:w="80"/>
              <w:left w:type="dxa" w:w="100"/>
              <w:bottom w:type="dxa" w:w="80"/>
              <w:right w:type="dxa" w:w="100"/>
            </w:tcMar>
            <w:vAlign w:val="center"/>
          </w:tcPr>
          <w:p>
            <w:r>
              <w:rPr>
                <w:b w:val="false"/>
                <w:bCs w:val="false"/>
                <w:color w:val="000000"/>
                <w:sz w:val="18"/>
                <w:szCs w:val="18"/>
              </w:rPr>
              <w:t xml:space="preserve">+ Encarregado (avaliação preliminar de dados pessoais)</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Alta]</w:t>
            </w:r>
          </w:p>
        </w:tc>
        <w:tc>
          <w:tcPr>
            <w:tcW w:type="dxa" w:w="3000"/>
            <w:tcMar>
              <w:top w:type="dxa" w:w="80"/>
              <w:left w:type="dxa" w:w="100"/>
              <w:bottom w:type="dxa" w:w="80"/>
              <w:right w:type="dxa" w:w="100"/>
            </w:tcMar>
            <w:vAlign w:val="center"/>
          </w:tcPr>
          <w:p>
            <w:r>
              <w:rPr>
                <w:b w:val="false"/>
                <w:bCs w:val="false"/>
                <w:color w:val="000000"/>
                <w:sz w:val="18"/>
                <w:szCs w:val="18"/>
              </w:rPr>
              <w:t xml:space="preserve">Líder de Resposta + Direção (ciência)</w:t>
            </w:r>
          </w:p>
        </w:tc>
        <w:tc>
          <w:tcPr>
            <w:tcW w:type="dxa" w:w="3600"/>
            <w:tcMar>
              <w:top w:type="dxa" w:w="80"/>
              <w:left w:type="dxa" w:w="100"/>
              <w:bottom w:type="dxa" w:w="80"/>
              <w:right w:type="dxa" w:w="100"/>
            </w:tcMar>
            <w:vAlign w:val="center"/>
          </w:tcPr>
          <w:p>
            <w:r>
              <w:rPr>
                <w:b w:val="false"/>
                <w:bCs w:val="false"/>
                <w:color w:val="000000"/>
                <w:sz w:val="18"/>
                <w:szCs w:val="18"/>
              </w:rPr>
              <w:t xml:space="preserve">+ Jurídico, Comunicação</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Crítica]</w:t>
            </w:r>
          </w:p>
        </w:tc>
        <w:tc>
          <w:tcPr>
            <w:tcW w:type="dxa" w:w="3000"/>
            <w:tcMar>
              <w:top w:type="dxa" w:w="80"/>
              <w:left w:type="dxa" w:w="100"/>
              <w:bottom w:type="dxa" w:w="80"/>
              <w:right w:type="dxa" w:w="100"/>
            </w:tcMar>
            <w:vAlign w:val="center"/>
          </w:tcPr>
          <w:p>
            <w:r>
              <w:rPr>
                <w:b w:val="false"/>
                <w:bCs w:val="false"/>
                <w:color w:val="000000"/>
                <w:sz w:val="18"/>
                <w:szCs w:val="18"/>
              </w:rPr>
              <w:t xml:space="preserve">Direção</w:t>
            </w:r>
          </w:p>
        </w:tc>
        <w:tc>
          <w:tcPr>
            <w:tcW w:type="dxa" w:w="3600"/>
            <w:tcMar>
              <w:top w:type="dxa" w:w="80"/>
              <w:left w:type="dxa" w:w="100"/>
              <w:bottom w:type="dxa" w:w="80"/>
              <w:right w:type="dxa" w:w="100"/>
            </w:tcMar>
            <w:vAlign w:val="center"/>
          </w:tcPr>
          <w:p>
            <w:r>
              <w:rPr>
                <w:b w:val="false"/>
                <w:bCs w:val="false"/>
                <w:color w:val="000000"/>
                <w:sz w:val="18"/>
                <w:szCs w:val="18"/>
              </w:rPr>
              <w:t xml:space="preserve">+ Continuidade, Jurídico, Encarregado, Comunicação</w:t>
            </w:r>
          </w:p>
        </w:tc>
      </w:tr>
    </w:tbl>
    <w:p>
      <w:pPr>
        <w:pStyle w:val="Heading2"/>
        <w:spacing w:after="120" w:before="240"/>
        <w:ind w:firstLine="0"/>
      </w:pPr>
      <w:r>
        <w:t xml:space="preserve">Critérios de participação de áreas específicas</w:t>
      </w:r>
    </w:p>
    <w:p>
      <w:pPr>
        <w:pStyle w:val="ListParagraph"/>
        <w:numPr>
          <w:ilvl w:val="0"/>
          <w:numId w:val="1"/>
        </w:numPr>
        <w:spacing w:after="100" w:line="360" w:lineRule="auto"/>
        <w:ind w:firstLine="0"/>
        <w:jc w:val="both"/>
      </w:pPr>
      <w:r>
        <w:rPr>
          <w:sz w:val="24"/>
          <w:szCs w:val="24"/>
        </w:rPr>
        <w:t xml:space="preserve">Negócio: sempre que o incidente afetar dados ou processos sob responsabilidade da área, ou clientes diretamente atendidos por ela.</w:t>
      </w:r>
    </w:p>
    <w:p>
      <w:pPr>
        <w:pStyle w:val="ListParagraph"/>
        <w:numPr>
          <w:ilvl w:val="0"/>
          <w:numId w:val="1"/>
        </w:numPr>
        <w:spacing w:after="100" w:line="360" w:lineRule="auto"/>
        <w:ind w:firstLine="0"/>
        <w:jc w:val="both"/>
      </w:pPr>
      <w:r>
        <w:rPr>
          <w:sz w:val="24"/>
          <w:szCs w:val="24"/>
        </w:rPr>
        <w:t xml:space="preserve">Continuidade de Negócio: sempre que houver indisponibilidade de sistema ou serviço crítico, ou risco de indisponibilidade decorrente da contenção.</w:t>
      </w:r>
    </w:p>
    <w:p>
      <w:pPr>
        <w:pStyle w:val="ListParagraph"/>
        <w:numPr>
          <w:ilvl w:val="0"/>
          <w:numId w:val="1"/>
        </w:numPr>
        <w:spacing w:after="100" w:line="360" w:lineRule="auto"/>
        <w:ind w:firstLine="0"/>
        <w:jc w:val="both"/>
      </w:pPr>
      <w:r>
        <w:rPr>
          <w:sz w:val="24"/>
          <w:szCs w:val="24"/>
        </w:rPr>
        <w:t xml:space="preserve">Jurídico e Encarregado: sempre que houver indício de envolvimento de dados pessoais: mesmo antes da confirmação completa.</w:t>
      </w:r>
    </w:p>
    <w:p>
      <w:pPr>
        <w:pStyle w:val="ListParagraph"/>
        <w:numPr>
          <w:ilvl w:val="0"/>
          <w:numId w:val="1"/>
        </w:numPr>
        <w:spacing w:after="100" w:line="360" w:lineRule="auto"/>
        <w:ind w:firstLine="0"/>
        <w:jc w:val="both"/>
      </w:pPr>
      <w:r>
        <w:rPr>
          <w:sz w:val="24"/>
          <w:szCs w:val="24"/>
        </w:rPr>
        <w:t xml:space="preserve">Comunicação: sempre que houver risco de repercussão externa, contratual ou regulatória.</w:t>
      </w:r>
    </w:p>
    <w:p>
      <w:pPr>
        <w:pStyle w:val="Heading2"/>
        <w:spacing w:after="120" w:before="240"/>
        <w:ind w:firstLine="0"/>
      </w:pPr>
      <w:r>
        <w:t xml:space="preserve">Distinção entre classificação técnica e avaliação regulatória</w:t>
      </w:r>
    </w:p>
    <w:p>
      <w:pPr>
        <w:spacing w:after="160" w:line="360" w:lineRule="auto"/>
        <w:ind w:firstLine="709"/>
        <w:jc w:val="both"/>
      </w:pPr>
      <w:r>
        <w:rPr>
          <w:sz w:val="24"/>
          <w:szCs w:val="24"/>
        </w:rPr>
        <w:t xml:space="preserve">A classificação técnica de severidade e a avaliação regulatória do risco aos titulares são registradas em instrumentos distintos (Instrumento 1 e Instrumento 2) e podem evoluir de forma independente. Nenhuma das duas decide a outra automaticamente.</w:t>
      </w:r>
    </w:p>
    <w:p>
      <w:pPr>
        <w:pStyle w:val="Heading2"/>
        <w:spacing w:after="120" w:before="240"/>
        <w:ind w:firstLine="0"/>
      </w:pPr>
      <w:r>
        <w:t xml:space="preserve">Matriz de autoridade de decisão</w:t>
      </w:r>
    </w:p>
    <w:p>
      <w:pPr>
        <w:spacing w:after="160" w:line="360" w:lineRule="auto"/>
        <w:ind w:firstLine="709"/>
        <w:jc w:val="both"/>
      </w:pPr>
      <w:r>
        <w:rPr>
          <w:sz w:val="24"/>
          <w:szCs w:val="24"/>
        </w:rPr>
        <w:t xml:space="preserve">A tabela da seção 2.2 orienta o escalonamento por severidade; esta matriz complementa a Política (seção 6) nomeando, decisão a decisão, quem decide, quem substitui e qual evidência a decisão deve deixar: o mesmo papel que uma matriz RACI (ver Política, seção 5, e governanca/01-papeis-e-escalonamento.md) cumpre para a participação, mas aqui para a autoridade de decidir.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200"/>
        <w:gridCol w:w="1600"/>
        <w:gridCol w:w="2600"/>
      </w:tblGrid>
      <w:tr>
        <w:trPr>
          <w:tblHeader/>
        </w:trPr>
        <w:tc>
          <w:tcPr>
            <w:tcW w:type="dxa" w:w="2600"/>
            <w:shd w:fill="1F3864" w:val="clear"/>
            <w:tcMar>
              <w:top w:type="dxa" w:w="80"/>
              <w:left w:type="dxa" w:w="100"/>
              <w:bottom w:type="dxa" w:w="80"/>
              <w:right w:type="dxa" w:w="100"/>
            </w:tcMar>
            <w:vAlign w:val="center"/>
          </w:tcPr>
          <w:p>
            <w:r>
              <w:rPr>
                <w:b/>
                <w:bCs/>
                <w:color w:val="FFFFFF"/>
                <w:sz w:val="18"/>
                <w:szCs w:val="18"/>
              </w:rPr>
              <w:t xml:space="preserve">Decisão</w:t>
            </w:r>
          </w:p>
        </w:tc>
        <w:tc>
          <w:tcPr>
            <w:tcW w:type="dxa" w:w="2200"/>
            <w:shd w:fill="1F3864" w:val="clear"/>
            <w:tcMar>
              <w:top w:type="dxa" w:w="80"/>
              <w:left w:type="dxa" w:w="100"/>
              <w:bottom w:type="dxa" w:w="80"/>
              <w:right w:type="dxa" w:w="100"/>
            </w:tcMar>
            <w:vAlign w:val="center"/>
          </w:tcPr>
          <w:p>
            <w:r>
              <w:rPr>
                <w:b/>
                <w:bCs/>
                <w:color w:val="FFFFFF"/>
                <w:sz w:val="18"/>
                <w:szCs w:val="18"/>
              </w:rPr>
              <w:t xml:space="preserve">Autoridade</w:t>
            </w:r>
          </w:p>
        </w:tc>
        <w:tc>
          <w:tcPr>
            <w:tcW w:type="dxa" w:w="1600"/>
            <w:shd w:fill="1F3864" w:val="clear"/>
            <w:tcMar>
              <w:top w:type="dxa" w:w="80"/>
              <w:left w:type="dxa" w:w="100"/>
              <w:bottom w:type="dxa" w:w="80"/>
              <w:right w:type="dxa" w:w="100"/>
            </w:tcMar>
            <w:vAlign w:val="center"/>
          </w:tcPr>
          <w:p>
            <w:r>
              <w:rPr>
                <w:b/>
                <w:bCs/>
                <w:color w:val="FFFFFF"/>
                <w:sz w:val="18"/>
                <w:szCs w:val="18"/>
              </w:rPr>
              <w:t xml:space="preserve">Delegado</w:t>
            </w:r>
          </w:p>
        </w:tc>
        <w:tc>
          <w:tcPr>
            <w:tcW w:type="dxa" w:w="2600"/>
            <w:shd w:fill="1F3864" w:val="clear"/>
            <w:tcMar>
              <w:top w:type="dxa" w:w="80"/>
              <w:left w:type="dxa" w:w="100"/>
              <w:bottom w:type="dxa" w:w="80"/>
              <w:right w:type="dxa" w:w="100"/>
            </w:tcMar>
            <w:vAlign w:val="center"/>
          </w:tcPr>
          <w:p>
            <w:r>
              <w:rPr>
                <w:b/>
                <w:bCs/>
                <w:color w:val="FFFFFF"/>
                <w:sz w:val="18"/>
                <w:szCs w:val="18"/>
              </w:rPr>
              <w:t xml:space="preserve">Documentação exigida</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Declarar o incidente</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1600"/>
            <w:tcMar>
              <w:top w:type="dxa" w:w="80"/>
              <w:left w:type="dxa" w:w="100"/>
              <w:bottom w:type="dxa" w:w="80"/>
              <w:right w:type="dxa" w:w="100"/>
            </w:tcMar>
            <w:vAlign w:val="center"/>
          </w:tcPr>
          <w:p>
            <w:r>
              <w:rPr>
                <w:b w:val="false"/>
                <w:bCs w:val="false"/>
                <w:color w:val="000000"/>
                <w:sz w:val="18"/>
                <w:szCs w:val="18"/>
              </w:rPr>
              <w:t xml:space="preserve">Analista sênior de plantão</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abertura no Instrumento 1, com data/hora e fundamento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Conter com impacto relevante ao negócio</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 concordância do dono da área de negócio</w:t>
            </w:r>
          </w:p>
        </w:tc>
        <w:tc>
          <w:tcPr>
            <w:tcW w:type="dxa" w:w="1600"/>
            <w:tcMar>
              <w:top w:type="dxa" w:w="80"/>
              <w:left w:type="dxa" w:w="100"/>
              <w:bottom w:type="dxa" w:w="80"/>
              <w:right w:type="dxa" w:w="100"/>
            </w:tcMar>
            <w:vAlign w:val="center"/>
          </w:tcPr>
          <w:p>
            <w:r>
              <w:rPr>
                <w:b w:val="false"/>
                <w:bCs w:val="false"/>
                <w:color w:val="000000"/>
                <w:sz w:val="18"/>
                <w:szCs w:val="18"/>
              </w:rPr>
              <w:t xml:space="preserve">Direção, se o Líder de Resposta estiver indisponível</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decisão de contenção no Instrumento 1, com avaliação de impacto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Expandir o escopo da investigação</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com ciência da Direção</w:t>
            </w:r>
          </w:p>
        </w:tc>
        <w:tc>
          <w:tcPr>
            <w:tcW w:type="dxa" w:w="1600"/>
            <w:tcMar>
              <w:top w:type="dxa" w:w="80"/>
              <w:left w:type="dxa" w:w="100"/>
              <w:bottom w:type="dxa" w:w="80"/>
              <w:right w:type="dxa" w:w="100"/>
            </w:tcMar>
            <w:vAlign w:val="center"/>
          </w:tcPr>
          <w:p>
            <w:r>
              <w:rPr>
                <w:b w:val="false"/>
                <w:bCs w:val="false"/>
                <w:color w:val="000000"/>
                <w:sz w:val="18"/>
                <w:szCs w:val="18"/>
              </w:rPr>
              <w:t xml:space="preserve">N/A</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expansão de escopo no Instrumento 1, com o gatilho que a motivou</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Sair do Loop de Ações de Resposta (encerramento técnico)</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com base em validação técnica</w:t>
            </w:r>
          </w:p>
        </w:tc>
        <w:tc>
          <w:tcPr>
            <w:tcW w:type="dxa" w:w="1600"/>
            <w:tcMar>
              <w:top w:type="dxa" w:w="80"/>
              <w:left w:type="dxa" w:w="100"/>
              <w:bottom w:type="dxa" w:w="80"/>
              <w:right w:type="dxa" w:w="100"/>
            </w:tcMar>
            <w:vAlign w:val="center"/>
          </w:tcPr>
          <w:p>
            <w:r>
              <w:rPr>
                <w:b w:val="false"/>
                <w:bCs w:val="false"/>
                <w:color w:val="000000"/>
                <w:sz w:val="18"/>
                <w:szCs w:val="18"/>
              </w:rPr>
              <w:t xml:space="preserve">Direção, mediante aprovação registrada do Líder de Resposta</w:t>
            </w:r>
          </w:p>
        </w:tc>
        <w:tc>
          <w:tcPr>
            <w:tcW w:type="dxa" w:w="2600"/>
            <w:tcMar>
              <w:top w:type="dxa" w:w="80"/>
              <w:left w:type="dxa" w:w="100"/>
              <w:bottom w:type="dxa" w:w="80"/>
              <w:right w:type="dxa" w:w="100"/>
            </w:tcMar>
            <w:vAlign w:val="center"/>
          </w:tcPr>
          <w:p>
            <w:r>
              <w:rPr>
                <w:b w:val="false"/>
                <w:bCs w:val="false"/>
                <w:color w:val="000000"/>
                <w:sz w:val="18"/>
                <w:szCs w:val="18"/>
              </w:rPr>
              <w:t xml:space="preserve">Decisão de encerramento assinada (Plano, seção 6.1)</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Aceitar risco residual</w:t>
            </w:r>
          </w:p>
        </w:tc>
        <w:tc>
          <w:tcPr>
            <w:tcW w:type="dxa" w:w="2200"/>
            <w:tcMar>
              <w:top w:type="dxa" w:w="80"/>
              <w:left w:type="dxa" w:w="100"/>
              <w:bottom w:type="dxa" w:w="80"/>
              <w:right w:type="dxa" w:w="100"/>
            </w:tcMar>
            <w:vAlign w:val="center"/>
          </w:tcPr>
          <w:p>
            <w:r>
              <w:rPr>
                <w:b w:val="false"/>
                <w:bCs w:val="false"/>
                <w:color w:val="000000"/>
                <w:sz w:val="18"/>
                <w:szCs w:val="18"/>
              </w:rPr>
              <w:t xml:space="preserve">Direção</w:t>
            </w:r>
          </w:p>
        </w:tc>
        <w:tc>
          <w:tcPr>
            <w:tcW w:type="dxa" w:w="1600"/>
            <w:tcMar>
              <w:top w:type="dxa" w:w="80"/>
              <w:left w:type="dxa" w:w="100"/>
              <w:bottom w:type="dxa" w:w="80"/>
              <w:right w:type="dxa" w:w="100"/>
            </w:tcMar>
            <w:vAlign w:val="center"/>
          </w:tcPr>
          <w:p>
            <w:r>
              <w:rPr>
                <w:b w:val="false"/>
                <w:bCs w:val="false"/>
                <w:color w:val="000000"/>
                <w:sz w:val="18"/>
                <w:szCs w:val="18"/>
              </w:rPr>
              <w:t xml:space="preserve">N/A</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aceite de risco, com responsável e prazo de acompanhamento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Autorizar o envio da comunicação à ANPD</w:t>
            </w:r>
          </w:p>
        </w:tc>
        <w:tc>
          <w:tcPr>
            <w:tcW w:type="dxa" w:w="2200"/>
            <w:tcMar>
              <w:top w:type="dxa" w:w="80"/>
              <w:left w:type="dxa" w:w="100"/>
              <w:bottom w:type="dxa" w:w="80"/>
              <w:right w:type="dxa" w:w="100"/>
            </w:tcMar>
            <w:vAlign w:val="center"/>
          </w:tcPr>
          <w:p>
            <w:r>
              <w:rPr>
                <w:b w:val="false"/>
                <w:bCs w:val="false"/>
                <w:color w:val="000000"/>
                <w:sz w:val="18"/>
                <w:szCs w:val="18"/>
              </w:rPr>
              <w:t xml:space="preserve">Representante legalmente constituído do controlador</w:t>
            </w:r>
          </w:p>
        </w:tc>
        <w:tc>
          <w:tcPr>
            <w:tcW w:type="dxa" w:w="1600"/>
            <w:tcMar>
              <w:top w:type="dxa" w:w="80"/>
              <w:left w:type="dxa" w:w="100"/>
              <w:bottom w:type="dxa" w:w="80"/>
              <w:right w:type="dxa" w:w="100"/>
            </w:tcMar>
            <w:vAlign w:val="center"/>
          </w:tcPr>
          <w:p>
            <w:r>
              <w:rPr>
                <w:b w:val="false"/>
                <w:bCs w:val="false"/>
                <w:color w:val="000000"/>
                <w:sz w:val="18"/>
                <w:szCs w:val="18"/>
              </w:rPr>
              <w:t xml:space="preserve">N/A</w:t>
            </w:r>
          </w:p>
        </w:tc>
        <w:tc>
          <w:tcPr>
            <w:tcW w:type="dxa" w:w="2600"/>
            <w:tcMar>
              <w:top w:type="dxa" w:w="80"/>
              <w:left w:type="dxa" w:w="100"/>
              <w:bottom w:type="dxa" w:w="80"/>
              <w:right w:type="dxa" w:w="100"/>
            </w:tcMar>
            <w:vAlign w:val="center"/>
          </w:tcPr>
          <w:p>
            <w:r>
              <w:rPr>
                <w:b w:val="false"/>
                <w:bCs w:val="false"/>
                <w:color w:val="000000"/>
                <w:sz w:val="18"/>
                <w:szCs w:val="18"/>
              </w:rPr>
              <w:t xml:space="preserve">Aprovação registrada no Instrumento 5, Parte A/C, antes do peticionamento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Autorizar o envio da comunicação aos titulares</w:t>
            </w:r>
          </w:p>
        </w:tc>
        <w:tc>
          <w:tcPr>
            <w:tcW w:type="dxa" w:w="2200"/>
            <w:tcMar>
              <w:top w:type="dxa" w:w="80"/>
              <w:left w:type="dxa" w:w="100"/>
              <w:bottom w:type="dxa" w:w="80"/>
              <w:right w:type="dxa" w:w="100"/>
            </w:tcMar>
            <w:vAlign w:val="center"/>
          </w:tcPr>
          <w:p>
            <w:r>
              <w:rPr>
                <w:b w:val="false"/>
                <w:bCs w:val="false"/>
                <w:color w:val="000000"/>
                <w:sz w:val="18"/>
                <w:szCs w:val="18"/>
              </w:rPr>
              <w:t xml:space="preserve">Representante autorizado do controlador</w:t>
            </w:r>
          </w:p>
        </w:tc>
        <w:tc>
          <w:tcPr>
            <w:tcW w:type="dxa" w:w="1600"/>
            <w:tcMar>
              <w:top w:type="dxa" w:w="80"/>
              <w:left w:type="dxa" w:w="100"/>
              <w:bottom w:type="dxa" w:w="80"/>
              <w:right w:type="dxa" w:w="100"/>
            </w:tcMar>
            <w:vAlign w:val="center"/>
          </w:tcPr>
          <w:p>
            <w:r>
              <w:rPr>
                <w:b w:val="false"/>
                <w:bCs w:val="false"/>
                <w:color w:val="000000"/>
                <w:sz w:val="18"/>
                <w:szCs w:val="18"/>
              </w:rPr>
              <w:t xml:space="preserve">N/A</w:t>
            </w:r>
          </w:p>
        </w:tc>
        <w:tc>
          <w:tcPr>
            <w:tcW w:type="dxa" w:w="2600"/>
            <w:tcMar>
              <w:top w:type="dxa" w:w="80"/>
              <w:left w:type="dxa" w:w="100"/>
              <w:bottom w:type="dxa" w:w="80"/>
              <w:right w:type="dxa" w:w="100"/>
            </w:tcMar>
            <w:vAlign w:val="center"/>
          </w:tcPr>
          <w:p>
            <w:r>
              <w:rPr>
                <w:b w:val="false"/>
                <w:bCs w:val="false"/>
                <w:color w:val="000000"/>
                <w:sz w:val="18"/>
                <w:szCs w:val="18"/>
              </w:rPr>
              <w:t xml:space="preserve">Aprovação registrada no Instrumento 5, Parte B/C, antes do envio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Declarar o encerramento do acompanhamento regulatório</w:t>
            </w:r>
          </w:p>
        </w:tc>
        <w:tc>
          <w:tcPr>
            <w:tcW w:type="dxa" w:w="2200"/>
            <w:tcMar>
              <w:top w:type="dxa" w:w="80"/>
              <w:left w:type="dxa" w:w="100"/>
              <w:bottom w:type="dxa" w:w="80"/>
              <w:right w:type="dxa" w:w="100"/>
            </w:tcMar>
            <w:vAlign w:val="center"/>
          </w:tcPr>
          <w:p>
            <w:r>
              <w:rPr>
                <w:b w:val="false"/>
                <w:bCs w:val="false"/>
                <w:color w:val="000000"/>
                <w:sz w:val="18"/>
                <w:szCs w:val="18"/>
              </w:rPr>
              <w:t xml:space="preserve">Encarregado, com ciência do Jurídico</w:t>
            </w:r>
          </w:p>
        </w:tc>
        <w:tc>
          <w:tcPr>
            <w:tcW w:type="dxa" w:w="1600"/>
            <w:tcMar>
              <w:top w:type="dxa" w:w="80"/>
              <w:left w:type="dxa" w:w="100"/>
              <w:bottom w:type="dxa" w:w="80"/>
              <w:right w:type="dxa" w:w="100"/>
            </w:tcMar>
            <w:vAlign w:val="center"/>
          </w:tcPr>
          <w:p>
            <w:r>
              <w:rPr>
                <w:b w:val="false"/>
                <w:bCs w:val="false"/>
                <w:color w:val="000000"/>
                <w:sz w:val="18"/>
                <w:szCs w:val="18"/>
              </w:rPr>
              <w:t xml:space="preserve">N/A</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encerramento no Instrumento 5, Parte C</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Decidir sobre pagamento de resgate em incidente de ransomware</w:t>
            </w:r>
          </w:p>
        </w:tc>
        <w:tc>
          <w:tcPr>
            <w:tcW w:type="dxa" w:w="2200"/>
            <w:tcMar>
              <w:top w:type="dxa" w:w="80"/>
              <w:left w:type="dxa" w:w="100"/>
              <w:bottom w:type="dxa" w:w="80"/>
              <w:right w:type="dxa" w:w="100"/>
            </w:tcMar>
            <w:vAlign w:val="center"/>
          </w:tcPr>
          <w:p>
            <w:r>
              <w:rPr>
                <w:b w:val="false"/>
                <w:bCs w:val="false"/>
                <w:color w:val="000000"/>
                <w:sz w:val="18"/>
                <w:szCs w:val="18"/>
              </w:rPr>
              <w:t xml:space="preserve">Direção, com ciência prévia do Jurídico e contato prévio com a autoridade policial</w:t>
            </w:r>
          </w:p>
        </w:tc>
        <w:tc>
          <w:tcPr>
            <w:tcW w:type="dxa" w:w="1600"/>
            <w:tcMar>
              <w:top w:type="dxa" w:w="80"/>
              <w:left w:type="dxa" w:w="100"/>
              <w:bottom w:type="dxa" w:w="80"/>
              <w:right w:type="dxa" w:w="100"/>
            </w:tcMar>
            <w:vAlign w:val="center"/>
          </w:tcPr>
          <w:p>
            <w:r>
              <w:rPr>
                <w:b w:val="false"/>
                <w:bCs w:val="false"/>
                <w:color w:val="000000"/>
                <w:sz w:val="18"/>
                <w:szCs w:val="18"/>
              </w:rPr>
              <w:t xml:space="preserve">N/A: decisão não delegável por seu caráter excepcional</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da decisão, da avaliação de risco que a fundamentou e do contato com a autoridade policial, mesmo quando a decisão for não pagar (seção 7)</w:t>
            </w:r>
          </w:p>
        </w:tc>
      </w:tr>
    </w:tbl>
    <w:p>
      <w:pPr>
        <w:spacing w:after="160" w:line="360" w:lineRule="auto"/>
        <w:ind w:firstLine="709"/>
        <w:jc w:val="both"/>
      </w:pPr>
      <w:r>
        <w:rPr>
          <w:sz w:val="24"/>
          <w:szCs w:val="24"/>
        </w:rPr>
        <w:t xml:space="preserve">Esta matriz é um ponto de partida; a organização deve adaptar autoridades e delegados aos seus próprios cargos e substituir os nomes de papel pelos titulares reais no Plano, seção 1.3: nunca aqui, que permanece o modelo limpo.</w:t>
      </w:r>
    </w:p>
    <w:p>
      <w:pPr>
        <w:pStyle w:val="Heading1"/>
        <w:spacing w:after="160" w:before="360"/>
        <w:ind w:firstLine="0"/>
      </w:pPr>
      <w:r>
        <w:t xml:space="preserve">Execução segundo o DAIR</w:t>
      </w:r>
    </w:p>
    <w:p>
      <w:pPr>
        <w:spacing w:after="160" w:line="360" w:lineRule="auto"/>
        <w:ind w:firstLine="709"/>
        <w:jc w:val="both"/>
      </w:pPr>
      <w:r>
        <w:rPr>
          <w:sz w:val="24"/>
          <w:szCs w:val="24"/>
        </w:rPr>
        <w:t xml:space="preserve">A execução técnica segue o DAIR como abordagem dinâmica e iterativa, sem sequência rígida: com reentradas no Loop de Ações de Resposta sempre que surgirem evidências novas, falhas de contenção, persistência do agente de ameaça, mudança de escopo ou de prioridade. Os procedimentos técnicos detalhados constam do Playbook DAIR; aqui, cada waypoint tem objetivo, gatilhos, responsável, decisões, registro e evidência esperada.</w:t>
      </w:r>
    </w:p>
    <w:p>
      <w:pPr>
        <w:spacing w:after="80" w:before="200"/>
      </w:pPr>
      <w:r>
        <w:rPr>
          <w:b/>
          <w:bCs/>
          <w:color w:val="2E5395"/>
          <w:sz w:val="24"/>
          <w:szCs w:val="24"/>
        </w:rPr>
        <w:t xml:space="preserve">Prepare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Estabelecer capacidade de resposta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Contínuo (não é reativo a um incidente específico)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Líder de Resposta / Segurança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Designação de papéis, inventário de capacidades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3 (checklist)</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Lista de papéis, canais e ferramentas validada</w:t>
            </w:r>
          </w:p>
        </w:tc>
      </w:tr>
    </w:tbl>
    <w:p>
      <w:pPr>
        <w:spacing w:after="80" w:before="200"/>
      </w:pPr>
      <w:r>
        <w:rPr>
          <w:b/>
          <w:bCs/>
          <w:color w:val="2E5395"/>
          <w:sz w:val="24"/>
          <w:szCs w:val="24"/>
        </w:rPr>
        <w:t xml:space="preserve">Detect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Identificar evento com indícios de incidente</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Alerta de monitoramento, relato humano, notificação de terceiro/operador</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 / qualquer colaborador</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Abrir registro; decidir se há indício suficiente para triagem</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(evento)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Alerta bruto preservado, com data/hora e fonte</w:t>
            </w:r>
          </w:p>
        </w:tc>
      </w:tr>
    </w:tbl>
    <w:p>
      <w:pPr>
        <w:spacing w:after="80" w:before="200"/>
      </w:pPr>
      <w:r>
        <w:rPr>
          <w:b/>
          <w:bCs/>
          <w:color w:val="2E5395"/>
          <w:sz w:val="24"/>
          <w:szCs w:val="24"/>
        </w:rPr>
        <w:t xml:space="preserve">Verify and Triage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Confirmar natureza, extensão inicial e se há dados pessoais envolvidos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inicial do Detect</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Líder de Resposta + Segurança + Encarregado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Declarar incidente; fixar marco de conhecimento; classificação inicial</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(decisão), Instrumento 2 (abertura, se dados pessoais)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confirmação, marco de conhecimento fundamentado</w:t>
            </w:r>
          </w:p>
        </w:tc>
      </w:tr>
    </w:tbl>
    <w:p>
      <w:pPr>
        <w:spacing w:after="80" w:before="200"/>
      </w:pPr>
      <w:r>
        <w:rPr>
          <w:b/>
          <w:bCs/>
          <w:color w:val="2E5395"/>
          <w:sz w:val="24"/>
          <w:szCs w:val="24"/>
        </w:rPr>
        <w:t xml:space="preserve">Scope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Delimitar o que é e o que não é afetado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Nova evidência, suspeita de escopo maior</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 / Negócio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O que tratar como conhecido vs. desconhecido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Lista de ativos, contas, dados e sistemas delimitados, com incertezas registradas</w:t>
            </w:r>
          </w:p>
        </w:tc>
      </w:tr>
    </w:tbl>
    <w:p>
      <w:pPr>
        <w:spacing w:after="80" w:before="200"/>
      </w:pPr>
      <w:r>
        <w:rPr>
          <w:b/>
          <w:bCs/>
          <w:color w:val="2E5395"/>
          <w:sz w:val="24"/>
          <w:szCs w:val="24"/>
        </w:rPr>
        <w:t xml:space="preserve">Contain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Interromper a progressão do incidente</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Escopo delimitado ou contenção anterior malsucedida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Quais acessos/contas/sistemas conter; proporcionalidade frente à continuidade</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bloqueio/revogação e de sua validação técnica</w:t>
            </w:r>
          </w:p>
        </w:tc>
      </w:tr>
    </w:tbl>
    <w:p>
      <w:pPr>
        <w:spacing w:after="80" w:before="200"/>
      </w:pPr>
      <w:r>
        <w:rPr>
          <w:b/>
          <w:bCs/>
          <w:color w:val="2E5395"/>
          <w:sz w:val="24"/>
          <w:szCs w:val="24"/>
        </w:rPr>
        <w:t xml:space="preserve">Eradicate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Remover a causa e o mecanismo de acesso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Contenção validada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Causa suficientemente identificada para erradicar, ou apenas mitigada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correção do mecanismo e de ausência de novo acesso pelo mesmo vetor</w:t>
            </w:r>
          </w:p>
        </w:tc>
      </w:tr>
    </w:tbl>
    <w:p>
      <w:pPr>
        <w:spacing w:after="80" w:before="200"/>
      </w:pPr>
      <w:r>
        <w:rPr>
          <w:b/>
          <w:bCs/>
          <w:color w:val="2E5395"/>
          <w:sz w:val="24"/>
          <w:szCs w:val="24"/>
        </w:rPr>
        <w:t xml:space="preserve">Recover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Restabelecer operação de forma validada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Erradicação concluída ou aceitável para retomada parcial</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TI / Continuidade / Dono do serviço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Nível de restabelecimento (total/parcial/monitorado)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validação técnica e de monitoramento reforçado</w:t>
            </w:r>
          </w:p>
        </w:tc>
      </w:tr>
    </w:tbl>
    <w:p>
      <w:pPr>
        <w:spacing w:after="80" w:before="200"/>
      </w:pPr>
      <w:r>
        <w:rPr>
          <w:b/>
          <w:bCs/>
          <w:color w:val="2E5395"/>
          <w:sz w:val="24"/>
          <w:szCs w:val="24"/>
        </w:rPr>
        <w:t xml:space="preserve">Debrief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Consolidar lições e ações corretivas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Encerramento da resposta ativa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Líder de Resposta + papéis envolvidos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Ações corretivas, responsável e prazo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4 (relatório)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Relatório de encerramento com indicadores e pendências</w:t>
            </w:r>
          </w:p>
        </w:tc>
      </w:tr>
    </w:tbl>
    <w:p>
      <w:pPr>
        <w:spacing w:after="160" w:line="360" w:lineRule="auto"/>
        <w:ind w:firstLine="709"/>
        <w:jc w:val="both"/>
      </w:pPr>
      <w:r>
        <w:rPr>
          <w:sz w:val="24"/>
          <w:szCs w:val="24"/>
        </w:rPr>
        <w:t xml:space="preserve">Reentradas: este Plano não impõe avançar de Scope a Recover uma única vez. Nova evidência relevante, falha de contenção, indício de persistência, ampliação de escopo ou mudança de prioridade reabrem o loop a partir do ponto necessário, registrando a nova iteração separadamente: nunca sobrescrevendo o registro da iteração anterior.</w:t>
      </w:r>
    </w:p>
    <w:p>
      <w:pPr>
        <w:spacing w:after="160" w:line="360" w:lineRule="auto"/>
        <w:ind w:firstLine="709"/>
        <w:jc w:val="both"/>
      </w:pPr>
      <w:r>
        <w:rPr>
          <w:sz w:val="24"/>
          <w:szCs w:val="24"/>
        </w:rPr>
        <w:t xml:space="preserve">Abrangência: os waypoints e o loop se aplicam a incidentes de confidencialidade, integridade, disponibilidade e autenticidade, qualquer que seja a causa, maliciosa (ação deliberada de um agente de ameaça), acidental (erro humano, configuração indevida) ou ambiental (falha de infraestrutura, energia ou de provedor de nuvem), e mesmo sem evidência de exfiltração. A ausência de exfiltração confirmada, e a ausência de um agente de ameaça identificado, não dispensam a avaliação de risco aos titulares (seção 4), que depende do risco e do dano potencial, não da causa.</w:t>
      </w:r>
    </w:p>
    <w:p>
      <w:pPr>
        <w:pStyle w:val="Heading1"/>
        <w:spacing w:after="160" w:before="360"/>
        <w:ind w:firstLine="0"/>
      </w:pPr>
      <w:r>
        <w:t xml:space="preserve">Trilha transversal de privacidade</w:t>
      </w:r>
    </w:p>
    <w:p>
      <w:pPr>
        <w:spacing w:after="160" w:line="360" w:lineRule="auto"/>
        <w:ind w:firstLine="709"/>
        <w:jc w:val="both"/>
      </w:pPr>
      <w:r>
        <w:rPr>
          <w:sz w:val="24"/>
          <w:szCs w:val="24"/>
        </w:rPr>
        <w:t xml:space="preserve">Esta trilha corre em paralelo à execução técnica (seção 3), desde a Verify and Triage, e não depende da conclusão da investigação para começar.</w:t>
      </w:r>
    </w:p>
    <w:p>
      <w:pPr>
        <w:spacing w:after="120" w:line="360" w:lineRule="auto"/>
        <w:ind w:firstLine="709"/>
        <w:jc w:val="both"/>
      </w:pPr>
      <w:r>
        <w:rPr>
          <w:b/>
          <w:bCs/>
          <w:sz w:val="24"/>
          <w:szCs w:val="24"/>
        </w:rPr>
        <w:t xml:space="preserve">1. Identificação das operações e dados afetados: </w:t>
      </w:r>
      <w:r>
        <w:rPr>
          <w:i/>
          <w:iCs/>
          <w:color w:val="595959"/>
          <w:sz w:val="24"/>
          <w:szCs w:val="24"/>
        </w:rPr>
        <w:t xml:space="preserve">o Encarregado, com apoio de Negócio e TI, identifica atividades de tratamento, categorias de dados e titulares envolvidos, ainda que preliminarmente</w:t>
      </w:r>
    </w:p>
    <w:p>
      <w:pPr>
        <w:spacing w:after="120" w:line="360" w:lineRule="auto"/>
        <w:ind w:firstLine="709"/>
        <w:jc w:val="both"/>
      </w:pPr>
      <w:r>
        <w:rPr>
          <w:b/>
          <w:bCs/>
          <w:sz w:val="24"/>
          <w:szCs w:val="24"/>
        </w:rPr>
        <w:t xml:space="preserve">2. Fundamentação do marco de conhecimento: </w:t>
      </w:r>
      <w:r>
        <w:rPr>
          <w:i/>
          <w:iCs/>
          <w:color w:val="595959"/>
          <w:sz w:val="24"/>
          <w:szCs w:val="24"/>
        </w:rPr>
        <w:t xml:space="preserve">registrado com a evidência que o fundamenta: inicia a contagem dos prazos legais</w:t>
      </w:r>
    </w:p>
    <w:p>
      <w:pPr>
        <w:spacing w:after="120" w:line="360" w:lineRule="auto"/>
        <w:ind w:firstLine="709"/>
        <w:jc w:val="both"/>
      </w:pPr>
      <w:r>
        <w:rPr>
          <w:b/>
          <w:bCs/>
          <w:sz w:val="24"/>
          <w:szCs w:val="24"/>
        </w:rPr>
        <w:t xml:space="preserve">3. Avaliação versionada contra os critérios do RCIS (art. 5º): </w:t>
      </w:r>
      <w:r>
        <w:rPr>
          <w:i/>
          <w:iCs/>
          <w:color w:val="595959"/>
          <w:sz w:val="24"/>
          <w:szCs w:val="24"/>
        </w:rPr>
        <w:t xml:space="preserve">registrada no Instrumento 2, nova versão a cada evidência relevante nova</w:t>
      </w:r>
    </w:p>
    <w:p>
      <w:pPr>
        <w:spacing w:after="120" w:line="360" w:lineRule="auto"/>
        <w:ind w:firstLine="709"/>
        <w:jc w:val="both"/>
      </w:pPr>
      <w:r>
        <w:rPr>
          <w:b/>
          <w:bCs/>
          <w:sz w:val="24"/>
          <w:szCs w:val="24"/>
        </w:rPr>
        <w:t xml:space="preserve">4. Responsáveis pela elaboração, revisão e aprovação: </w:t>
      </w:r>
      <w:r>
        <w:rPr>
          <w:i/>
          <w:iCs/>
          <w:color w:val="595959"/>
          <w:sz w:val="24"/>
          <w:szCs w:val="24"/>
        </w:rPr>
        <w:t xml:space="preserve">tipicamente Encarregado, Jurídico e representante autorizado do controlador (preencher, se diferente)</w:t>
      </w:r>
    </w:p>
    <w:p>
      <w:pPr>
        <w:spacing w:after="160" w:line="360" w:lineRule="auto"/>
        <w:ind w:firstLine="709"/>
        <w:jc w:val="both"/>
      </w:pPr>
      <w:r>
        <w:rPr>
          <w:sz w:val="24"/>
          <w:szCs w:val="24"/>
        </w:rPr>
        <w:t xml:space="preserve">5. Controle de prazos aplicáveis e suas exceções: prazo de 3 dias úteis para comunicação à ANPD e aos titulares (RCIS, arts. 6º e 9º), contado do marco de conhecimento efetivo, ressalvado prazo específico de legislação setorial; prazo de complementação de 20 dias úteis (art. 6º, §3º); dobra de prazos para agente de pequeno porte formalmente enquadrado. A ampliação do escopo do incidente não reinicia automaticamente o prazo do mesmo incidente: um novo prazo próprio somente se aplica a um incidente distinto, com seu próprio marco de conhecimento.</w:t>
      </w:r>
    </w:p>
    <w:p>
      <w:pPr>
        <w:spacing w:after="160" w:line="360" w:lineRule="auto"/>
        <w:ind w:firstLine="709"/>
        <w:jc w:val="both"/>
      </w:pPr>
      <w:r>
        <w:rPr>
          <w:sz w:val="24"/>
          <w:szCs w:val="24"/>
        </w:rPr>
        <w:t xml:space="preserve">6. Preparação, envio e comprovação das comunicações: conforme o Instrumento 5 (Partes A, B e C): a preparação não equivale ao envio, e o envio não equivale à comprovação.</w:t>
      </w:r>
    </w:p>
    <w:p>
      <w:pPr>
        <w:spacing w:after="160" w:line="360" w:lineRule="auto"/>
        <w:ind w:firstLine="709"/>
        <w:jc w:val="both"/>
      </w:pPr>
      <w:r>
        <w:rPr>
          <w:sz w:val="24"/>
          <w:szCs w:val="24"/>
        </w:rPr>
        <w:t xml:space="preserve">7. Complementações e acompanhamento de requisições da ANPD: registradas no Instrumento 5, Parte C, sem limite numérico de complementações, controladas pelo prazo do art. 6º, §3º.</w:t>
      </w:r>
    </w:p>
    <w:p>
      <w:pPr>
        <w:pStyle w:val="Heading1"/>
        <w:spacing w:after="160" w:before="360"/>
        <w:ind w:firstLine="0"/>
      </w:pPr>
      <w:r>
        <w:t xml:space="preserve">Evidências e continuidade</w:t>
      </w:r>
    </w:p>
    <w:p>
      <w:pPr>
        <w:pStyle w:val="ListParagraph"/>
        <w:numPr>
          <w:ilvl w:val="0"/>
          <w:numId w:val="1"/>
        </w:numPr>
        <w:spacing w:after="100" w:line="360" w:lineRule="auto"/>
        <w:ind w:firstLine="0"/>
        <w:jc w:val="both"/>
      </w:pPr>
      <w:r>
        <w:rPr>
          <w:sz w:val="24"/>
          <w:szCs w:val="24"/>
        </w:rPr>
        <w:t xml:space="preserve">Preservação proporcional: priorizada conforme o risco e a disponibilidade de recursos: a decisão sobre o que preservar e o que não preservar deve ser registrada e justificada.</w:t>
      </w:r>
    </w:p>
    <w:p>
      <w:pPr>
        <w:pStyle w:val="ListParagraph"/>
        <w:numPr>
          <w:ilvl w:val="0"/>
          <w:numId w:val="1"/>
        </w:numPr>
        <w:spacing w:after="100" w:line="360" w:lineRule="auto"/>
        <w:ind w:firstLine="0"/>
        <w:jc w:val="both"/>
      </w:pPr>
      <w:r>
        <w:rPr>
          <w:sz w:val="24"/>
          <w:szCs w:val="24"/>
        </w:rPr>
        <w:t xml:space="preserve">Integridade, custódia e armazenamento restrito: hash/cópia read-only e cadeia de custódia registrada; acesso restrito a quem tenha necessidade de conhecimento.</w:t>
      </w:r>
    </w:p>
    <w:p>
      <w:pPr>
        <w:pStyle w:val="ListParagraph"/>
        <w:numPr>
          <w:ilvl w:val="0"/>
          <w:numId w:val="1"/>
        </w:numPr>
        <w:spacing w:after="100" w:line="360" w:lineRule="auto"/>
        <w:ind w:firstLine="0"/>
        <w:jc w:val="both"/>
      </w:pPr>
      <w:r>
        <w:rPr>
          <w:sz w:val="24"/>
          <w:szCs w:val="24"/>
        </w:rPr>
        <w:t xml:space="preserve">Registro de limitações e lacunas: qualquer lacuna deve ser registrada como tal: nunca omitida ou presumida irrelevante.</w:t>
      </w:r>
    </w:p>
    <w:p>
      <w:pPr>
        <w:pStyle w:val="ListParagraph"/>
        <w:numPr>
          <w:ilvl w:val="0"/>
          <w:numId w:val="1"/>
        </w:numPr>
        <w:spacing w:after="100" w:line="360" w:lineRule="auto"/>
        <w:ind w:firstLine="0"/>
        <w:jc w:val="both"/>
      </w:pPr>
      <w:r>
        <w:rPr>
          <w:sz w:val="24"/>
          <w:szCs w:val="24"/>
        </w:rPr>
        <w:t xml:space="preserve">Coordenação com operadores e fornecedores: solicitação formal de preservação e fornecimento de evidência, com registro da solicitação e da resposta.</w:t>
      </w:r>
    </w:p>
    <w:p>
      <w:pPr>
        <w:pStyle w:val="ListParagraph"/>
        <w:numPr>
          <w:ilvl w:val="0"/>
          <w:numId w:val="1"/>
        </w:numPr>
        <w:spacing w:after="100" w:line="360" w:lineRule="auto"/>
        <w:ind w:firstLine="0"/>
        <w:jc w:val="both"/>
      </w:pPr>
      <w:r>
        <w:rPr>
          <w:sz w:val="24"/>
          <w:szCs w:val="24"/>
        </w:rPr>
        <w:t xml:space="preserve">Recuperação validada: só é considerada concluída após validação técnica e definição de critérios de aceite e de monitoramento adicional.</w:t>
      </w:r>
    </w:p>
    <w:p>
      <w:pPr>
        <w:spacing w:after="120" w:line="360" w:lineRule="auto"/>
        <w:ind w:firstLine="709"/>
        <w:jc w:val="both"/>
      </w:pPr>
      <w:r>
        <w:rPr>
          <w:b/>
          <w:bCs/>
          <w:sz w:val="24"/>
          <w:szCs w:val="24"/>
        </w:rPr>
        <w:t xml:space="preserve">Critérios de aceite padrão para recuperação, se padronizados: </w:t>
      </w:r>
      <w:r>
        <w:rPr>
          <w:i/>
          <w:iCs/>
          <w:color w:val="595959"/>
          <w:sz w:val="24"/>
          <w:szCs w:val="24"/>
        </w:rPr>
        <w:t xml:space="preserve">[preencher]</w:t>
      </w:r>
    </w:p>
    <w:p>
      <w:pPr>
        <w:spacing w:after="160" w:line="360" w:lineRule="auto"/>
        <w:ind w:firstLine="709"/>
        <w:jc w:val="both"/>
      </w:pPr>
      <w:r>
        <w:rPr>
          <w:sz w:val="24"/>
          <w:szCs w:val="24"/>
        </w:rPr>
        <w:t xml:space="preserve">Conflitos entre contenção, preservação e continuidade: quando colidirem, a decisão (com a opção escolhida, o risco aceito e o responsável) deve ser registrada explicitamente, conforme a autoridade definida na Política, seção 6.</w:t>
      </w:r>
    </w:p>
    <w:p>
      <w:pPr>
        <w:pStyle w:val="Heading1"/>
        <w:spacing w:after="160" w:before="360"/>
        <w:ind w:firstLine="0"/>
      </w:pPr>
      <w:r>
        <w:t xml:space="preserve">Encerramento e melhoria</w:t>
      </w:r>
    </w:p>
    <w:p>
      <w:pPr>
        <w:pStyle w:val="Heading2"/>
        <w:spacing w:after="120" w:before="240"/>
        <w:ind w:firstLine="0"/>
      </w:pPr>
      <w:r>
        <w:t xml:space="preserve">Decisão de encerramento</w:t>
      </w:r>
    </w:p>
    <w:p>
      <w:pPr>
        <w:spacing w:after="160" w:line="360" w:lineRule="auto"/>
        <w:ind w:firstLine="709"/>
        <w:jc w:val="both"/>
      </w:pPr>
      <w:r>
        <w:rPr>
          <w:sz w:val="24"/>
          <w:szCs w:val="24"/>
        </w:rPr>
        <w:t xml:space="preserve">O encerramento da resposta ativa é uma decisão explícita e atribuível do Líder de Resposta (ou da Direção, conforme a severidade), apoiada em indicadores técnicos e de negócio. A decisão registra: indicadores que a sustentam; riscos residuais aceitos, com responsável e prazo; pendências não resolvidas, com responsável e prazo.</w:t>
      </w:r>
    </w:p>
    <w:p>
      <w:pPr>
        <w:pStyle w:val="Heading2"/>
        <w:spacing w:after="120" w:before="240"/>
        <w:ind w:firstLine="0"/>
      </w:pPr>
      <w:r>
        <w:t xml:space="preserve">Três encerramentos distintos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200"/>
        <w:gridCol w:w="2200"/>
      </w:tblGrid>
      <w:tr>
        <w:trPr>
          <w:tblHeader/>
        </w:trPr>
        <w:tc>
          <w:tcPr>
            <w:tcW w:type="dxa" w:w="2600"/>
            <w:shd w:fill="1F3864" w:val="clear"/>
            <w:tcMar>
              <w:top w:type="dxa" w:w="80"/>
              <w:left w:type="dxa" w:w="100"/>
              <w:bottom w:type="dxa" w:w="80"/>
              <w:right w:type="dxa" w:w="100"/>
            </w:tcMar>
            <w:vAlign w:val="center"/>
          </w:tcPr>
          <w:p>
            <w:r>
              <w:rPr>
                <w:b/>
                <w:bCs/>
                <w:color w:val="FFFFFF"/>
                <w:sz w:val="18"/>
                <w:szCs w:val="18"/>
              </w:rPr>
              <w:t xml:space="preserve">Estado</w:t>
            </w:r>
          </w:p>
        </w:tc>
        <w:tc>
          <w:tcPr>
            <w:tcW w:type="dxa" w:w="4200"/>
            <w:shd w:fill="1F3864" w:val="clear"/>
            <w:tcMar>
              <w:top w:type="dxa" w:w="80"/>
              <w:left w:type="dxa" w:w="100"/>
              <w:bottom w:type="dxa" w:w="80"/>
              <w:right w:type="dxa" w:w="100"/>
            </w:tcMar>
            <w:vAlign w:val="center"/>
          </w:tcPr>
          <w:p>
            <w:r>
              <w:rPr>
                <w:b/>
                <w:bCs/>
                <w:color w:val="FFFFFF"/>
                <w:sz w:val="18"/>
                <w:szCs w:val="18"/>
              </w:rPr>
              <w:t xml:space="preserve">O que significa</w:t>
            </w:r>
          </w:p>
        </w:tc>
        <w:tc>
          <w:tcPr>
            <w:tcW w:type="dxa" w:w="2200"/>
            <w:shd w:fill="1F3864" w:val="clear"/>
            <w:tcMar>
              <w:top w:type="dxa" w:w="80"/>
              <w:left w:type="dxa" w:w="100"/>
              <w:bottom w:type="dxa" w:w="80"/>
              <w:right w:type="dxa" w:w="100"/>
            </w:tcMar>
            <w:vAlign w:val="center"/>
          </w:tcPr>
          <w:p>
            <w:r>
              <w:rPr>
                <w:b/>
                <w:bCs/>
                <w:color w:val="FFFFFF"/>
                <w:sz w:val="18"/>
                <w:szCs w:val="18"/>
              </w:rPr>
              <w:t xml:space="preserve">Onde é registrado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Encerramento técnico</w:t>
            </w:r>
          </w:p>
        </w:tc>
        <w:tc>
          <w:tcPr>
            <w:tcW w:type="dxa" w:w="4200"/>
            <w:tcMar>
              <w:top w:type="dxa" w:w="80"/>
              <w:left w:type="dxa" w:w="100"/>
              <w:bottom w:type="dxa" w:w="80"/>
              <w:right w:type="dxa" w:w="100"/>
            </w:tcMar>
            <w:vAlign w:val="center"/>
          </w:tcPr>
          <w:p>
            <w:r>
              <w:rPr>
                <w:b w:val="false"/>
                <w:bCs w:val="false"/>
                <w:color w:val="000000"/>
                <w:sz w:val="18"/>
                <w:szCs w:val="18"/>
              </w:rPr>
              <w:t xml:space="preserve">Resposta ativa (Scope/Contain/Eradicate/Recover) concluída</w:t>
            </w:r>
          </w:p>
        </w:tc>
        <w:tc>
          <w:tcPr>
            <w:tcW w:type="dxa" w:w="2200"/>
            <w:tcMar>
              <w:top w:type="dxa" w:w="80"/>
              <w:left w:type="dxa" w:w="100"/>
              <w:bottom w:type="dxa" w:w="80"/>
              <w:right w:type="dxa" w:w="100"/>
            </w:tcMar>
            <w:vAlign w:val="center"/>
          </w:tcPr>
          <w:p>
            <w:r>
              <w:rPr>
                <w:b w:val="false"/>
                <w:bCs w:val="false"/>
                <w:color w:val="000000"/>
                <w:sz w:val="18"/>
                <w:szCs w:val="18"/>
              </w:rPr>
              <w:t xml:space="preserve">Instrumento 1</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Conclusão das comunicações</w:t>
            </w:r>
          </w:p>
        </w:tc>
        <w:tc>
          <w:tcPr>
            <w:tcW w:type="dxa" w:w="4200"/>
            <w:tcMar>
              <w:top w:type="dxa" w:w="80"/>
              <w:left w:type="dxa" w:w="100"/>
              <w:bottom w:type="dxa" w:w="80"/>
              <w:right w:type="dxa" w:w="100"/>
            </w:tcMar>
            <w:vAlign w:val="center"/>
          </w:tcPr>
          <w:p>
            <w:r>
              <w:rPr>
                <w:b w:val="false"/>
                <w:bCs w:val="false"/>
                <w:color w:val="000000"/>
                <w:sz w:val="18"/>
                <w:szCs w:val="18"/>
              </w:rPr>
              <w:t xml:space="preserve">Comunicação à ANPD e aos titulares preparadas, enviadas e comprovadas (quando devidas)</w:t>
            </w:r>
          </w:p>
        </w:tc>
        <w:tc>
          <w:tcPr>
            <w:tcW w:type="dxa" w:w="2200"/>
            <w:tcMar>
              <w:top w:type="dxa" w:w="80"/>
              <w:left w:type="dxa" w:w="100"/>
              <w:bottom w:type="dxa" w:w="80"/>
              <w:right w:type="dxa" w:w="100"/>
            </w:tcMar>
            <w:vAlign w:val="center"/>
          </w:tcPr>
          <w:p>
            <w:r>
              <w:rPr>
                <w:b w:val="false"/>
                <w:bCs w:val="false"/>
                <w:color w:val="000000"/>
                <w:sz w:val="18"/>
                <w:szCs w:val="18"/>
              </w:rPr>
              <w:t xml:space="preserve">Instrumento 5, Parte C</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Encerramento do acompanhamento regulatório</w:t>
            </w:r>
          </w:p>
        </w:tc>
        <w:tc>
          <w:tcPr>
            <w:tcW w:type="dxa" w:w="4200"/>
            <w:tcMar>
              <w:top w:type="dxa" w:w="80"/>
              <w:left w:type="dxa" w:w="100"/>
              <w:bottom w:type="dxa" w:w="80"/>
              <w:right w:type="dxa" w:w="100"/>
            </w:tcMar>
            <w:vAlign w:val="center"/>
          </w:tcPr>
          <w:p>
            <w:r>
              <w:rPr>
                <w:b w:val="false"/>
                <w:bCs w:val="false"/>
                <w:color w:val="000000"/>
                <w:sz w:val="18"/>
                <w:szCs w:val="18"/>
              </w:rPr>
              <w:t xml:space="preserve">Processo perante a ANPD extinto, ou requisições adicionais respondidas e sem pendência</w:t>
            </w:r>
          </w:p>
        </w:tc>
        <w:tc>
          <w:tcPr>
            <w:tcW w:type="dxa" w:w="2200"/>
            <w:tcMar>
              <w:top w:type="dxa" w:w="80"/>
              <w:left w:type="dxa" w:w="100"/>
              <w:bottom w:type="dxa" w:w="80"/>
              <w:right w:type="dxa" w:w="100"/>
            </w:tcMar>
            <w:vAlign w:val="center"/>
          </w:tcPr>
          <w:p>
            <w:r>
              <w:rPr>
                <w:b w:val="false"/>
                <w:bCs w:val="false"/>
                <w:color w:val="000000"/>
                <w:sz w:val="18"/>
                <w:szCs w:val="18"/>
              </w:rPr>
              <w:t xml:space="preserve">Instrumento 5, Parte C</w:t>
            </w:r>
          </w:p>
        </w:tc>
      </w:tr>
    </w:tbl>
    <w:p>
      <w:pPr>
        <w:spacing w:after="160" w:line="360" w:lineRule="auto"/>
        <w:ind w:firstLine="709"/>
        <w:jc w:val="both"/>
      </w:pPr>
      <w:r>
        <w:rPr>
          <w:sz w:val="24"/>
          <w:szCs w:val="24"/>
        </w:rPr>
        <w:t xml:space="preserve">A extinção do processo de comunicação perante a ANPD, especificamente, ocorre em uma das seguintes hipóteses (Resolução CD/ANPD nº 15/2024, art. 23): (i) não identificadas evidências suficientes da ocorrência do incidente; (ii) a ANPD conclui que o incidente não possui potencial de risco ou dano relevante aos titulares; (iii) o incidente não envolve dados pessoais; ou (iv) tomadas as medidas adicionais de mitigação ou reversão determinadas pela ANPD e comprovada a comunicação aos titulares, quando devida. Mesmo após essa extinção formal, a ANPD pode determinar a adoção de medidas adicionais de segurança relacionadas ao incidente (Política, seção 14), inclusive a ampla divulgação do incidente (Política, seção 10): essa possibilidade deve ser monitorada como pendência residual, não tratada como encerramento definitivo e irrevogável.</w:t>
      </w:r>
    </w:p>
    <w:p>
      <w:pPr>
        <w:spacing w:after="160" w:line="360" w:lineRule="auto"/>
        <w:ind w:firstLine="709"/>
        <w:jc w:val="both"/>
      </w:pPr>
      <w:r>
        <w:rPr>
          <w:sz w:val="24"/>
          <w:szCs w:val="24"/>
        </w:rPr>
        <w:t xml:space="preserve">Quando a abertura do incidente tiver sido comunicada ao Comitê Executivo, ao Conselho ou a reguladores setoriais (por exemplo, Banco Central ou SUSEP), o encerramento da resposta ativa e, quando aplicável, do acompanhamento regulatório também deve ser formalmente comunicado a esses mesmos destinatários, para que o registro de abertura e de encerramento fique simétrico.</w:t>
      </w:r>
    </w:p>
    <w:p>
      <w:pPr>
        <w:pStyle w:val="Heading2"/>
        <w:spacing w:after="120" w:before="240"/>
        <w:ind w:firstLine="0"/>
      </w:pPr>
      <w:r>
        <w:t xml:space="preserve">Reabertura</w:t>
      </w:r>
    </w:p>
    <w:p>
      <w:pPr>
        <w:spacing w:after="160" w:line="360" w:lineRule="auto"/>
        <w:ind w:firstLine="709"/>
        <w:jc w:val="both"/>
      </w:pPr>
      <w:r>
        <w:rPr>
          <w:sz w:val="24"/>
          <w:szCs w:val="24"/>
        </w:rPr>
        <w:t xml:space="preserve">Um incidente com encerramento técnico pode ser reaberto quando surgirem evidências de persistência, reincidência ou escopo não identificado anteriormente: a reabertura reaproveita o registro original (Instrumento 1), com nova iteração do loop, e não cria um incidente novo, salvo decisão fundamentada em contrário.</w:t>
      </w:r>
    </w:p>
    <w:p>
      <w:pPr>
        <w:pStyle w:val="Heading2"/>
        <w:spacing w:after="120" w:before="240"/>
        <w:ind w:firstLine="0"/>
      </w:pPr>
      <w:r>
        <w:t xml:space="preserve">Debrief e melhoria contínua</w:t>
      </w:r>
    </w:p>
    <w:p>
      <w:pPr>
        <w:spacing w:after="160" w:line="360" w:lineRule="auto"/>
        <w:ind w:firstLine="709"/>
        <w:jc w:val="both"/>
      </w:pPr>
      <w:r>
        <w:rPr>
          <w:sz w:val="24"/>
          <w:szCs w:val="24"/>
        </w:rPr>
        <w:t xml:space="preserve">O waypoint Debrief persegue dois objetivos distintos, que não devem ser confundidos: encerrar formalmente o esforço de resposta (fechar ativos temporários, entre eles acessos, imagens forenses, contas e monitoramentos criados durante a resposta; consolidar a documentação dispersa em um registro único; e apurar as métricas do esforço) e promover aprendizado organizacional (revisão após a ação, relatório final, apresentação às partes interessadas e plano de melhoria com ações, responsáveis e prazos). Todo incidente com encerramento técnico gera um debrief (Instrumento 4), com:</w:t>
      </w:r>
    </w:p>
    <w:p>
      <w:pPr>
        <w:pStyle w:val="ListParagraph"/>
        <w:numPr>
          <w:ilvl w:val="0"/>
          <w:numId w:val="1"/>
        </w:numPr>
        <w:spacing w:after="100" w:line="360" w:lineRule="auto"/>
        <w:ind w:firstLine="0"/>
        <w:jc w:val="both"/>
      </w:pPr>
      <w:r>
        <w:rPr>
          <w:sz w:val="24"/>
          <w:szCs w:val="24"/>
        </w:rPr>
        <w:t xml:space="preserve">avaliação e decisão sobre a retenção, modificação ou descomissionamento de cada ativo temporário criado durante a resposta;</w:t>
      </w:r>
    </w:p>
    <w:p>
      <w:pPr>
        <w:pStyle w:val="ListParagraph"/>
        <w:numPr>
          <w:ilvl w:val="0"/>
          <w:numId w:val="1"/>
        </w:numPr>
        <w:spacing w:after="100" w:line="360" w:lineRule="auto"/>
        <w:ind w:firstLine="0"/>
        <w:jc w:val="both"/>
      </w:pPr>
      <w:r>
        <w:rPr>
          <w:sz w:val="24"/>
          <w:szCs w:val="24"/>
        </w:rPr>
        <w:t xml:space="preserve">ações corretivas identificadas, responsável e prazo para cada uma;</w:t>
      </w:r>
    </w:p>
    <w:p>
      <w:pPr>
        <w:pStyle w:val="ListParagraph"/>
        <w:numPr>
          <w:ilvl w:val="0"/>
          <w:numId w:val="1"/>
        </w:numPr>
        <w:spacing w:after="100" w:line="360" w:lineRule="auto"/>
        <w:ind w:firstLine="0"/>
        <w:jc w:val="both"/>
      </w:pPr>
      <w:r>
        <w:rPr>
          <w:sz w:val="24"/>
          <w:szCs w:val="24"/>
        </w:rPr>
        <w:t xml:space="preserve">prova de efetividade da ação corretiva, quando concluída: uma ação corretiva só é considerada concluída mediante essa prova, nunca apenas pela afirmação de que foi feita;</w:t>
      </w:r>
    </w:p>
    <w:p>
      <w:pPr>
        <w:pStyle w:val="ListParagraph"/>
        <w:numPr>
          <w:ilvl w:val="0"/>
          <w:numId w:val="1"/>
        </w:numPr>
        <w:spacing w:after="100" w:line="360" w:lineRule="auto"/>
        <w:ind w:firstLine="0"/>
        <w:jc w:val="both"/>
      </w:pPr>
      <w:r>
        <w:rPr>
          <w:sz w:val="24"/>
          <w:szCs w:val="24"/>
        </w:rPr>
        <w:t xml:space="preserve">lições aprendidas incorporadas, quando aplicável, à revisão da Política, deste Plano e do Playbook.</w:t>
      </w:r>
    </w:p>
    <w:p>
      <w:pPr>
        <w:pStyle w:val="Heading2"/>
        <w:spacing w:after="120" w:before="240"/>
        <w:ind w:firstLine="0"/>
      </w:pPr>
      <w:r>
        <w:t xml:space="preserve">Indicadores de governança regulatória</w:t>
      </w:r>
    </w:p>
    <w:p>
      <w:pPr>
        <w:spacing w:after="160" w:line="360" w:lineRule="auto"/>
        <w:ind w:firstLine="709"/>
        <w:jc w:val="both"/>
      </w:pPr>
      <w:r>
        <w:rPr>
          <w:sz w:val="24"/>
          <w:szCs w:val="24"/>
        </w:rPr>
        <w:t xml:space="preserve">Além dos indicadores técnicos de cada incidente (seção 6.1), a organização deve acompanhar, de forma agregada e periódica, indicadores de governança regulatória, entre eles o percentual de incidentes com comunicação à ANPD realizada dentro do prazo legal aplicável (RCIS, arts. 6º e 9º). O registro, por incidente, da pontualidade da comunicação é feito no Instrumento 4; a consolidação periódica deste indicador entre incidentes é responsabilidade da organização, fora do escopo deste Plano.</w:t>
      </w:r>
    </w:p>
    <w:p>
      <w:pPr>
        <w:pStyle w:val="Heading1"/>
        <w:spacing w:after="160" w:before="360"/>
        <w:ind w:firstLine="0"/>
      </w:pPr>
      <w:r>
        <w:t xml:space="preserve">Anexo: considerações específicas para incidentes de ransomware</w:t>
      </w:r>
    </w:p>
    <w:p>
      <w:pPr>
        <w:spacing w:after="160" w:line="360" w:lineRule="auto"/>
        <w:ind w:firstLine="709"/>
        <w:jc w:val="both"/>
      </w:pPr>
      <w:r>
        <w:rPr>
          <w:sz w:val="24"/>
          <w:szCs w:val="24"/>
        </w:rPr>
        <w:t xml:space="preserve">Este anexo complementa, sem substituir, os waypoints do DAIR (seção 3) e a trilha de privacidade (seção 4) para a situação específica de um incidente de ransomware, em que a disponibilidade dos próprios sistemas de resposta pode estar comprometida.</w:t>
      </w:r>
    </w:p>
    <w:p>
      <w:pPr>
        <w:pStyle w:val="Heading2"/>
        <w:spacing w:after="120" w:before="240"/>
        <w:ind w:firstLine="0"/>
      </w:pPr>
      <w:r>
        <w:t xml:space="preserve">Canal de comunicação de crise fora de banda</w:t>
      </w:r>
    </w:p>
    <w:p>
      <w:pPr>
        <w:spacing w:after="160" w:line="360" w:lineRule="auto"/>
        <w:ind w:firstLine="709"/>
        <w:jc w:val="both"/>
      </w:pPr>
      <w:r>
        <w:rPr>
          <w:sz w:val="24"/>
          <w:szCs w:val="24"/>
        </w:rPr>
        <w:t xml:space="preserve">Um incidente de ransomware pode comprometer a mesma infraestrutura de comunicação interna usada para coordenar a resposta (e-mail corporativo, mensageria interna, telefonia IP), de modo que o atacante pode estar lendo ou monitorando o canal de acionamento definido na seção 1.2. A organização deve manter definido, previamente, um canal de comunicação de crise fora de banda (out-of-band), que não dependa da infraestrutura potencialmente comprometida, para uso exclusivo durante incidentes de ransomware ou sempre que houver suspeita razoável de monitoramento do canal primário.</w:t>
      </w:r>
    </w:p>
    <w:p>
      <w:pPr>
        <w:spacing w:after="120" w:line="360" w:lineRule="auto"/>
        <w:ind w:firstLine="709"/>
        <w:jc w:val="both"/>
      </w:pPr>
      <w:r>
        <w:rPr>
          <w:b/>
          <w:bCs/>
          <w:sz w:val="24"/>
          <w:szCs w:val="24"/>
        </w:rPr>
        <w:t xml:space="preserve">Canal fora de banda definido para uso em incidentes de ransomware: </w:t>
      </w:r>
      <w:r>
        <w:rPr>
          <w:i/>
          <w:iCs/>
          <w:color w:val="595959"/>
          <w:sz w:val="24"/>
          <w:szCs w:val="24"/>
        </w:rPr>
        <w:t xml:space="preserve">[preencher: ex.: aplicativo de mensagens pessoal dos membros do comitê, linha telefônica externa, ou encontro presencial]</w:t>
      </w:r>
    </w:p>
    <w:p>
      <w:pPr>
        <w:pStyle w:val="Heading2"/>
        <w:spacing w:after="120" w:before="240"/>
        <w:ind w:firstLine="0"/>
      </w:pPr>
      <w:r>
        <w:t xml:space="preserve">Decisão sobre pagamento de resgate</w:t>
      </w:r>
    </w:p>
    <w:p>
      <w:pPr>
        <w:spacing w:after="160" w:line="360" w:lineRule="auto"/>
        <w:ind w:firstLine="709"/>
        <w:jc w:val="both"/>
      </w:pPr>
      <w:r>
        <w:rPr>
          <w:sz w:val="24"/>
          <w:szCs w:val="24"/>
        </w:rPr>
        <w:t xml:space="preserve">A decisão sobre pagar ou não um resgate é de competência exclusiva da Direção, não delegável, conforme a matriz de autoridade (seção 2.5), e deve ser precedida de contato com a autoridade policial competente, mesmo quando a organização conclua por não pagar. O pagamento do resgate não garante a recuperação dos dados nem a ausência de divulgação posterior, e deve ser tratado como mitigação de risco incerta, nunca como solução garantida.</w:t>
      </w:r>
    </w:p>
    <w:p>
      <w:pPr>
        <w:pStyle w:val="Heading2"/>
        <w:spacing w:after="120" w:before="240"/>
        <w:ind w:firstLine="0"/>
      </w:pPr>
      <w:r>
        <w:t xml:space="preserve">Restauração de backups</w:t>
      </w:r>
    </w:p>
    <w:p>
      <w:pPr>
        <w:pStyle w:val="ListParagraph"/>
        <w:numPr>
          <w:ilvl w:val="0"/>
          <w:numId w:val="1"/>
        </w:numPr>
        <w:spacing w:after="100" w:line="360" w:lineRule="auto"/>
        <w:ind w:firstLine="0"/>
        <w:jc w:val="both"/>
      </w:pPr>
      <w:r>
        <w:rPr>
          <w:sz w:val="24"/>
          <w:szCs w:val="24"/>
        </w:rPr>
        <w:t xml:space="preserve">Verificar a integridade e a ausência de comprometimento dos backups antes de iniciar a restauração: um backup recente pode já conter o mecanismo de persistência do atacante.</w:t>
      </w:r>
    </w:p>
    <w:p>
      <w:pPr>
        <w:pStyle w:val="ListParagraph"/>
        <w:numPr>
          <w:ilvl w:val="0"/>
          <w:numId w:val="1"/>
        </w:numPr>
        <w:spacing w:after="100" w:line="360" w:lineRule="auto"/>
        <w:ind w:firstLine="0"/>
        <w:jc w:val="both"/>
      </w:pPr>
      <w:r>
        <w:rPr>
          <w:sz w:val="24"/>
          <w:szCs w:val="24"/>
        </w:rPr>
        <w:t xml:space="preserve">Respeitar a ordem de remediação: corrigir a vulnerabilidade de entrada identificada antes de reconectar os sistemas restaurados à rede, para não reintroduzir o mesmo vetor de acesso.</w:t>
      </w:r>
    </w:p>
    <w:p>
      <w:pPr>
        <w:pStyle w:val="ListParagraph"/>
        <w:numPr>
          <w:ilvl w:val="0"/>
          <w:numId w:val="1"/>
        </w:numPr>
        <w:spacing w:after="100" w:line="360" w:lineRule="auto"/>
        <w:ind w:firstLine="0"/>
        <w:jc w:val="both"/>
      </w:pPr>
      <w:r>
        <w:rPr>
          <w:sz w:val="24"/>
          <w:szCs w:val="24"/>
        </w:rPr>
        <w:t xml:space="preserve">Verificar, antes da restauração, se as credenciais necessárias para acessar o próprio sistema de backup não foram invalidadas ou alteradas durante a contenção, o que inviabilizaria a restauração no momento em que ela for necessária.</w:t>
      </w:r>
    </w:p>
    <w:p>
      <w:pPr>
        <w:pStyle w:val="Heading2"/>
        <w:spacing w:after="120" w:before="240"/>
        <w:ind w:firstLine="0"/>
      </w:pPr>
      <w:r>
        <w:t xml:space="preserve">Investigação de intrusão mais ampla</w:t>
      </w:r>
    </w:p>
    <w:p>
      <w:pPr>
        <w:spacing w:after="160" w:line="360" w:lineRule="auto"/>
        <w:ind w:firstLine="709"/>
        <w:jc w:val="both"/>
      </w:pPr>
      <w:r>
        <w:rPr>
          <w:sz w:val="24"/>
          <w:szCs w:val="24"/>
        </w:rPr>
        <w:t xml:space="preserve">Um ransomware é, com frequência, apenas o estágio final visível de uma intrusão mais ampla e anterior. Antes de considerar o incidente encerrado, a investigação deve avaliar especificamente se há evidência de acesso, movimentação lateral ou exfiltração anteriores à detonação do ransomware, e não apenas remediar os efeitos diretamente observados.</w:t>
      </w:r>
    </w:p>
    <w:p>
      <w:pPr>
        <w:spacing w:before="400"/>
      </w:pPr>
      <w:r>
        <w:rPr>
          <w:i/>
          <w:iCs/>
          <w:color w:val="595959"/>
          <w:sz w:val="18"/>
          <w:szCs w:val="18"/>
        </w:rPr>
        <w:t xml:space="preserve">Este é um modelo institucional reutilizável, de caráter educacional e operacional. Não contém dados de nenhuma organização específica, não reproduz os cenários fictícios de treinamento deste repositório, e não produz efeitos até ser adaptado aos campos de configuração e formalmente aprovado pela autoridade competente da organização adotante. Licenciado sob CC BY 4.0, por Felipe Nicácio.</w:t>
      </w:r>
    </w:p>
    <w:sectPr>
      <w:headerReference w:type="default" r:id="rId6"/>
      <w:headerReference w:type="first" r:id="rId7"/>
      <w:pgSz w:w="11906" w:h="16838" w:orient="portrait"/>
      <w:pgMar w:top="1701"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DAIR Privacy Incident Response Playbook: Plano de Resposta a Incidentes v0.3</w:t>
    </w:r>
  </w:p>
  <w:p>
    <w:pPr>
      <w:jc w:val="right"/>
    </w:pPr>
    <w:r>
      <w:rPr>
        <w:color w:val="595959"/>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0"/>
      <w:numFmt w:val="decimal"/>
      <w:lvlText w:val="%1."/>
      <w:lvlJc w:val="left"/>
    </w:lvl>
    <w:lvl w:ilvl="1" w:tentative="1">
      <w:start w:val="1"/>
      <w:numFmt w:val="decimal"/>
      <w:lvlText w:val="%1.%2"/>
      <w:lvlJc w:val="left"/>
    </w:lvl>
  </w:abstractNum>
  <w:num w:numId="1">
    <w:abstractNumId w:val="1"/>
    <w:lvlOverride w:ilvl="0">
      <w:startOverride w:val="1"/>
    </w:lvlOverride>
  </w:num>
  <w:num w:numId="2">
    <w:abstractNumId w:val="2"/>
    <w:lvlOverride w:ilvl="0">
      <w:startOverride w:val="0"/>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numPr>
        <w:ilvl w:val="0"/>
        <w:numId w:val="2"/>
      </w:numPr>
      <w:pBdr>
        <w:bottom w:val="single" w:color="1F3864" w:sz="6"/>
      </w:pBdr>
      <w:spacing w:after="160" w:before="360" w:line="240" w:lineRule="auto"/>
      <w:ind w:firstLine="0"/>
      <w:jc w:val="left"/>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numPr>
        <w:ilvl w:val="1"/>
        <w:numId w:val="2"/>
      </w:numPr>
      <w:spacing w:after="120" w:before="240" w:line="240" w:lineRule="auto"/>
      <w:ind w:firstLine="0"/>
      <w:jc w:val="left"/>
    </w:pPr>
    <w:rPr>
      <w:rFonts w:ascii="Times New Roman" w:cs="Times New Roman" w:eastAsia="Times New Roman" w:hAnsi="Times New Roman"/>
      <w:b/>
      <w:bCs/>
      <w:color w:val="2E539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2026-10-21T14:15:12.962Z</dcterms:created>
  <dcterms:modified xsi:type="dcterms:W3CDTF">2026-10-21T14:15:12.962Z</dcterms:modified>
</cp:coreProperties>
</file>

<file path=docProps/custom.xml><?xml version="1.0" encoding="utf-8"?>
<Properties xmlns="http://schemas.openxmlformats.org/officeDocument/2006/custom-properties" xmlns:vt="http://schemas.openxmlformats.org/officeDocument/2006/docPropsVTypes"/>
</file>