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 xml:space="preserve">RELATÓRIO DE RESPOSTA A INCIDENTE</w:t>
      </w:r>
    </w:p>
    <w:p>
      <w:pPr>
        <w:spacing w:after="400" w:before="200"/>
        <w:jc w:val="center"/>
      </w:pPr>
      <w:r>
        <w:rPr>
          <w:color w:val="2E5395"/>
          <w:sz w:val="28"/>
          <w:szCs w:val="28"/>
        </w:rPr>
        <w:t xml:space="preserve">Dados Pessoais: Metodologia DAIR + LGPD/ANPD</w:t>
      </w:r>
    </w:p>
    <w:p>
      <w:pPr>
        <w:spacing w:after="100"/>
        <w:jc w:val="center"/>
      </w:pPr>
      <w:r>
        <w:rPr>
          <w:i/>
          <w:iCs/>
          <w:color w:val="595959"/>
          <w:sz w:val="24"/>
          <w:szCs w:val="24"/>
        </w:rPr>
        <w:t xml:space="preserve">Modelo reutilizável: Versão 0.3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DAIR Privacy Incident Response Playbook · CC BY 4.0 · Felipe Nicácio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Organização (controladora)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INC-AAAA-NNN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do documento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Ex.: Confidencial: uso interno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Versão do relatório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  <w:ind w:firstLine="0"/>
      </w:pPr>
      <w:r>
        <w:t xml:space="preserve">Identificação e Controle do Documento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preencher os dados do incidente, do documento e registrar cada nova versão emitida, com autor e motivo da revisão.</w:t>
      </w:r>
    </w:p>
    <w:p>
      <w:pPr>
        <w:pStyle w:val="Heading2"/>
        <w:spacing w:after="120" w:before="200"/>
        <w:ind w:firstLine="0"/>
      </w:pPr>
      <w:r>
        <w:t xml:space="preserve">Dados do incidente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Operador(es) envolvido(s)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de severidade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Situação atual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  <w:ind w:firstLine="0"/>
      </w:pPr>
      <w:r>
        <w:t xml:space="preserve">Histórico de versões deste relatório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38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alteração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Sumário Executivo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em até um parágrafo, resumir o que aconteceu, o impacto confirmado, as medidas adotadas e o estado atual, em linguagem acessível a CISO, Jurídico e direção. Não antecipar conclusões não fundamentadas nas seções seguintes.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Contexto do Incidente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descrever o ambiente afetado (sistemas, serviços, operador, tipo de negócio) e o evento inicial que motivou a abertura do incidente, distinguindo fato confirmado de hipótese.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Escopo da Investigação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delimitar o que foi efetivamente investigado (sistemas, períodos, contas, dados) e registrar explicitamente o que permanece fora do escopo ou desconhecido.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Incluído no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Excluído do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Desconhecido / pendente de apuração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Cronologia dos Acontecimentos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transcrever os eventos relevantes da aba Linha_do_Tempo do Instrumento 1, mantendo IDs de evento (EVT-) e evidência (EVD-) para rastreabilidade.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400"/>
        <w:gridCol w:w="1600"/>
        <w:gridCol w:w="16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Evento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Data/Hora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Fato Observado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 DAIR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(ID)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Metodologia DAIR Aplicada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registrar, para cada waypoint efetivamente percorrido, o que foi feito e quantos ciclos do Response Actions Loop (Scope-Contain-Eradicate-Recover) foram necessários. Usar os IDs de ciclo (CIC-) do Instrumento 3.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 da execução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Ciclo(s) DAIR relacionado(s)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Verify and Triage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Contain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Eradicate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Debrief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r>
        <w:rPr>
          <w:i/>
          <w:iCs/>
          <w:color w:val="595959"/>
          <w:sz w:val="20"/>
          <w:szCs w:val="20"/>
        </w:rPr>
        <w:t xml:space="preserve">Nota metodológica: o DAIR é iterativo. A presença de mais de um ciclo não indica falha de processo: indica que o escopo foi corretamente reavaliado diante de novas evidências.</w:t>
      </w:r>
    </w:p>
    <w:p>
      <w:pPr>
        <w:pStyle w:val="Heading1"/>
        <w:spacing w:after="160" w:before="360"/>
        <w:ind w:firstLine="0"/>
      </w:pPr>
      <w:r>
        <w:t xml:space="preserve">Evidências Analisadas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listar as evidências relevantes com seu grau de certeza (confirmado, hipótese, inferido, desconhecido), conforme registrado no Instrumento 1 (aba Gestao_Evidencias).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200"/>
        <w:gridCol w:w="2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Grau de Certeza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Identificação da Causa e Fatores Contribuintes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diferenciar causa confirmada de causa provável/hipótese corroborada. Registrar fatores contribuintes (ex.: controles ausentes, falhas de processo) separadamente da causa técnica direta.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Ações de Contenção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descrever as ações de contenção executadas em cada ciclo, incluindo revogação de identidades, sessões e tokens, e o resultado do teste de validação técnica: não apenas a execução administrativa da ação.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Atividades de Erradicação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descrever a remoção do mecanismo de acesso indevido e a investigação da causa, indicando o que foi efetivamente testado versus o que permanece hipótese.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Validação da Recuperação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 os critérios usados para validar a recuperação dos serviços e o período de observação adicional aplicado antes de considerar o serviço estabilizado.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Avaliação de Impactos Operacionais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descrever o impacto do incidente e da resposta sobre a operação (indisponibilidade, degradação de serviço, custos operacionais, impacto a clientes/parceiros).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Avaliação de Riscos aos Titulares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resumir o resultado da avaliação registrada no Instrumento 2 (DAIR_Avaliacao_Riscos_Titulares_ANPD_v0.3.xlsx), incluindo a versão final da avaliação regulatória e sua fundamentação. Este relatório não substitui o instrumento de avaliação: remeter a ele.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da avaliação (Instrumento 2)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A: afetação significativa (art. 5º, caput)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B: inciso(s) aplicável(is) do art. 5º, I a VI, RCIS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Resultado da avaliação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aprovação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Decisões Regulatórias e Comunicações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 a decisão sobre comunicação à ANPD e aos titulares, o marco de conhecimento, o prazo aplicável e o estado efetivo das comunicações (planejada, aprovada, realizada). Nunca declarar comunicação realizada sem evidência correspondente.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conhecimento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Prazo regulatório aplicável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ANPD: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titulares: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Evidência de aprovação (ID da decisão)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 realizada dentro do prazo legal (sim/não)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o campo acima alimenta o indicador agregado de governança regulatória definido no Plano de Resposta a Incidentes, seção 6.5 (percentual de incidentes comunicados à ANPD dentro do prazo); a consolidação entre incidentes é feita pela organização, fora deste relatório.</w:t>
      </w:r>
    </w:p>
    <w:p>
      <w:pPr>
        <w:pStyle w:val="Heading1"/>
        <w:spacing w:after="160" w:before="360"/>
        <w:ind w:firstLine="0"/>
      </w:pPr>
      <w:r>
        <w:t xml:space="preserve">Riscos Residuais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 riscos que permanecem mesmo após a resposta técnica (ex.: dados já exfiltrados, possibilidade de redistribuição, cobertura limitada de investigação), com responsável pelo acompanhamento.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 residual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 pelo acompanhamento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Lições Aprendidas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 o que funcionou, o que falhou e o que deveria mudar no procedimento, com base em evidência do próprio incidente: não em opinião genérica.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  <w:ind w:firstLine="0"/>
      </w:pPr>
      <w:r>
        <w:t xml:space="preserve">Plano de Ações Corretivas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transcrever as ações do tipo 'Corretiva' do Instrumento 1 (aba Plano_Acoes), com prioridade, responsável, prazo e evidência de conclusão exigida.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1200"/>
        <w:gridCol w:w="14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da Ação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Critérios e Autorização de Encerramento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registrar as condições que precisaram ser satisfeitas para autorizar o encerramento da resposta técnica ativa, quem aprovou e quais pendências (inclusive regulatórias) permanecem abertas após o encerramento.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Condições satisfeitas para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 do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encerramento da resposta técnica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que permanecem abertas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Necessidade de atualização do RIPD (Relatório de Impacto à Proteção de Dados)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quando as conclusões deste relatório indicarem necessidade de atualizar o RIPD da atividade de tratamento afetada, registrar aqui a necessidade e, quando aplicável, o responsável e o prazo; o RIPD propriamente dito é mantido fora deste instrumento (Política, seção 17).</w:t>
      </w:r>
    </w:p>
    <w:p>
      <w:pPr>
        <w:pStyle w:val="Heading1"/>
        <w:spacing w:after="160" w:before="360"/>
        <w:ind w:firstLine="0"/>
      </w:pPr>
      <w:r>
        <w:t xml:space="preserve">Referências Normativas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identificar norma, edição/ano, artigo ou seção aplicável e a fonte consultada para cada referência utilizada neste relatório. Não declarar conformidade automática com base nesta lista.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Norma / Referência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Edição / Artigo aplicável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consultada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planalto.gov.br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Resolução CD/ANPD nº 15/2024 (RCIS)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 5º, 6º, 9º e 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gov.br/anpd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DAIR: Joshua Wright / SANS Institute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sans.org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NIST SP 800-61 Rev.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csrc.nist.gov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27035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27701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22361:2022 (gestão de crises)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Referência complementar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  <w:ind w:firstLine="0"/>
      </w:pPr>
      <w:r>
        <w:t xml:space="preserve">Anexos e Histórico de Versões</w:t>
      </w:r>
    </w:p>
    <w:p>
      <w:pPr>
        <w:spacing w:after="200" w:line="360" w:lineRule="auto"/>
        <w:ind w:firstLine="709"/>
        <w:jc w:val="both"/>
      </w:pPr>
      <w:r>
        <w:rPr>
          <w:i/>
          <w:iCs/>
          <w:color w:val="595959"/>
          <w:sz w:val="20"/>
          <w:szCs w:val="20"/>
        </w:rPr>
        <w:t xml:space="preserve">Instrução de preenchimento: listar documentos anexos (ex.: avaliações de risco, comunicações, evidências sumarizadas) e manter aqui a referência cruzada aos demais instrumentos utilizados.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Anexo / Instrumento relacionado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e Gestão de Incidentes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DAIR_Registro_e_Gestao_de_Incidentes_v0.3.xlsx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Avaliação de Riscos aos Titulares e ANPD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DAIR_Avaliacao_Riscos_Titulares_ANPD_v0.3.xlsx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Checklist Operacional Dinâmico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DAIR_Checklist_Operacional_v0.3.xlsx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Kit de Preparação e Controle das Comunicações ANPD/Titulares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DAIR_Kit_Preparacao_Comunicacoes_ANPD_Titulares_v0.3.docx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constitui parecer jurídico nem substitui validação técnica e regulatória contextualizada. Licenciado sob CC BY 4.0, por Felipe Nicácio.</w:t>
      </w:r>
    </w:p>
    <w:sectPr>
      <w:headerReference w:type="default" r:id="rId6"/>
      <w:headerReference w:type="first" r:id="rId7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Playbook: Modelo de Relatório v0.3</w:t>
    </w:r>
  </w:p>
  <w:p>
    <w:pPr>
      <w:jc w:val="right"/>
    </w:pPr>
    <w:r>
      <w:rPr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decimal"/>
      <w:lvlText w:val="%1.%2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 w:lineRule="auto"/>
        <w:jc w:val="both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numPr>
        <w:ilvl w:val="0"/>
        <w:numId w:val="2"/>
      </w:numPr>
      <w:pBdr>
        <w:bottom w:val="single" w:color="1F3864" w:sz="6"/>
      </w:pBdr>
      <w:spacing w:after="160" w:before="360" w:line="240" w:lineRule="auto"/>
      <w:ind w:firstLine="0"/>
      <w:jc w:val="left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numPr>
        <w:ilvl w:val="1"/>
        <w:numId w:val="2"/>
      </w:numPr>
      <w:spacing w:after="120" w:before="240" w:line="240" w:lineRule="auto"/>
      <w:ind w:firstLine="0"/>
      <w:jc w:val="left"/>
    </w:pPr>
    <w:rPr>
      <w:rFonts w:ascii="Times New Roman" w:cs="Times New Roman" w:eastAsia="Times New Roman" w:hAnsi="Times New Roman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2026-10-21T14:16:07.125Z</dcterms:created>
  <dcterms:modified xsi:type="dcterms:W3CDTF">2026-10-21T14:16:07.126Z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