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3864"/>
          <w:sz w:val="40"/>
          <w:szCs w:val="40"/>
        </w:rPr>
        <w:t xml:space="preserve">POLÍTICA DE RESPOSTA A INCIDENTES</w:t>
      </w:r>
    </w:p>
    <w:p>
      <w:pPr>
        <w:spacing w:after="300" w:before="200"/>
        <w:jc w:val="center"/>
      </w:pPr>
      <w:r>
        <w:rPr>
          <w:color w:val="2E5395"/>
          <w:sz w:val="26"/>
          <w:szCs w:val="26"/>
        </w:rPr>
        <w:t xml:space="preserve">Diretrizes, responsabilidades e autoridade institucionais</w:t>
      </w:r>
    </w:p>
    <w:p>
      <w:pPr>
        <w:spacing w:after="400"/>
        <w:jc w:val="center"/>
      </w:pPr>
      <w:r>
        <w:rPr>
          <w:i/>
          <w:iCs/>
          <w:color w:val="595959"/>
          <w:sz w:val="24"/>
          <w:szCs w:val="24"/>
        </w:rPr>
        <w:t xml:space="preserve">Modelo institucional reutilizável (Versão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FFF" w:val="clear"/>
            <w:tcMar>
              <w:top w:type="dxa" w:w="150"/>
              <w:left w:type="dxa" w:w="150"/>
              <w:bottom w:type="dxa" w:w="150"/>
              <w:right w:type="dxa" w:w="150"/>
            </w:tcMar>
          </w:tcPr>
          <w:p>
            <w:r>
              <w:rPr>
                <w:b/>
                <w:bCs/>
                <w:color w:val="000000"/>
                <w:sz w:val="20"/>
                <w:szCs w:val="20"/>
              </w:rPr>
              <w:t xml:space="preserve">Este documento não contém dados de nenhuma organização específica e não constitui aprovação. Os campos de configuração da seção 0 devem ser preenchidos e o documento deve ser submetido à aprovação formal da organização antes de qualquer adoção. Esta Política define diretrizes, papéis e autoridade; a mobilização e a execução da resposta estão no Plano de Resposta a Incidentes; os procedimentos técnicos detalhados estão no Playbook DAIR; os registros, avaliações e comunicações têm instrumentos próprios.</w:t>
            </w:r>
          </w:p>
        </w:tc>
      </w:tr>
    </w:tbl>
    <w:p>
      <w:r>
        <w:br w:type="page"/>
      </w:r>
    </w:p>
    <w:p>
      <w:pPr>
        <w:pStyle w:val="Heading1"/>
        <w:spacing w:after="240" w:before="480"/>
        <w:jc w:val="left"/>
      </w:pPr>
      <w:r>
        <w:t xml:space="preserve">0. DADOS DE CONTROLE DO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Campo</w:t>
            </w:r>
          </w:p>
        </w:tc>
        <w:tc>
          <w:tcPr>
            <w:tcW w:type="dxa" w:w="5800"/>
            <w:shd w:fill="1F3864" w:val="clear"/>
            <w:tcMar>
              <w:top w:type="dxa" w:w="80"/>
              <w:left w:type="dxa" w:w="100"/>
              <w:bottom w:type="dxa" w:w="80"/>
              <w:right w:type="dxa" w:w="100"/>
            </w:tcMar>
            <w:vAlign w:val="center"/>
          </w:tcPr>
          <w:p>
            <w:r>
              <w:rPr>
                <w:b/>
                <w:bCs/>
                <w:color w:val="FFFFFF"/>
                <w:sz w:val="20"/>
                <w:szCs w:val="20"/>
              </w:rPr>
              <w:t xml:space="preserve">Valor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Organização</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razão social ou nome da organização adotante]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Proprietário do documento (owner)</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cargo ou área responsável pela manutenção, ex.: Diretoria de Segurança da Informação]</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Aprovador</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cargo com autoridade para aprovar, ex.: Diretoria Executiva / Comitê de Segurança]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Versão</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ex.: 1.0]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Data de aprovação</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após aprovação formal; não inferir nem simular]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Vigência</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 ex.: 24 meses a partir da aprovação, ou “até nova revisão”]</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Próxima revisão programada</w:t>
            </w:r>
          </w:p>
        </w:tc>
        <w:tc>
          <w:tcPr>
            <w:tcW w:type="dxa" w:w="5800"/>
            <w:tcMar>
              <w:top w:type="dxa" w:w="80"/>
              <w:left w:type="dxa" w:w="100"/>
              <w:bottom w:type="dxa" w:w="80"/>
              <w:right w:type="dxa" w:w="100"/>
            </w:tcMar>
            <w:vAlign w:val="center"/>
          </w:tcPr>
          <w:p>
            <w:r>
              <w:rPr>
                <w:b w:val="false"/>
                <w:bCs w:val="false"/>
                <w:color w:val="000000"/>
                <w:sz w:val="20"/>
                <w:szCs w:val="20"/>
              </w:rPr>
              <w:t xml:space="preserve">[preencher]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Documentos relacionados</w:t>
            </w:r>
          </w:p>
        </w:tc>
        <w:tc>
          <w:tcPr>
            <w:tcW w:type="dxa" w:w="5800"/>
            <w:tcMar>
              <w:top w:type="dxa" w:w="80"/>
              <w:left w:type="dxa" w:w="100"/>
              <w:bottom w:type="dxa" w:w="80"/>
              <w:right w:type="dxa" w:w="100"/>
            </w:tcMar>
            <w:vAlign w:val="center"/>
          </w:tcPr>
          <w:p>
            <w:r>
              <w:rPr>
                <w:b w:val="false"/>
                <w:bCs w:val="false"/>
                <w:color w:val="000000"/>
                <w:sz w:val="20"/>
                <w:szCs w:val="20"/>
              </w:rPr>
              <w:t xml:space="preserve">Plano de Resposta a Incidentes; Playbook DAIR; Instrumentos 1 a 5</w:t>
            </w:r>
          </w:p>
        </w:tc>
      </w:tr>
    </w:tbl>
    <w:p>
      <w:pPr>
        <w:spacing w:after="0" w:line="360" w:lineRule="auto"/>
        <w:ind w:firstLine="709"/>
        <w:jc w:val="both"/>
      </w:pPr>
      <w:r>
        <w:rPr>
          <w:sz w:val="24"/>
          <w:szCs w:val="24"/>
        </w:rPr>
        <w:t xml:space="preserve">Esta Política não é autoaplicável: só produz efeitos internos após adaptação aos campos acima e aprovação pela autoridade competente da organização, registrada nesta tabela.</w:t>
      </w:r>
    </w:p>
    <w:p>
      <w:pPr>
        <w:pStyle w:val="Heading1"/>
        <w:spacing w:after="240" w:before="480"/>
        <w:jc w:val="left"/>
      </w:pPr>
      <w:r>
        <w:t xml:space="preserve">1. OBJETIVO E ESCOPO</w:t>
      </w:r>
    </w:p>
    <w:p>
      <w:pPr>
        <w:spacing w:after="0" w:line="360" w:lineRule="auto"/>
        <w:ind w:firstLine="709"/>
        <w:jc w:val="both"/>
      </w:pPr>
      <w:r>
        <w:rPr>
          <w:sz w:val="24"/>
          <w:szCs w:val="24"/>
        </w:rPr>
        <w:t xml:space="preserve">Esta Política estabelece as diretrizes, responsabilidades e autoridade para prevenir, detectar, responder e encerrar incidentes de segurança da informação, incluindo incidentes de segurança envolvendo dados pessoais (LGPD, art. 46 e seguintes), de forma proporcional, tempestiva e auditável.</w:t>
      </w:r>
    </w:p>
    <w:p>
      <w:pPr>
        <w:spacing w:after="0" w:line="360" w:lineRule="auto"/>
        <w:ind w:firstLine="709"/>
        <w:jc w:val="both"/>
      </w:pPr>
      <w:r>
        <w:rPr>
          <w:sz w:val="24"/>
          <w:szCs w:val="24"/>
        </w:rPr>
        <w:t xml:space="preserve">Aplica-se a:</w:t>
      </w:r>
    </w:p>
    <w:p>
      <w:pPr>
        <w:pStyle w:val="ListParagraph"/>
        <w:numPr>
          <w:ilvl w:val="0"/>
          <w:numId w:val="1"/>
        </w:numPr>
        <w:spacing w:after="0" w:line="360" w:lineRule="auto"/>
        <w:jc w:val="both"/>
      </w:pPr>
      <w:r>
        <w:rPr>
          <w:sz w:val="24"/>
          <w:szCs w:val="24"/>
        </w:rPr>
        <w:t xml:space="preserve">empregados, estagiários e demais colaboradores da organização;</w:t>
      </w:r>
    </w:p>
    <w:p>
      <w:pPr>
        <w:pStyle w:val="ListParagraph"/>
        <w:numPr>
          <w:ilvl w:val="0"/>
          <w:numId w:val="1"/>
        </w:numPr>
        <w:spacing w:after="0" w:line="360" w:lineRule="auto"/>
        <w:jc w:val="both"/>
      </w:pPr>
      <w:r>
        <w:rPr>
          <w:sz w:val="24"/>
          <w:szCs w:val="24"/>
        </w:rPr>
        <w:t xml:space="preserve">terceiros, prestadores de serviço e fornecedores que tratem informações ou dados pessoais em nome da organização, ou que operem sistemas e serviços a ela conectados;</w:t>
      </w:r>
    </w:p>
    <w:p>
      <w:pPr>
        <w:pStyle w:val="ListParagraph"/>
        <w:numPr>
          <w:ilvl w:val="0"/>
          <w:numId w:val="1"/>
        </w:numPr>
        <w:spacing w:after="0" w:line="360" w:lineRule="auto"/>
        <w:jc w:val="both"/>
      </w:pPr>
      <w:r>
        <w:rPr>
          <w:sz w:val="24"/>
          <w:szCs w:val="24"/>
        </w:rPr>
        <w:t xml:space="preserve">sistemas, serviços, redes, aplicações e dados (próprios, hospedados por terceiros ou operados por terceiros) sob controle ou responsabilidade da organização;</w:t>
      </w:r>
    </w:p>
    <w:p>
      <w:pPr>
        <w:pStyle w:val="ListParagraph"/>
        <w:numPr>
          <w:ilvl w:val="0"/>
          <w:numId w:val="1"/>
        </w:numPr>
        <w:spacing w:after="0" w:line="360" w:lineRule="auto"/>
        <w:jc w:val="both"/>
      </w:pPr>
      <w:r>
        <w:rPr>
          <w:sz w:val="24"/>
          <w:szCs w:val="24"/>
        </w:rPr>
        <w:t xml:space="preserve">qualquer incidente identificado por meios internos, por notificação de terceiros, por operadores, por fornecedores, por titulares de dados ou por autoridades.</w:t>
      </w:r>
    </w:p>
    <w:p>
      <w:pPr>
        <w:spacing w:after="0" w:line="360" w:lineRule="auto"/>
        <w:ind w:firstLine="709"/>
        <w:jc w:val="both"/>
      </w:pPr>
      <w:r>
        <w:rPr>
          <w:sz w:val="24"/>
          <w:szCs w:val="24"/>
        </w:rPr>
        <w:t xml:space="preserve">Esta Política não substitui normas setoriais específicas, cláusulas contratuais com maior exigência, nem orientações da ANPD ou de outros reguladores aplicáveis; nos conflitos, prevalece a norma ou o procedimento oficial vigente.</w:t>
      </w:r>
    </w:p>
    <w:p>
      <w:pPr>
        <w:pStyle w:val="Heading1"/>
        <w:spacing w:after="240" w:before="480"/>
        <w:jc w:val="left"/>
      </w:pPr>
      <w:r>
        <w:t xml:space="preserve">2. DEFINIÇÕES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Termo</w:t>
            </w:r>
          </w:p>
        </w:tc>
        <w:tc>
          <w:tcPr>
            <w:tcW w:type="dxa" w:w="6400"/>
            <w:shd w:fill="1F3864" w:val="clear"/>
            <w:tcMar>
              <w:top w:type="dxa" w:w="80"/>
              <w:left w:type="dxa" w:w="100"/>
              <w:bottom w:type="dxa" w:w="80"/>
              <w:right w:type="dxa" w:w="100"/>
            </w:tcMar>
            <w:vAlign w:val="center"/>
          </w:tcPr>
          <w:p>
            <w:r>
              <w:rPr>
                <w:b/>
                <w:bCs/>
                <w:color w:val="FFFFFF"/>
                <w:sz w:val="20"/>
                <w:szCs w:val="20"/>
              </w:rPr>
              <w:t xml:space="preserve">Definição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Evento</w:t>
            </w:r>
          </w:p>
        </w:tc>
        <w:tc>
          <w:tcPr>
            <w:tcW w:type="dxa" w:w="6400"/>
            <w:tcMar>
              <w:top w:type="dxa" w:w="80"/>
              <w:left w:type="dxa" w:w="100"/>
              <w:bottom w:type="dxa" w:w="80"/>
              <w:right w:type="dxa" w:w="100"/>
            </w:tcMar>
            <w:vAlign w:val="center"/>
          </w:tcPr>
          <w:p>
            <w:r>
              <w:rPr>
                <w:b w:val="false"/>
                <w:bCs w:val="false"/>
                <w:color w:val="000000"/>
                <w:sz w:val="20"/>
                <w:szCs w:val="20"/>
              </w:rPr>
              <w:t xml:space="preserve">Ocorrência observável em um sistema ou rede, sem indicação, por si só, de violação de segurança.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Suspeita de incidente</w:t>
            </w:r>
          </w:p>
        </w:tc>
        <w:tc>
          <w:tcPr>
            <w:tcW w:type="dxa" w:w="6400"/>
            <w:tcMar>
              <w:top w:type="dxa" w:w="80"/>
              <w:left w:type="dxa" w:w="100"/>
              <w:bottom w:type="dxa" w:w="80"/>
              <w:right w:type="dxa" w:w="100"/>
            </w:tcMar>
            <w:vAlign w:val="center"/>
          </w:tcPr>
          <w:p>
            <w:r>
              <w:rPr>
                <w:b w:val="false"/>
                <w:bCs w:val="false"/>
                <w:color w:val="000000"/>
                <w:sz w:val="20"/>
                <w:szCs w:val="20"/>
              </w:rPr>
              <w:t xml:space="preserve">Evento ou conjunto de evidências que indica possível violação de segurança ainda não confirmada, exigindo verificação.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Incidente confirmado</w:t>
            </w:r>
          </w:p>
        </w:tc>
        <w:tc>
          <w:tcPr>
            <w:tcW w:type="dxa" w:w="6400"/>
            <w:tcMar>
              <w:top w:type="dxa" w:w="80"/>
              <w:left w:type="dxa" w:w="100"/>
              <w:bottom w:type="dxa" w:w="80"/>
              <w:right w:type="dxa" w:w="100"/>
            </w:tcMar>
            <w:vAlign w:val="center"/>
          </w:tcPr>
          <w:p>
            <w:r>
              <w:rPr>
                <w:b w:val="false"/>
                <w:bCs w:val="false"/>
                <w:color w:val="000000"/>
                <w:sz w:val="20"/>
                <w:szCs w:val="20"/>
              </w:rPr>
              <w:t xml:space="preserve">Violação de segurança confirmada (da confidencialidade, integridade, disponibilidade ou autenticidade) de sistemas, serviços ou dados.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Incidente envolvendo dados pessoais</w:t>
            </w:r>
          </w:p>
        </w:tc>
        <w:tc>
          <w:tcPr>
            <w:tcW w:type="dxa" w:w="6400"/>
            <w:tcMar>
              <w:top w:type="dxa" w:w="80"/>
              <w:left w:type="dxa" w:w="100"/>
              <w:bottom w:type="dxa" w:w="80"/>
              <w:right w:type="dxa" w:w="100"/>
            </w:tcMar>
            <w:vAlign w:val="center"/>
          </w:tcPr>
          <w:p>
            <w:r>
              <w:rPr>
                <w:b w:val="false"/>
                <w:bCs w:val="false"/>
                <w:color w:val="000000"/>
                <w:sz w:val="20"/>
                <w:szCs w:val="20"/>
              </w:rPr>
              <w:t xml:space="preserve">Incidente confirmado que afeta dados pessoais sob tratamento pela organização (como controladora) ou por ela operados (como operadora), nos termos do art. 46 da LGPD.</w:t>
            </w:r>
          </w:p>
        </w:tc>
      </w:tr>
    </w:tbl>
    <w:p>
      <w:pPr>
        <w:spacing w:after="0" w:line="360" w:lineRule="auto"/>
        <w:ind w:firstLine="709"/>
        <w:jc w:val="both"/>
      </w:pPr>
      <w:r>
        <w:rPr>
          <w:sz w:val="24"/>
          <w:szCs w:val="24"/>
        </w:rPr>
        <w:t xml:space="preserve">Estas definições orientam a aplicação desta Política e do Plano; os critérios técnicos de classificação de severidade e os critérios de avaliação do risco regulatório aos titulares estão detalhados, respectivamente, no Plano de Resposta a Incidentes e no Instrumento 2.</w:t>
      </w:r>
    </w:p>
    <w:p>
      <w:pPr>
        <w:pStyle w:val="Heading1"/>
        <w:spacing w:after="240" w:before="480"/>
        <w:jc w:val="left"/>
      </w:pPr>
      <w:r>
        <w:t xml:space="preserve">3. PRINCÍPIOS DE RESPOSTA</w:t>
      </w:r>
    </w:p>
    <w:p>
      <w:pPr>
        <w:pStyle w:val="ListParagraph"/>
        <w:numPr>
          <w:ilvl w:val="0"/>
          <w:numId w:val="1"/>
        </w:numPr>
        <w:spacing w:after="0" w:line="360" w:lineRule="auto"/>
        <w:jc w:val="both"/>
      </w:pPr>
      <w:r>
        <w:rPr>
          <w:sz w:val="24"/>
          <w:szCs w:val="24"/>
        </w:rPr>
        <w:t xml:space="preserve">Proporcionalidade: as medidas de contenção, investigação e comunicação devem ser proporcionais ao risco e ao impacto observados.</w:t>
      </w:r>
    </w:p>
    <w:p>
      <w:pPr>
        <w:pStyle w:val="ListParagraph"/>
        <w:numPr>
          <w:ilvl w:val="0"/>
          <w:numId w:val="1"/>
        </w:numPr>
        <w:spacing w:after="0" w:line="360" w:lineRule="auto"/>
        <w:jc w:val="both"/>
      </w:pPr>
      <w:r>
        <w:rPr>
          <w:sz w:val="24"/>
          <w:szCs w:val="24"/>
        </w:rPr>
        <w:t xml:space="preserve">Preservação de evidências: a coleta e a preservação de evidências relevantes têm prioridade sobre a conveniência operacional, sem condicionar a contenção emergencial à conclusão da investigação.</w:t>
      </w:r>
    </w:p>
    <w:p>
      <w:pPr>
        <w:pStyle w:val="ListParagraph"/>
        <w:numPr>
          <w:ilvl w:val="0"/>
          <w:numId w:val="1"/>
        </w:numPr>
        <w:spacing w:after="0" w:line="360" w:lineRule="auto"/>
        <w:jc w:val="both"/>
      </w:pPr>
      <w:r>
        <w:rPr>
          <w:sz w:val="24"/>
          <w:szCs w:val="24"/>
        </w:rPr>
        <w:t xml:space="preserve">Continuidade: busca restabelecer a operação de forma segura e validada, equilibrando continuidade de negócio com integridade da contenção e da investigação.</w:t>
      </w:r>
    </w:p>
    <w:p>
      <w:pPr>
        <w:pStyle w:val="ListParagraph"/>
        <w:numPr>
          <w:ilvl w:val="0"/>
          <w:numId w:val="1"/>
        </w:numPr>
        <w:spacing w:after="0" w:line="360" w:lineRule="auto"/>
        <w:jc w:val="both"/>
      </w:pPr>
      <w:r>
        <w:rPr>
          <w:sz w:val="24"/>
          <w:szCs w:val="24"/>
        </w:rPr>
        <w:t xml:space="preserve">Proteção dos titulares: o risco e o impacto aos titulares de dados pessoais são considerados desde a triagem inicial, de forma independente da classificação técnica de severidade.</w:t>
      </w:r>
    </w:p>
    <w:p>
      <w:pPr>
        <w:pStyle w:val="ListParagraph"/>
        <w:numPr>
          <w:ilvl w:val="0"/>
          <w:numId w:val="1"/>
        </w:numPr>
        <w:spacing w:after="0" w:line="360" w:lineRule="auto"/>
        <w:jc w:val="both"/>
      </w:pPr>
      <w:r>
        <w:rPr>
          <w:sz w:val="24"/>
          <w:szCs w:val="24"/>
        </w:rPr>
        <w:t xml:space="preserve">Confidencialidade: informações sobre o incidente são tratadas em base de necessidade de conhecimento enquanto a resposta está em curso, sem prejuízo das obrigações legais de comunicação.</w:t>
      </w:r>
    </w:p>
    <w:p>
      <w:pPr>
        <w:pStyle w:val="ListParagraph"/>
        <w:numPr>
          <w:ilvl w:val="0"/>
          <w:numId w:val="1"/>
        </w:numPr>
        <w:spacing w:after="0" w:line="360" w:lineRule="auto"/>
        <w:jc w:val="both"/>
      </w:pPr>
      <w:r>
        <w:rPr>
          <w:sz w:val="24"/>
          <w:szCs w:val="24"/>
        </w:rPr>
        <w:t xml:space="preserve">Accountability: toda decisão relevante é registrada, com responsável, data, fundamento e evidência associada.</w:t>
      </w:r>
    </w:p>
    <w:p>
      <w:pPr>
        <w:pStyle w:val="Heading1"/>
        <w:spacing w:after="240" w:before="480"/>
        <w:jc w:val="left"/>
      </w:pPr>
      <w:r>
        <w:t xml:space="preserve">4. ADOÇÃO DO DAIR COMO ABORDAGEM DINÂMICA E ITERATIVA</w:t>
      </w:r>
    </w:p>
    <w:p>
      <w:pPr>
        <w:spacing w:after="0" w:line="360" w:lineRule="auto"/>
        <w:ind w:firstLine="709"/>
        <w:jc w:val="both"/>
      </w:pPr>
      <w:r>
        <w:rPr>
          <w:sz w:val="24"/>
          <w:szCs w:val="24"/>
        </w:rPr>
        <w:t xml:space="preserve">A organização adota o DAIR (Dynamic Approach to Incident Response) como abordagem de referência para a execução operacional da resposta: Preparação, Detecção, Verificação e Triagem, seguidas do Loop de Ações de Resposta (Escopo, Contenção, Erradicação, Recuperação), executado de forma iterativa, com reentradas sempre que surgirem novas evidências, falhas de contenção, persistência do agente de ameaça ou mudança de escopo, e seguido de Debrief ao final. Esta Política não impõe sequência rígida de etapas; a sequência operacional e os critérios de reentrada constam do Plano e do Playbook.</w:t>
      </w:r>
    </w:p>
    <w:p>
      <w:pPr>
        <w:pStyle w:val="Heading1"/>
        <w:spacing w:after="240" w:before="480"/>
        <w:jc w:val="left"/>
      </w:pPr>
      <w:r>
        <w:t xml:space="preserve">5. PAPÉIS E RESPONSABILIDADES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Papel</w:t>
            </w:r>
          </w:p>
        </w:tc>
        <w:tc>
          <w:tcPr>
            <w:tcW w:type="dxa" w:w="6400"/>
            <w:shd w:fill="1F3864" w:val="clear"/>
            <w:tcMar>
              <w:top w:type="dxa" w:w="80"/>
              <w:left w:type="dxa" w:w="100"/>
              <w:bottom w:type="dxa" w:w="80"/>
              <w:right w:type="dxa" w:w="100"/>
            </w:tcMar>
            <w:vAlign w:val="center"/>
          </w:tcPr>
          <w:p>
            <w:r>
              <w:rPr>
                <w:b/>
                <w:bCs/>
                <w:color w:val="FFFFFF"/>
                <w:sz w:val="20"/>
                <w:szCs w:val="20"/>
              </w:rPr>
              <w:t xml:space="preserve">Responsabilidade típica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Direção / Diretoria designada</w:t>
            </w:r>
          </w:p>
        </w:tc>
        <w:tc>
          <w:tcPr>
            <w:tcW w:type="dxa" w:w="6400"/>
            <w:tcMar>
              <w:top w:type="dxa" w:w="80"/>
              <w:left w:type="dxa" w:w="100"/>
              <w:bottom w:type="dxa" w:w="80"/>
              <w:right w:type="dxa" w:w="100"/>
            </w:tcMar>
            <w:vAlign w:val="center"/>
          </w:tcPr>
          <w:p>
            <w:r>
              <w:rPr>
                <w:b w:val="false"/>
                <w:bCs w:val="false"/>
                <w:color w:val="000000"/>
                <w:sz w:val="20"/>
                <w:szCs w:val="20"/>
              </w:rPr>
              <w:t xml:space="preserve">Autoridade final sobre decisões que afetem continuidade do negócio, reputação ou exijam recursos extraordinários; aprova esta Política e o Plano.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Líder de Resposta a Incidentes</w:t>
            </w:r>
          </w:p>
        </w:tc>
        <w:tc>
          <w:tcPr>
            <w:tcW w:type="dxa" w:w="6400"/>
            <w:tcMar>
              <w:top w:type="dxa" w:w="80"/>
              <w:left w:type="dxa" w:w="100"/>
              <w:bottom w:type="dxa" w:w="80"/>
              <w:right w:type="dxa" w:w="100"/>
            </w:tcMar>
            <w:vAlign w:val="center"/>
          </w:tcPr>
          <w:p>
            <w:r>
              <w:rPr>
                <w:b w:val="false"/>
                <w:bCs w:val="false"/>
                <w:color w:val="000000"/>
                <w:sz w:val="20"/>
                <w:szCs w:val="20"/>
              </w:rPr>
              <w:t xml:space="preserve">Coordena a resposta operacional, aciona os demais papéis e aplica a autoridade da seção 6.</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Segurança da Informação</w:t>
            </w:r>
          </w:p>
        </w:tc>
        <w:tc>
          <w:tcPr>
            <w:tcW w:type="dxa" w:w="6400"/>
            <w:tcMar>
              <w:top w:type="dxa" w:w="80"/>
              <w:left w:type="dxa" w:w="100"/>
              <w:bottom w:type="dxa" w:w="80"/>
              <w:right w:type="dxa" w:w="100"/>
            </w:tcMar>
            <w:vAlign w:val="center"/>
          </w:tcPr>
          <w:p>
            <w:r>
              <w:rPr>
                <w:b w:val="false"/>
                <w:bCs w:val="false"/>
                <w:color w:val="000000"/>
                <w:sz w:val="20"/>
                <w:szCs w:val="20"/>
              </w:rPr>
              <w:t xml:space="preserve">Detecção, análise técnica, contenção, erradicação e recuperação, em articulação com 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Tecnologia da Informação (TI)</w:t>
            </w:r>
          </w:p>
        </w:tc>
        <w:tc>
          <w:tcPr>
            <w:tcW w:type="dxa" w:w="6400"/>
            <w:tcMar>
              <w:top w:type="dxa" w:w="80"/>
              <w:left w:type="dxa" w:w="100"/>
              <w:bottom w:type="dxa" w:w="80"/>
              <w:right w:type="dxa" w:w="100"/>
            </w:tcMar>
            <w:vAlign w:val="center"/>
          </w:tcPr>
          <w:p>
            <w:r>
              <w:rPr>
                <w:b w:val="false"/>
                <w:bCs w:val="false"/>
                <w:color w:val="000000"/>
                <w:sz w:val="20"/>
                <w:szCs w:val="20"/>
              </w:rPr>
              <w:t xml:space="preserve">Suporte à contenção e à recuperação de sistemas, infraestrutura e serviços afetados.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Áreas de Negócio</w:t>
            </w:r>
          </w:p>
        </w:tc>
        <w:tc>
          <w:tcPr>
            <w:tcW w:type="dxa" w:w="6400"/>
            <w:tcMar>
              <w:top w:type="dxa" w:w="80"/>
              <w:left w:type="dxa" w:w="100"/>
              <w:bottom w:type="dxa" w:w="80"/>
              <w:right w:type="dxa" w:w="100"/>
            </w:tcMar>
            <w:vAlign w:val="center"/>
          </w:tcPr>
          <w:p>
            <w:r>
              <w:rPr>
                <w:b w:val="false"/>
                <w:bCs w:val="false"/>
                <w:color w:val="000000"/>
                <w:sz w:val="20"/>
                <w:szCs w:val="20"/>
              </w:rPr>
              <w:t xml:space="preserve">Avaliação do impacto operacional e nas atividades de tratamento sob sua responsabilidade; apoio à comunicação.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Continuidade de Negócio</w:t>
            </w:r>
          </w:p>
        </w:tc>
        <w:tc>
          <w:tcPr>
            <w:tcW w:type="dxa" w:w="6400"/>
            <w:tcMar>
              <w:top w:type="dxa" w:w="80"/>
              <w:left w:type="dxa" w:w="100"/>
              <w:bottom w:type="dxa" w:w="80"/>
              <w:right w:type="dxa" w:w="100"/>
            </w:tcMar>
            <w:vAlign w:val="center"/>
          </w:tcPr>
          <w:p>
            <w:r>
              <w:rPr>
                <w:b w:val="false"/>
                <w:bCs w:val="false"/>
                <w:color w:val="000000"/>
                <w:sz w:val="20"/>
                <w:szCs w:val="20"/>
              </w:rPr>
              <w:t xml:space="preserve">Articulação entre contenção/erradicação e planos de continuidade.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Comunicação</w:t>
            </w:r>
          </w:p>
        </w:tc>
        <w:tc>
          <w:tcPr>
            <w:tcW w:type="dxa" w:w="6400"/>
            <w:tcMar>
              <w:top w:type="dxa" w:w="80"/>
              <w:left w:type="dxa" w:w="100"/>
              <w:bottom w:type="dxa" w:w="80"/>
              <w:right w:type="dxa" w:w="100"/>
            </w:tcMar>
            <w:vAlign w:val="center"/>
          </w:tcPr>
          <w:p>
            <w:r>
              <w:rPr>
                <w:b w:val="false"/>
                <w:bCs w:val="false"/>
                <w:color w:val="000000"/>
                <w:sz w:val="20"/>
                <w:szCs w:val="20"/>
              </w:rPr>
              <w:t xml:space="preserve">Preparação e aprovação de mensagens internas, institucionais e, quando aplicável, públicas.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Jurídico</w:t>
            </w:r>
          </w:p>
        </w:tc>
        <w:tc>
          <w:tcPr>
            <w:tcW w:type="dxa" w:w="6400"/>
            <w:tcMar>
              <w:top w:type="dxa" w:w="80"/>
              <w:left w:type="dxa" w:w="100"/>
              <w:bottom w:type="dxa" w:w="80"/>
              <w:right w:type="dxa" w:w="100"/>
            </w:tcMar>
            <w:vAlign w:val="center"/>
          </w:tcPr>
          <w:p>
            <w:r>
              <w:rPr>
                <w:b w:val="false"/>
                <w:bCs w:val="false"/>
                <w:color w:val="000000"/>
                <w:sz w:val="20"/>
                <w:szCs w:val="20"/>
              </w:rPr>
              <w:t xml:space="preserve">Avaliação de obrigações legais e contratuais; apoio à governança da decisão regulatória e à gestão de fornecedores.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Encarregado (DPO)</w:t>
            </w:r>
          </w:p>
        </w:tc>
        <w:tc>
          <w:tcPr>
            <w:tcW w:type="dxa" w:w="6400"/>
            <w:tcMar>
              <w:top w:type="dxa" w:w="80"/>
              <w:left w:type="dxa" w:w="100"/>
              <w:bottom w:type="dxa" w:w="80"/>
              <w:right w:type="dxa" w:w="100"/>
            </w:tcMar>
            <w:vAlign w:val="center"/>
          </w:tcPr>
          <w:p>
            <w:r>
              <w:rPr>
                <w:b w:val="false"/>
                <w:bCs w:val="false"/>
                <w:color w:val="000000"/>
                <w:sz w:val="20"/>
                <w:szCs w:val="20"/>
              </w:rPr>
              <w:t xml:space="preserve">Avaliação do risco aos titulares, condução da trilha de privacidade e preparação das comunicações à ANPD e aos titulares.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Controlador</w:t>
            </w:r>
          </w:p>
        </w:tc>
        <w:tc>
          <w:tcPr>
            <w:tcW w:type="dxa" w:w="6400"/>
            <w:tcMar>
              <w:top w:type="dxa" w:w="80"/>
              <w:left w:type="dxa" w:w="100"/>
              <w:bottom w:type="dxa" w:w="80"/>
              <w:right w:type="dxa" w:w="100"/>
            </w:tcMar>
            <w:vAlign w:val="center"/>
          </w:tcPr>
          <w:p>
            <w:r>
              <w:rPr>
                <w:b w:val="false"/>
                <w:bCs w:val="false"/>
                <w:color w:val="000000"/>
                <w:sz w:val="20"/>
                <w:szCs w:val="20"/>
              </w:rPr>
              <w:t xml:space="preserve">Titular da obrigação legal de comunicar incidentes à ANPD e aos titulares (LGPD, art. 48); pode delegar a execução, nunca a responsabilidade.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Operadores</w:t>
            </w:r>
          </w:p>
        </w:tc>
        <w:tc>
          <w:tcPr>
            <w:tcW w:type="dxa" w:w="6400"/>
            <w:tcMar>
              <w:top w:type="dxa" w:w="80"/>
              <w:left w:type="dxa" w:w="100"/>
              <w:bottom w:type="dxa" w:w="80"/>
              <w:right w:type="dxa" w:w="100"/>
            </w:tcMar>
            <w:vAlign w:val="center"/>
          </w:tcPr>
          <w:p>
            <w:r>
              <w:rPr>
                <w:b w:val="false"/>
                <w:bCs w:val="false"/>
                <w:color w:val="000000"/>
                <w:sz w:val="20"/>
                <w:szCs w:val="20"/>
              </w:rPr>
              <w:t xml:space="preserve">Obrigação de informar o controlador sem demora injustificada ao identificar incidente envolvendo dados pessoais tratados em seu nome.</w:t>
            </w:r>
          </w:p>
        </w:tc>
      </w:tr>
    </w:tbl>
    <w:p>
      <w:pPr>
        <w:spacing w:after="0" w:line="360" w:lineRule="auto"/>
        <w:ind w:firstLine="709"/>
        <w:jc w:val="both"/>
      </w:pPr>
      <w:r>
        <w:rPr>
          <w:sz w:val="24"/>
          <w:szCs w:val="24"/>
        </w:rPr>
        <w:t xml:space="preserve">A organização deve nomear, para cada papel, o(s) titular(es) e seus substitutos no Plano de Resposta a Incidentes, mantendo esta Política livre de dados pessoais ou nominais específicos. A tabela acima estabelece responsabilidades em termos gerais; a organização deve detalhá-las em uma matriz RACI (Responsável, Aprovador, Consultado, Informado) por atividade de resposta, revisada e validada em exercício tabletop.</w:t>
      </w:r>
    </w:p>
    <w:p>
      <w:pPr>
        <w:pStyle w:val="Heading1"/>
        <w:spacing w:after="240" w:before="480"/>
        <w:jc w:val="left"/>
      </w:pPr>
      <w:r>
        <w:t xml:space="preserve">6. AUTORIDADE DE RESPOSTA</w:t>
      </w:r>
    </w:p>
    <w:p>
      <w:pPr>
        <w:spacing w:after="0" w:line="360" w:lineRule="auto"/>
        <w:ind w:firstLine="709"/>
        <w:jc w:val="both"/>
      </w:pPr>
      <w:r>
        <w:rPr>
          <w:sz w:val="24"/>
          <w:szCs w:val="24"/>
        </w:rPr>
        <w:t xml:space="preserve">O Líder de Resposta a Incidentes, ou quem o substitua conforme definido no Plano, tem autoridade para:</w:t>
      </w:r>
    </w:p>
    <w:p>
      <w:pPr>
        <w:pStyle w:val="ListParagraph"/>
        <w:numPr>
          <w:ilvl w:val="0"/>
          <w:numId w:val="1"/>
        </w:numPr>
        <w:spacing w:after="0" w:line="360" w:lineRule="auto"/>
        <w:jc w:val="both"/>
      </w:pPr>
      <w:r>
        <w:rPr>
          <w:sz w:val="24"/>
          <w:szCs w:val="24"/>
        </w:rPr>
        <w:t xml:space="preserve">declarar formalmente a abertura de um incidente e sua classificação inicial;</w:t>
      </w:r>
    </w:p>
    <w:p>
      <w:pPr>
        <w:pStyle w:val="ListParagraph"/>
        <w:numPr>
          <w:ilvl w:val="0"/>
          <w:numId w:val="1"/>
        </w:numPr>
        <w:spacing w:after="0" w:line="360" w:lineRule="auto"/>
        <w:jc w:val="both"/>
      </w:pPr>
      <w:r>
        <w:rPr>
          <w:sz w:val="24"/>
          <w:szCs w:val="24"/>
        </w:rPr>
        <w:t xml:space="preserve">priorizar recursos internos para a resposta, inclusive realocando temporariamente pessoal técnico;</w:t>
      </w:r>
    </w:p>
    <w:p>
      <w:pPr>
        <w:pStyle w:val="ListParagraph"/>
        <w:numPr>
          <w:ilvl w:val="0"/>
          <w:numId w:val="1"/>
        </w:numPr>
        <w:spacing w:after="0" w:line="360" w:lineRule="auto"/>
        <w:jc w:val="both"/>
      </w:pPr>
      <w:r>
        <w:rPr>
          <w:sz w:val="24"/>
          <w:szCs w:val="24"/>
        </w:rPr>
        <w:t xml:space="preserve">determinar a contenção de acessos, contas, sessões, credenciais ou segmentos de rede;</w:t>
      </w:r>
    </w:p>
    <w:p>
      <w:pPr>
        <w:pStyle w:val="ListParagraph"/>
        <w:numPr>
          <w:ilvl w:val="0"/>
          <w:numId w:val="1"/>
        </w:numPr>
        <w:spacing w:after="0" w:line="360" w:lineRule="auto"/>
        <w:jc w:val="both"/>
      </w:pPr>
      <w:r>
        <w:rPr>
          <w:sz w:val="24"/>
          <w:szCs w:val="24"/>
        </w:rPr>
        <w:t xml:space="preserve">suspender temporariamente serviços ou funcionalidades, quando a continuidade representar risco desproporcional;</w:t>
      </w:r>
    </w:p>
    <w:p>
      <w:pPr>
        <w:pStyle w:val="ListParagraph"/>
        <w:numPr>
          <w:ilvl w:val="0"/>
          <w:numId w:val="1"/>
        </w:numPr>
        <w:spacing w:after="0" w:line="360" w:lineRule="auto"/>
        <w:jc w:val="both"/>
      </w:pPr>
      <w:r>
        <w:rPr>
          <w:sz w:val="24"/>
          <w:szCs w:val="24"/>
        </w:rPr>
        <w:t xml:space="preserve">autorizar o início da recuperação operacional, uma vez validada a contenção;</w:t>
      </w:r>
    </w:p>
    <w:p>
      <w:pPr>
        <w:pStyle w:val="ListParagraph"/>
        <w:numPr>
          <w:ilvl w:val="0"/>
          <w:numId w:val="1"/>
        </w:numPr>
        <w:spacing w:after="0" w:line="360" w:lineRule="auto"/>
        <w:jc w:val="both"/>
      </w:pPr>
      <w:r>
        <w:rPr>
          <w:sz w:val="24"/>
          <w:szCs w:val="24"/>
        </w:rPr>
        <w:t xml:space="preserve">declarar o encerramento da resposta ativa, sem prejuízo do acompanhamento residual (seção 14).</w:t>
      </w:r>
    </w:p>
    <w:p>
      <w:pPr>
        <w:spacing w:after="0" w:line="360" w:lineRule="auto"/>
        <w:ind w:firstLine="709"/>
        <w:jc w:val="both"/>
      </w:pPr>
      <w:r>
        <w:rPr>
          <w:sz w:val="24"/>
          <w:szCs w:val="24"/>
        </w:rPr>
        <w:t xml:space="preserve">Decisões que envolvam risco relevante à continuidade do negócio, exposição reputacional significativa ou compromisso de recursos extraordinários requerem ciência ou aprovação da Direção, conforme os limites definidos no Plano. O Plano detalha esta autoridade em uma matriz decisão a decisão (quem decide, quem substitui, qual evidência a decisão deve deixar, conforme o Plano, seção 2.5), que complementa, sem substituir, a matriz RACI da seção 5: RACI cobre participação e coordenação; a matriz de autoridade cobre o direito de decidir.</w:t>
      </w:r>
    </w:p>
    <w:p>
      <w:pPr>
        <w:pStyle w:val="Heading1"/>
        <w:spacing w:after="240" w:before="480"/>
        <w:jc w:val="left"/>
      </w:pPr>
      <w:r>
        <w:t xml:space="preserve">7. OBRIGAÇÃO INTERNA DE REPORTAR</w:t>
      </w:r>
    </w:p>
    <w:p>
      <w:pPr>
        <w:spacing w:after="0" w:line="360" w:lineRule="auto"/>
        <w:ind w:firstLine="709"/>
        <w:jc w:val="both"/>
      </w:pPr>
      <w:r>
        <w:rPr>
          <w:sz w:val="24"/>
          <w:szCs w:val="24"/>
        </w:rPr>
        <w:t xml:space="preserve">Todo colaborador, terceiro ou fornecedor com acesso a sistemas, serviços ou dados da organização tem o dever de reportar, sem demora injustificada, qualquer suspeita ou confirmação de incidente de segurança, por canal definido pela organização. A organização deve estabelecer, no Plano, os canais primários e alternativos de reporte e os substitutos para cada papel de recebimento, incluindo cobertura fora do horário comercial.</w:t>
      </w:r>
    </w:p>
    <w:p>
      <w:pPr>
        <w:pStyle w:val="Heading1"/>
        <w:spacing w:after="240" w:before="480"/>
        <w:jc w:val="left"/>
      </w:pPr>
      <w:r>
        <w:t xml:space="preserve">8. CRITÉRIOS GERAIS DE CLASSIFICAÇÃO E ESCALONAMENTO</w:t>
      </w:r>
    </w:p>
    <w:p>
      <w:pPr>
        <w:spacing w:after="0" w:line="360" w:lineRule="auto"/>
        <w:ind w:firstLine="709"/>
        <w:jc w:val="both"/>
      </w:pPr>
      <w:r>
        <w:rPr>
          <w:sz w:val="24"/>
          <w:szCs w:val="24"/>
        </w:rPr>
        <w:t xml:space="preserve">A classificação de severidade técnica (impacto em sistemas, serviços e dados) é distinta da avaliação de risco aos titulares (impacto a pessoas naturais) exigida pela LGPD e pela Resolução CD/ANPD nº 15/2024 (RCIS). Uma severidade técnica baixa não afasta, por si só, risco relevante aos titulares, e vice-versa. Os critérios operacionais de classificação e os limiares de escalonamento constam do Plano; a avaliação fundamentada do risco regulatório aos titulares é registrada no Instrumento 2, nunca decidida de forma automática a partir de uma pontuação isolada.</w:t>
      </w:r>
    </w:p>
    <w:p>
      <w:pPr>
        <w:pStyle w:val="Heading1"/>
        <w:spacing w:after="240" w:before="480"/>
        <w:jc w:val="left"/>
      </w:pPr>
      <w:r>
        <w:t xml:space="preserve">9. DIRETRIZES DE COLETA E PROTEÇÃO DE EVIDÊNCIAS</w:t>
      </w:r>
    </w:p>
    <w:p>
      <w:pPr>
        <w:pStyle w:val="ListParagraph"/>
        <w:numPr>
          <w:ilvl w:val="0"/>
          <w:numId w:val="1"/>
        </w:numPr>
        <w:spacing w:after="0" w:line="360" w:lineRule="auto"/>
        <w:jc w:val="both"/>
      </w:pPr>
      <w:r>
        <w:rPr>
          <w:sz w:val="24"/>
          <w:szCs w:val="24"/>
        </w:rPr>
        <w:t xml:space="preserve">A coleta de evidências deve priorizar métodos que preservem integridade e cadeia de custódia, documentando ferramenta, responsável, data/hora e limitações.</w:t>
      </w:r>
    </w:p>
    <w:p>
      <w:pPr>
        <w:pStyle w:val="ListParagraph"/>
        <w:numPr>
          <w:ilvl w:val="0"/>
          <w:numId w:val="1"/>
        </w:numPr>
        <w:spacing w:after="0" w:line="360" w:lineRule="auto"/>
        <w:jc w:val="both"/>
      </w:pPr>
      <w:r>
        <w:rPr>
          <w:sz w:val="24"/>
          <w:szCs w:val="24"/>
        </w:rPr>
        <w:t xml:space="preserve">O acesso a evidências é restrito a quem tenha necessidade de conhecimento para a resposta ou para eventual processo regulatório, contratual ou judicial.</w:t>
      </w:r>
    </w:p>
    <w:p>
      <w:pPr>
        <w:pStyle w:val="ListParagraph"/>
        <w:numPr>
          <w:ilvl w:val="0"/>
          <w:numId w:val="1"/>
        </w:numPr>
        <w:spacing w:after="0" w:line="360" w:lineRule="auto"/>
        <w:jc w:val="both"/>
      </w:pPr>
      <w:r>
        <w:rPr>
          <w:sz w:val="24"/>
          <w:szCs w:val="24"/>
        </w:rPr>
        <w:t xml:space="preserve">Evidências relacionadas a incidentes envolvendo dados pessoais seguem também as regras de retenção da seção 13 e as restrições de acesso aplicáveis a dados pessoais.</w:t>
      </w:r>
    </w:p>
    <w:p>
      <w:pPr>
        <w:pStyle w:val="ListParagraph"/>
        <w:numPr>
          <w:ilvl w:val="0"/>
          <w:numId w:val="1"/>
        </w:numPr>
        <w:spacing w:after="0" w:line="360" w:lineRule="auto"/>
        <w:jc w:val="both"/>
      </w:pPr>
      <w:r>
        <w:rPr>
          <w:sz w:val="24"/>
          <w:szCs w:val="24"/>
        </w:rPr>
        <w:t xml:space="preserve">Qualquer limitação ou lacuna na coleta deve ser registrada como tal, nunca omitida.</w:t>
      </w:r>
    </w:p>
    <w:p>
      <w:pPr>
        <w:pStyle w:val="Heading1"/>
        <w:spacing w:after="240" w:before="480"/>
        <w:jc w:val="left"/>
      </w:pPr>
      <w:r>
        <w:t xml:space="preserve">10. DIRETRIZES DE COMUNICAÇÃO</w:t>
      </w:r>
    </w:p>
    <w:p>
      <w:pPr>
        <w:spacing w:after="0" w:line="360" w:lineRule="auto"/>
        <w:ind w:firstLine="709"/>
        <w:jc w:val="both"/>
      </w:pPr>
      <w:r>
        <w:rPr>
          <w:sz w:val="24"/>
          <w:szCs w:val="24"/>
        </w:rPr>
        <w:t xml:space="preserve">A comunicação em resposta a um incidente tem quatro destinatários possíveis, com requisitos distintos:</w:t>
      </w:r>
    </w:p>
    <w:p>
      <w:pPr>
        <w:pStyle w:val="ListParagraph"/>
        <w:numPr>
          <w:ilvl w:val="0"/>
          <w:numId w:val="1"/>
        </w:numPr>
        <w:spacing w:after="0" w:line="360" w:lineRule="auto"/>
        <w:jc w:val="both"/>
      </w:pPr>
      <w:r>
        <w:rPr>
          <w:sz w:val="24"/>
          <w:szCs w:val="24"/>
        </w:rPr>
        <w:t xml:space="preserve">Interna: entre os papéis envolvidos na resposta e a Direção, conforme a seção 6 e o Plano.</w:t>
      </w:r>
    </w:p>
    <w:p>
      <w:pPr>
        <w:pStyle w:val="ListParagraph"/>
        <w:numPr>
          <w:ilvl w:val="0"/>
          <w:numId w:val="1"/>
        </w:numPr>
        <w:spacing w:after="0" w:line="360" w:lineRule="auto"/>
        <w:jc w:val="both"/>
      </w:pPr>
      <w:r>
        <w:rPr>
          <w:sz w:val="24"/>
          <w:szCs w:val="24"/>
        </w:rPr>
        <w:t xml:space="preserve">Contratual: a clientes, parceiros ou fornecedores com quem haja obrigação contratual de notificação.</w:t>
      </w:r>
    </w:p>
    <w:p>
      <w:pPr>
        <w:pStyle w:val="ListParagraph"/>
        <w:numPr>
          <w:ilvl w:val="0"/>
          <w:numId w:val="1"/>
        </w:numPr>
        <w:spacing w:after="0" w:line="360" w:lineRule="auto"/>
        <w:jc w:val="both"/>
      </w:pPr>
      <w:r>
        <w:rPr>
          <w:sz w:val="24"/>
          <w:szCs w:val="24"/>
        </w:rPr>
        <w:t xml:space="preserve">Regulatória: à ANPD e a outros reguladores setoriais aplicáveis, conforme a governança da decisão regulatória (seção 11).</w:t>
      </w:r>
    </w:p>
    <w:p>
      <w:pPr>
        <w:pStyle w:val="ListParagraph"/>
        <w:numPr>
          <w:ilvl w:val="0"/>
          <w:numId w:val="1"/>
        </w:numPr>
        <w:spacing w:after="0" w:line="360" w:lineRule="auto"/>
        <w:jc w:val="both"/>
      </w:pPr>
      <w:r>
        <w:rPr>
          <w:sz w:val="24"/>
          <w:szCs w:val="24"/>
        </w:rPr>
        <w:t xml:space="preserve">Aos titulares: quando exigida pela avaliação de risco (LGPD, art. 48), preparada e executada conforme o Instrumento 5 e o Plano.</w:t>
      </w:r>
    </w:p>
    <w:p>
      <w:pPr>
        <w:spacing w:after="0" w:line="360" w:lineRule="auto"/>
        <w:ind w:firstLine="709"/>
        <w:jc w:val="both"/>
      </w:pPr>
      <w:r>
        <w:rPr>
          <w:sz w:val="24"/>
          <w:szCs w:val="24"/>
        </w:rPr>
        <w:t xml:space="preserve">Em nenhum caso a comunicação a um destinatário substitui ou presume a comunicação aos demais.</w:t>
      </w:r>
    </w:p>
    <w:p>
      <w:pPr>
        <w:pStyle w:val="Heading1"/>
        <w:spacing w:after="240" w:before="480"/>
        <w:jc w:val="left"/>
      </w:pPr>
      <w:r>
        <w:t xml:space="preserve">11. GOVERNANÇA DA DECISÃO REGULATÓRIA</w:t>
      </w:r>
    </w:p>
    <w:p>
      <w:pPr>
        <w:spacing w:after="0" w:line="360" w:lineRule="auto"/>
        <w:ind w:firstLine="709"/>
        <w:jc w:val="both"/>
      </w:pPr>
      <w:r>
        <w:rPr>
          <w:sz w:val="24"/>
          <w:szCs w:val="24"/>
        </w:rPr>
        <w:t xml:space="preserve">A decisão sobre a necessidade de comunicar um incidente à ANPD e aos titulares é tomada por avaliação fundamentada, registrada e versionada, nunca de forma automática a partir de uma pontuação ou matriz de severidade isolada. A avaliação deve considerar os critérios do art. 5º da Resolução CD/ANPD nº 15/2024 (RCIS) e ser revisada sempre que novas evidências relevantes surgirem. Os papéis de elaboração, revisão e aprovação dessa avaliação, bem como o instrumento de registro, constam da seção 5 e do Instrumento 2.</w:t>
      </w:r>
    </w:p>
    <w:p>
      <w:pPr>
        <w:pStyle w:val="Heading1"/>
        <w:spacing w:after="240" w:before="480"/>
        <w:jc w:val="left"/>
      </w:pPr>
      <w:r>
        <w:t xml:space="preserve">12. GESTÃO DE FORNECEDORES E COMUNICAÇÃO OPERADOR-CONTROLADOR</w:t>
      </w:r>
    </w:p>
    <w:p>
      <w:pPr>
        <w:pStyle w:val="ListParagraph"/>
        <w:numPr>
          <w:ilvl w:val="0"/>
          <w:numId w:val="1"/>
        </w:numPr>
        <w:spacing w:after="0" w:line="360" w:lineRule="auto"/>
        <w:jc w:val="both"/>
      </w:pPr>
      <w:r>
        <w:rPr>
          <w:sz w:val="24"/>
          <w:szCs w:val="24"/>
        </w:rPr>
        <w:t xml:space="preserve">Contratos com fornecedores que operem dados pessoais em nome da organização devem prever obrigação de notificação ao controlador, sem demora injustificada, ao identificar incidente de segurança.</w:t>
      </w:r>
    </w:p>
    <w:p>
      <w:pPr>
        <w:pStyle w:val="ListParagraph"/>
        <w:numPr>
          <w:ilvl w:val="0"/>
          <w:numId w:val="1"/>
        </w:numPr>
        <w:spacing w:after="0" w:line="360" w:lineRule="auto"/>
        <w:jc w:val="both"/>
      </w:pPr>
      <w:r>
        <w:rPr>
          <w:sz w:val="24"/>
          <w:szCs w:val="24"/>
        </w:rPr>
        <w:t xml:space="preserve">A organização, quando atuar como operadora, deve notificar o controlador correspondente sem demora injustificada, fornecendo as informações necessárias à avaliação de risco deste.</w:t>
      </w:r>
    </w:p>
    <w:p>
      <w:pPr>
        <w:pStyle w:val="ListParagraph"/>
        <w:numPr>
          <w:ilvl w:val="0"/>
          <w:numId w:val="1"/>
        </w:numPr>
        <w:spacing w:after="0" w:line="360" w:lineRule="auto"/>
        <w:jc w:val="both"/>
      </w:pPr>
      <w:r>
        <w:rPr>
          <w:sz w:val="24"/>
          <w:szCs w:val="24"/>
        </w:rPr>
        <w:t xml:space="preserve">O Jurídico, em conjunto com a área responsável pela gestão de fornecedores, deve manter inventário atualizado de fornecedores com acesso a dados pessoais e dos canais de notificação de incidente de cada um.</w:t>
      </w:r>
    </w:p>
    <w:p>
      <w:pPr>
        <w:pStyle w:val="Heading1"/>
        <w:spacing w:after="240" w:before="480"/>
        <w:jc w:val="left"/>
      </w:pPr>
      <w:r>
        <w:t xml:space="preserve">13. REGISTRO E RETENÇÃO</w:t>
      </w:r>
    </w:p>
    <w:p>
      <w:pPr>
        <w:spacing w:after="0" w:line="360" w:lineRule="auto"/>
        <w:ind w:firstLine="709"/>
        <w:jc w:val="both"/>
      </w:pPr>
      <w:r>
        <w:rPr>
          <w:sz w:val="24"/>
          <w:szCs w:val="24"/>
        </w:rPr>
        <w:t xml:space="preserve">Todo incidente, suas decisões, evidências e comunicações devem ser registrados nos instrumentos operacionais definidos. O prazo mínimo de retenção observa a legislação aplicável (por exemplo, o art. 10 da Resolução CD/ANPD nº 15/2024 exige retenção mínima de 5 anos para os registros de incidentes de segurança envolvendo dados pessoais), sem prejuízo de obrigações adicionais decorrentes de contrato, processo judicial ou regulatório em curso.</w:t>
      </w:r>
    </w:p>
    <w:p>
      <w:pPr>
        <w:spacing w:after="0" w:line="360" w:lineRule="auto"/>
        <w:ind w:firstLine="709"/>
        <w:jc w:val="both"/>
      </w:pPr>
      <w:r>
        <w:rPr>
          <w:b/>
          <w:bCs/>
          <w:sz w:val="24"/>
          <w:szCs w:val="24"/>
        </w:rPr>
        <w:t xml:space="preserve">Prazos de retenção adicionais definidos pela organização para outras categorias de registro: </w:t>
      </w:r>
      <w:r>
        <w:rPr>
          <w:i/>
          <w:iCs/>
          <w:color w:val="595959"/>
          <w:sz w:val="24"/>
          <w:szCs w:val="24"/>
        </w:rPr>
        <w:t xml:space="preserve">[preencher, se aplicável]</w:t>
      </w:r>
    </w:p>
    <w:p>
      <w:pPr>
        <w:pStyle w:val="Heading1"/>
        <w:spacing w:after="240" w:before="480"/>
        <w:jc w:val="left"/>
      </w:pPr>
      <w:r>
        <w:t xml:space="preserve">14. CRITÉRIOS GERAIS DE ENCERRAMENTO, ACOMPANHAMENTO RESIDUAL E REABERTURA</w:t>
      </w:r>
    </w:p>
    <w:p>
      <w:pPr>
        <w:spacing w:after="0" w:line="360" w:lineRule="auto"/>
        <w:ind w:firstLine="709"/>
        <w:jc w:val="both"/>
      </w:pPr>
      <w:r>
        <w:rPr>
          <w:sz w:val="24"/>
          <w:szCs w:val="24"/>
        </w:rPr>
        <w:t xml:space="preserve">O encerramento da resposta ativa é uma decisão explícita e atribuível (seção 6), distinta da conclusão das comunicações regulatórias e aos titulares e do encerramento do acompanhamento regulatório, que podem se estender após o encerramento técnico. Riscos residuais aceitos e pendências devem ser registrados com responsável e prazo. Um incidente encerrado pode ser reaberto quando surgirem evidências de persistência, reincidência ou escopo não identificado anteriormente. Os critérios operacionais detalhados de aceite para encerramento constam do Plano.</w:t>
      </w:r>
    </w:p>
    <w:p>
      <w:pPr>
        <w:pStyle w:val="Heading1"/>
        <w:spacing w:after="240" w:before="480"/>
        <w:jc w:val="left"/>
      </w:pPr>
      <w:r>
        <w:t xml:space="preserve">15. TREINAMENTO, EXERCÍCIOS, REVISÃO E MELHORIA CONTÍNUA</w:t>
      </w:r>
    </w:p>
    <w:p>
      <w:pPr>
        <w:pStyle w:val="ListParagraph"/>
        <w:numPr>
          <w:ilvl w:val="0"/>
          <w:numId w:val="1"/>
        </w:numPr>
        <w:spacing w:after="0" w:line="360" w:lineRule="auto"/>
        <w:jc w:val="both"/>
      </w:pPr>
      <w:r>
        <w:rPr>
          <w:sz w:val="24"/>
          <w:szCs w:val="24"/>
        </w:rPr>
        <w:t xml:space="preserve">A organização deve promover treinamento periódico dos papéis definidos na seção 5 sobre esta Política e o Plano correspondente.</w:t>
      </w:r>
    </w:p>
    <w:p>
      <w:pPr>
        <w:pStyle w:val="ListParagraph"/>
        <w:numPr>
          <w:ilvl w:val="0"/>
          <w:numId w:val="1"/>
        </w:numPr>
        <w:spacing w:after="0" w:line="360" w:lineRule="auto"/>
        <w:jc w:val="both"/>
      </w:pPr>
      <w:r>
        <w:rPr>
          <w:sz w:val="24"/>
          <w:szCs w:val="24"/>
        </w:rPr>
        <w:t xml:space="preserve">Exercícios simulados (tabletop ou técnicos) devem ser realizados com periodicidade definida pela organização, utilizando cenários realistas e registrando resultados e lições aprendidas.</w:t>
      </w:r>
    </w:p>
    <w:p>
      <w:pPr>
        <w:pStyle w:val="ListParagraph"/>
        <w:numPr>
          <w:ilvl w:val="0"/>
          <w:numId w:val="1"/>
        </w:numPr>
        <w:spacing w:after="0" w:line="360" w:lineRule="auto"/>
        <w:jc w:val="both"/>
      </w:pPr>
      <w:r>
        <w:rPr>
          <w:sz w:val="24"/>
          <w:szCs w:val="24"/>
        </w:rPr>
        <w:t xml:space="preserve">Todo incidente encerrado deve gerar um debrief com ações corretivas, responsáveis e prazos, cujo cumprimento é acompanhado até a conclusão.</w:t>
      </w:r>
    </w:p>
    <w:p>
      <w:pPr>
        <w:pStyle w:val="ListParagraph"/>
        <w:numPr>
          <w:ilvl w:val="0"/>
          <w:numId w:val="1"/>
        </w:numPr>
        <w:spacing w:after="0" w:line="360" w:lineRule="auto"/>
        <w:jc w:val="both"/>
      </w:pPr>
      <w:r>
        <w:rPr>
          <w:sz w:val="24"/>
          <w:szCs w:val="24"/>
        </w:rPr>
        <w:t xml:space="preserve">Esta Política e o Plano devem ser revisados com a periodicidade definida na seção 0, ou antes disso, sempre que houver mudança relevante na legislação aplicável, na estrutura organizacional ou após lições aprendidas de incidentes reais ou exercícios.</w:t>
      </w:r>
    </w:p>
    <w:p>
      <w:pPr>
        <w:pStyle w:val="Heading1"/>
        <w:spacing w:after="240" w:before="480"/>
        <w:jc w:val="left"/>
      </w:pPr>
      <w:r>
        <w:t xml:space="preserve">16. GESTÃO DE EXCEÇÕES E NÃO CONFORMIDADE</w:t>
      </w:r>
    </w:p>
    <w:p>
      <w:pPr>
        <w:spacing w:after="0" w:line="360" w:lineRule="auto"/>
        <w:ind w:firstLine="709"/>
        <w:jc w:val="both"/>
      </w:pPr>
      <w:r>
        <w:rPr>
          <w:sz w:val="24"/>
          <w:szCs w:val="24"/>
        </w:rPr>
        <w:t xml:space="preserve">Qualquer exceção ao disposto nesta Política deve ser solicitada, justificada e aprovada pela autoridade competente definida pela organização, com registro da exceção, do prazo de vigência e do responsável. O tratamento de não conformidades com esta Política segue as normas internas de conduta, disciplinares e de compliance já vigentes na organização; esta Política não cria nem prevê sanções próprias.</w:t>
      </w:r>
    </w:p>
    <w:p>
      <w:pPr>
        <w:spacing w:after="0" w:line="360" w:lineRule="auto"/>
        <w:ind w:firstLine="709"/>
        <w:jc w:val="both"/>
      </w:pPr>
      <w:r>
        <w:rPr>
          <w:b/>
          <w:bCs/>
          <w:sz w:val="24"/>
          <w:szCs w:val="24"/>
        </w:rPr>
        <w:t xml:space="preserve">Referência à norma interna de conduta/disciplinar aplicável: </w:t>
      </w:r>
      <w:r>
        <w:rPr>
          <w:i/>
          <w:iCs/>
          <w:color w:val="595959"/>
          <w:sz w:val="24"/>
          <w:szCs w:val="24"/>
        </w:rPr>
        <w:t xml:space="preserve">[preencher, se houver]</w:t>
      </w:r>
    </w:p>
    <w:p>
      <w:pPr>
        <w:pStyle w:val="Heading1"/>
        <w:spacing w:after="240" w:before="480"/>
        <w:jc w:val="left"/>
      </w:pPr>
      <w:r>
        <w:t xml:space="preserve">17. DOCUMENTOS RELACIONADOS, APROVAÇÃO E CONTROLE DE VERSÃO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Documento</w:t>
            </w:r>
          </w:p>
        </w:tc>
        <w:tc>
          <w:tcPr>
            <w:tcW w:type="dxa" w:w="5800"/>
            <w:shd w:fill="1F3864" w:val="clear"/>
            <w:tcMar>
              <w:top w:type="dxa" w:w="80"/>
              <w:left w:type="dxa" w:w="100"/>
              <w:bottom w:type="dxa" w:w="80"/>
              <w:right w:type="dxa" w:w="100"/>
            </w:tcMar>
            <w:vAlign w:val="center"/>
          </w:tcPr>
          <w:p>
            <w:r>
              <w:rPr>
                <w:b/>
                <w:bCs/>
                <w:color w:val="FFFFFF"/>
                <w:sz w:val="20"/>
                <w:szCs w:val="20"/>
              </w:rPr>
              <w:t xml:space="preserve">Relação com esta Política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Plano de Resposta a Incidentes</w:t>
            </w:r>
          </w:p>
        </w:tc>
        <w:tc>
          <w:tcPr>
            <w:tcW w:type="dxa" w:w="5800"/>
            <w:tcMar>
              <w:top w:type="dxa" w:w="80"/>
              <w:left w:type="dxa" w:w="100"/>
              <w:bottom w:type="dxa" w:w="80"/>
              <w:right w:type="dxa" w:w="100"/>
            </w:tcMar>
            <w:vAlign w:val="center"/>
          </w:tcPr>
          <w:p>
            <w:r>
              <w:rPr>
                <w:b w:val="false"/>
                <w:bCs w:val="false"/>
                <w:color w:val="000000"/>
                <w:sz w:val="20"/>
                <w:szCs w:val="20"/>
              </w:rPr>
              <w:t xml:space="preserve">Operacionaliza a mobilização e a coordenação da resposta com base nesta Política.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Playbook DAIR</w:t>
            </w:r>
          </w:p>
        </w:tc>
        <w:tc>
          <w:tcPr>
            <w:tcW w:type="dxa" w:w="5800"/>
            <w:tcMar>
              <w:top w:type="dxa" w:w="80"/>
              <w:left w:type="dxa" w:w="100"/>
              <w:bottom w:type="dxa" w:w="80"/>
              <w:right w:type="dxa" w:w="100"/>
            </w:tcMar>
            <w:vAlign w:val="center"/>
          </w:tcPr>
          <w:p>
            <w:r>
              <w:rPr>
                <w:b w:val="false"/>
                <w:bCs w:val="false"/>
                <w:color w:val="000000"/>
                <w:sz w:val="20"/>
                <w:szCs w:val="20"/>
              </w:rPr>
              <w:t xml:space="preserve">Detalha os procedimentos técnicos de execução da resposta.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Instrumentos 1 a 5</w:t>
            </w:r>
          </w:p>
        </w:tc>
        <w:tc>
          <w:tcPr>
            <w:tcW w:type="dxa" w:w="5800"/>
            <w:tcMar>
              <w:top w:type="dxa" w:w="80"/>
              <w:left w:type="dxa" w:w="100"/>
              <w:bottom w:type="dxa" w:w="80"/>
              <w:right w:type="dxa" w:w="100"/>
            </w:tcMar>
            <w:vAlign w:val="center"/>
          </w:tcPr>
          <w:p>
            <w:r>
              <w:rPr>
                <w:b w:val="false"/>
                <w:bCs w:val="false"/>
                <w:color w:val="000000"/>
                <w:sz w:val="20"/>
                <w:szCs w:val="20"/>
              </w:rPr>
              <w:t xml:space="preserve">Registram, avaliam e controlam a execução, conforme a tabela de integração do README.</w:t>
            </w:r>
          </w:p>
        </w:tc>
      </w:tr>
    </w:tbl>
    <w:p>
      <w:pPr>
        <w:pStyle w:val="Heading2"/>
        <w:spacing w:after="160" w:before="360"/>
        <w:jc w:val="left"/>
      </w:pPr>
      <w:r>
        <w:t xml:space="preserve">Histórico de versões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800"/>
        <w:gridCol w:w="3800"/>
        <w:gridCol w:w="20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Versão</w:t>
            </w:r>
          </w:p>
        </w:tc>
        <w:tc>
          <w:tcPr>
            <w:tcW w:type="dxa" w:w="1800"/>
            <w:shd w:fill="1F3864" w:val="clear"/>
            <w:tcMar>
              <w:top w:type="dxa" w:w="80"/>
              <w:left w:type="dxa" w:w="100"/>
              <w:bottom w:type="dxa" w:w="80"/>
              <w:right w:type="dxa" w:w="100"/>
            </w:tcMar>
            <w:vAlign w:val="center"/>
          </w:tcPr>
          <w:p>
            <w:r>
              <w:rPr>
                <w:b/>
                <w:bCs/>
                <w:color w:val="FFFFFF"/>
                <w:sz w:val="20"/>
                <w:szCs w:val="20"/>
              </w:rPr>
              <w:t xml:space="preserve">Data</w:t>
            </w:r>
          </w:p>
        </w:tc>
        <w:tc>
          <w:tcPr>
            <w:tcW w:type="dxa" w:w="3800"/>
            <w:shd w:fill="1F3864" w:val="clear"/>
            <w:tcMar>
              <w:top w:type="dxa" w:w="80"/>
              <w:left w:type="dxa" w:w="100"/>
              <w:bottom w:type="dxa" w:w="80"/>
              <w:right w:type="dxa" w:w="100"/>
            </w:tcMar>
            <w:vAlign w:val="center"/>
          </w:tcPr>
          <w:p>
            <w:r>
              <w:rPr>
                <w:b/>
                <w:bCs/>
                <w:color w:val="FFFFFF"/>
                <w:sz w:val="20"/>
                <w:szCs w:val="20"/>
              </w:rPr>
              <w:t xml:space="preserve">Alteração</w:t>
            </w:r>
          </w:p>
        </w:tc>
        <w:tc>
          <w:tcPr>
            <w:tcW w:type="dxa" w:w="2000"/>
            <w:shd w:fill="1F3864" w:val="clear"/>
            <w:tcMar>
              <w:top w:type="dxa" w:w="80"/>
              <w:left w:type="dxa" w:w="100"/>
              <w:bottom w:type="dxa" w:w="80"/>
              <w:right w:type="dxa" w:w="100"/>
            </w:tcMar>
            <w:vAlign w:val="center"/>
          </w:tcPr>
          <w:p>
            <w:r>
              <w:rPr>
                <w:b/>
                <w:bCs/>
                <w:color w:val="FFFFFF"/>
                <w:sz w:val="20"/>
                <w:szCs w:val="20"/>
              </w:rPr>
              <w:t xml:space="preserve">Aprovador</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[preencher]</w:t>
            </w:r>
          </w:p>
        </w:tc>
        <w:tc>
          <w:tcPr>
            <w:tcW w:type="dxa" w:w="1800"/>
            <w:tcMar>
              <w:top w:type="dxa" w:w="80"/>
              <w:left w:type="dxa" w:w="100"/>
              <w:bottom w:type="dxa" w:w="80"/>
              <w:right w:type="dxa" w:w="100"/>
            </w:tcMar>
            <w:vAlign w:val="center"/>
          </w:tcPr>
          <w:p>
            <w:r>
              <w:rPr>
                <w:b w:val="false"/>
                <w:bCs w:val="false"/>
                <w:color w:val="000000"/>
                <w:sz w:val="20"/>
                <w:szCs w:val="20"/>
              </w:rPr>
              <w:t xml:space="preserve">[preencher]</w:t>
            </w:r>
          </w:p>
        </w:tc>
        <w:tc>
          <w:tcPr>
            <w:tcW w:type="dxa" w:w="3800"/>
            <w:tcMar>
              <w:top w:type="dxa" w:w="80"/>
              <w:left w:type="dxa" w:w="100"/>
              <w:bottom w:type="dxa" w:w="80"/>
              <w:right w:type="dxa" w:w="100"/>
            </w:tcMar>
            <w:vAlign w:val="center"/>
          </w:tcPr>
          <w:p>
            <w:r>
              <w:rPr>
                <w:b w:val="false"/>
                <w:bCs w:val="false"/>
                <w:color w:val="000000"/>
                <w:sz w:val="20"/>
                <w:szCs w:val="20"/>
              </w:rPr>
              <w:t xml:space="preserve">[preencher: ex.: versão inicial]</w:t>
            </w:r>
          </w:p>
        </w:tc>
        <w:tc>
          <w:tcPr>
            <w:tcW w:type="dxa" w:w="2000"/>
            <w:tcMar>
              <w:top w:type="dxa" w:w="80"/>
              <w:left w:type="dxa" w:w="100"/>
              <w:bottom w:type="dxa" w:w="80"/>
              <w:right w:type="dxa" w:w="100"/>
            </w:tcMar>
            <w:vAlign w:val="center"/>
          </w:tcPr>
          <w:p>
            <w:r>
              <w:rPr>
                <w:b w:val="false"/>
                <w:bCs w:val="false"/>
                <w:color w:val="000000"/>
                <w:sz w:val="20"/>
                <w:szCs w:val="20"/>
              </w:rPr>
              <w:t xml:space="preserve">[preencher]</w:t>
            </w:r>
          </w:p>
        </w:tc>
      </w:tr>
    </w:tbl>
    <w:p>
      <w:pPr>
        <w:spacing w:before="400"/>
      </w:pPr>
      <w:r>
        <w:rPr>
          <w:i/>
          <w:iCs/>
          <w:color w:val="595959"/>
          <w:sz w:val="18"/>
          <w:szCs w:val="18"/>
        </w:rPr>
        <w:t xml:space="preserve">Este é um modelo institucional reutilizável, de caráter educacional. Não contém dados de nenhuma organização específica e não produz efeitos até ser adaptado aos campos de configuração da seção 0 e formalmente aprovado pela autoridade competente da organização adotante. Licenciado sob CC BY 4.0 por Felipe Nicácio.</w:t>
      </w:r>
    </w:p>
    <w:sectPr>
      <w:headerReference w:type="default" r:id="rId6"/>
      <w:headerReference w:type="first" r:id="rId7"/>
      <w:pgSz w:w="11906" w:h="16838" w:orient="portrait"/>
      <w:pgMar w:top="1701"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DAIR Privacy Incident Response Playbook: Política de Resposta a Incidentes v0.3</w:t>
    </w:r>
  </w:p>
  <w:p>
    <w:pPr>
      <w:jc w:val="right"/>
    </w:pPr>
    <w:r>
      <w:rPr>
        <w:color w:val="595959"/>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160" w:before="360" w:line="240" w:lineRule="auto"/>
      <w:jc w:val="left"/>
    </w:pPr>
    <w:rPr>
      <w:rFonts w:ascii="Arial" w:cs="Arial" w:eastAsia="Arial" w:hAnsi="Arial"/>
      <w:b/>
      <w:bCs/>
      <w:color w:val="1F3864"/>
      <w:sz w:val="28"/>
      <w:szCs w:val="28"/>
    </w:rPr>
  </w:style>
  <w:style w:type="paragraph" w:styleId="Heading2">
    <w:name w:val="Heading 2"/>
    <w:basedOn w:val="Normal"/>
    <w:next w:val="Normal"/>
    <w:pPr>
      <w:spacing w:after="120" w:before="240" w:line="240" w:lineRule="auto"/>
      <w:jc w:val="left"/>
    </w:pPr>
    <w:rPr>
      <w:rFonts w:ascii="Arial" w:cs="Arial" w:eastAsia="Arial" w:hAnsi="Arial"/>
      <w:b/>
      <w:bCs/>
      <w:color w:val="2E539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2026-10-21T00:37:10.524Z</dcterms:created>
  <dcterms:modified xsi:type="dcterms:W3CDTF">2026-10-21T00:37:10.524Z</dcterms:modified>
</cp:coreProperties>
</file>

<file path=docProps/custom.xml><?xml version="1.0" encoding="utf-8"?>
<Properties xmlns="http://schemas.openxmlformats.org/officeDocument/2006/custom-properties" xmlns:vt="http://schemas.openxmlformats.org/officeDocument/2006/docPropsVTypes"/>
</file>