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  <w:jc w:val="center"/>
      </w:pPr>
      <w:r>
        <w:rPr>
          <w:b/>
          <w:bCs/>
          <w:color w:val="1F3864"/>
          <w:sz w:val="40"/>
          <w:szCs w:val="40"/>
        </w:rPr>
        <w:t xml:space="preserve">POLÍTICA DE RESPOSTA A INCIDENTES</w:t>
      </w:r>
    </w:p>
    <w:p>
      <w:pPr>
        <w:spacing w:after="300" w:before="200"/>
        <w:jc w:val="center"/>
      </w:pPr>
      <w:r>
        <w:rPr>
          <w:color w:val="2E5395"/>
          <w:sz w:val="26"/>
          <w:szCs w:val="26"/>
        </w:rPr>
        <w:t xml:space="preserve">Diretrizes, responsabilidades e autoridade institucionais</w:t>
      </w:r>
    </w:p>
    <w:p>
      <w:pPr>
        <w:spacing w:after="400"/>
        <w:jc w:val="center"/>
      </w:pPr>
      <w:r>
        <w:rPr>
          <w:i/>
          <w:iCs/>
          <w:color w:val="595959"/>
          <w:sz w:val="22"/>
          <w:szCs w:val="22"/>
        </w:rPr>
        <w:t xml:space="preserve">Modelo institucional reutilizável — Versão 0.3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CE4E4" w:val="clear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rPr>
                <w:b/>
                <w:bCs/>
                <w:color w:val="9C0006"/>
                <w:sz w:val="20"/>
                <w:szCs w:val="20"/>
              </w:rPr>
              <w:t xml:space="preserve">Este documento não contém dados de nenhuma organização específica e não constitui aprovação. Os campos de configuração da seção 0 devem ser preenchidos e o documento deve ser submetido à aprovação formal da organização antes de qualquer adoção. Esta Política define diretrizes, papéis e autoridade; a mobilização e a execução da resposta estão no Plano de Resposta a Incidentes; os procedimentos técnicos detalhados estão no Playbook DAIR; os registros, avaliações e comunicações têm instrumentos próprios.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t xml:space="preserve">0. Dados de controle do documento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Organização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razão social ou nome da organização adotante]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Proprietário do documento (owner)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cargo ou área responsável pela manutenção, ex.: Diretoria de Segurança da Informação]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Aprovador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cargo com autoridade para aprovar, ex.: Diretoria Executiva / Comitê de Segurança]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Versão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ex.: 1.0]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Data de aprovação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 após aprovação formal — não inferir nem simular]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Vigência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ex.: 24 meses a partir da aprovação, ou “até nova revisão”]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Próxima revisão programada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Documentos relacionados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Incidentes; Playbook DAIR; Instrumentos 1–5</w:t>
            </w:r>
          </w:p>
        </w:tc>
      </w:tr>
    </w:tbl>
    <w:p>
      <w:pPr>
        <w:spacing w:after="160"/>
      </w:pPr>
      <w:r>
        <w:rPr>
          <w:sz w:val="20"/>
          <w:szCs w:val="20"/>
        </w:rPr>
        <w:t xml:space="preserve">Esta Política não é autoaplicável: só produz efeitos internos após adaptação aos campos acima e aprovação pela autoridade competente da organização, registrada nesta tabela.</w:t>
      </w:r>
    </w:p>
    <w:p>
      <w:pPr>
        <w:pStyle w:val="Heading1"/>
        <w:spacing w:after="160" w:before="360"/>
      </w:pPr>
      <w:r>
        <w:t xml:space="preserve">1. Objetivo e escopo</w:t>
      </w:r>
    </w:p>
    <w:p>
      <w:pPr>
        <w:spacing w:after="160"/>
      </w:pPr>
      <w:r>
        <w:rPr>
          <w:sz w:val="20"/>
          <w:szCs w:val="20"/>
        </w:rPr>
        <w:t xml:space="preserve">Esta Política estabelece as diretrizes, responsabilidades e autoridade para prevenir, detectar, responder e encerrar incidentes de segurança da informação, incluindo incidentes de segurança envolvendo dados pessoais (LGPD, art. 46 e seguintes), de forma proporcional, tempestiva e auditável.</w:t>
      </w:r>
    </w:p>
    <w:p>
      <w:pPr>
        <w:spacing w:after="160"/>
      </w:pPr>
      <w:r>
        <w:rPr>
          <w:sz w:val="20"/>
          <w:szCs w:val="20"/>
        </w:rPr>
        <w:t xml:space="preserve">Aplica-se a: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empregados, estagiários e demais colaboradores da organização;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terceiros, prestadores de serviço e fornecedores que tratem informações ou dados pessoais em nome da organização, ou que operem sistemas e serviços a ela conectados;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sistemas, serviços, redes, aplicações e dados — próprios, hospedados por terceiros ou operados por terceiros — sob controle ou responsabilidade da organização;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qualquer incidente identificado por meios internos, por notificação de terceiros, por operadores, por fornecedores, por titulares de dados ou por autoridades.</w:t>
      </w:r>
    </w:p>
    <w:p>
      <w:pPr>
        <w:spacing w:after="160"/>
      </w:pPr>
      <w:r>
        <w:rPr>
          <w:sz w:val="20"/>
          <w:szCs w:val="20"/>
        </w:rPr>
        <w:t xml:space="preserve">Esta Política não substitui normas setoriais específicas, cláusulas contratuais com maior exigência, nem orientações da ANPD ou de outros reguladores aplicáveis — nos conflitos, prevalece a norma ou o procedimento oficial vigente.</w:t>
      </w:r>
    </w:p>
    <w:p>
      <w:pPr>
        <w:pStyle w:val="Heading1"/>
        <w:spacing w:after="160" w:before="360"/>
      </w:pPr>
      <w:r>
        <w:t xml:space="preserve">2. Definições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Evento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Ocorrência observável em um sistema ou rede, sem indicação, por si só, de violação de segurança.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Suspeita de incidente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Evento ou conjunto de evidências que indica possível violação de segurança ainda não confirmada, exigindo verificação.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Incidente confirmado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Violação de segurança confirmada — da confidencialidade, integridade, disponibilidade ou autenticidade — de sistemas, serviços ou dados.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Incidente envolvendo dados pessoais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Incidente confirmado que afeta dados pessoais sob tratamento pela organização (como controladora) ou por ela operados (como operadora), nos termos do art. 46 da LGPD.</w:t>
            </w:r>
          </w:p>
        </w:tc>
      </w:tr>
    </w:tbl>
    <w:p>
      <w:pPr>
        <w:spacing w:after="160"/>
      </w:pPr>
      <w:r>
        <w:rPr>
          <w:sz w:val="20"/>
          <w:szCs w:val="20"/>
        </w:rPr>
        <w:t xml:space="preserve">Estas definições orientam a aplicação desta Política e do Plano; os critérios técnicos de classificação de severidade e os critérios de avaliação do risco regulatório aos titulares estão detalhados, respectivamente, no Plano de Resposta a Incidentes e no Instrumento 2.</w:t>
      </w:r>
    </w:p>
    <w:p>
      <w:pPr>
        <w:pStyle w:val="Heading1"/>
        <w:spacing w:after="160" w:before="360"/>
      </w:pPr>
      <w:r>
        <w:t xml:space="preserve">3. Princípios de resposta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Proporcionalidade: as medidas de contenção, investigação e comunicação devem ser proporcionais ao risco e ao impacto observados.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Preservação de evidências: a coleta e a preservação de evidências relevantes têm prioridade sobre a conveniência operacional, sem condicionar a contenção emergencial à conclusão da investigação.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Continuidade: busca restabelecer a operação de forma segura e validada, equilibrando continuidade de negócio com integridade da contenção e da investigação.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Proteção dos titulares: o risco e o impacto aos titulares de dados pessoais são considerados desde a triagem inicial, de forma independente da classificação técnica de severidade.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Confidencialidade: informações sobre o incidente são tratadas em base de necessidade de conhecimento enquanto a resposta está em curso, sem prejuízo das obrigações legais de comunicação.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Accountability: toda decisão relevante é registrada, com responsável, data, fundamento e evidência associada.</w:t>
      </w:r>
    </w:p>
    <w:p>
      <w:pPr>
        <w:pStyle w:val="Heading1"/>
        <w:spacing w:after="160" w:before="360"/>
      </w:pPr>
      <w:r>
        <w:t xml:space="preserve">4. Adoção do DAIR como abordagem dinâmica e iterativa</w:t>
      </w:r>
    </w:p>
    <w:p>
      <w:pPr>
        <w:spacing w:after="160"/>
      </w:pPr>
      <w:r>
        <w:rPr>
          <w:sz w:val="20"/>
          <w:szCs w:val="20"/>
        </w:rPr>
        <w:t xml:space="preserve">A organização adota o DAIR (Dynamic Approach to Incident Response) como abordagem de referência para a execução operacional da resposta: Preparação, Detecção, Verificação e Triagem, seguidas do Loop de Ações de Resposta (Escopo, Contenção, Erradicação, Recuperação), executado de forma iterativa — com reentradas sempre que surgirem novas evidências, falhas de contenção, persistência do agente de ameaça ou mudança de escopo — e Debrief ao final. Esta Política não impõe sequência rígida de etapas; a sequência operacional e os critérios de reentrada constam do Plano e do Playbook.</w:t>
      </w:r>
    </w:p>
    <w:p>
      <w:pPr>
        <w:pStyle w:val="Heading1"/>
        <w:spacing w:after="160" w:before="360"/>
      </w:pPr>
      <w:r>
        <w:t xml:space="preserve">5. Papéis e responsabilidades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Papel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Responsabilidade típica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Direção / Diretoria designada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Autoridade final sobre decisões que afetem continuidade do negócio, reputação ou exijam recursos extraordinários; aprova esta Política e o Plano.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Líder de Resposta a Incidentes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Coordena a resposta operacional, aciona os demais papéis e aplica a autoridade da seção 6.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Segurança da Informação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Detecção, análise técnica, contenção, erradicação e recuperação, em articulação com TI.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Tecnologia da Informação (TI)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Suporte à contenção e à recuperação de sistemas, infraestrutura e serviços afetados.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Áreas de Negócio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Avaliação do impacto operacional e nas atividades de tratamento sob sua responsabilidade; apoio à comunicação.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Continuidade de Negócio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Articulação entre contenção/erradicação e planos de continuidade.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Comunicação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Preparação e aprovação de mensagens internas, institucionais e, quando aplicável, públicas.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Jurídico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Avaliação de obrigações legais e contratuais; apoio à governança da decisão regulatória e à gestão de fornecedores.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Encarregado (DPO)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Avaliação do risco aos titulares, condução da trilha de privacidade e preparação das comunicações à ANPD e aos titulares.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Controlador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Titular da obrigação legal de comunicar incidentes à ANPD e aos titulares (LGPD, art. 48); pode delegar a execução, nunca a responsabilidade.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Operadores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Obrigação de informar o controlador sem demora injustificada ao identificar incidente envolvendo dados pessoais tratados em seu nome.</w:t>
            </w:r>
          </w:p>
        </w:tc>
      </w:tr>
    </w:tbl>
    <w:p>
      <w:pPr>
        <w:spacing w:after="160"/>
      </w:pPr>
      <w:r>
        <w:rPr>
          <w:sz w:val="20"/>
          <w:szCs w:val="20"/>
        </w:rPr>
        <w:t xml:space="preserve">A organização deve nomear, para cada papel, o(s) titular(es) e seus substitutos no Plano de Resposta a Incidentes, mantendo esta Política livre de dados pessoais ou nominais específicos. A tabela acima estabelece responsabilidades em termos gerais; a organização deve detalhá-las em uma matriz RACI (Responsável, Aprovador, Consultado, Informado) por atividade de resposta, revisada e validada em exercício tabletop.</w:t>
      </w:r>
    </w:p>
    <w:p>
      <w:pPr>
        <w:pStyle w:val="Heading1"/>
        <w:spacing w:after="160" w:before="360"/>
      </w:pPr>
      <w:r>
        <w:t xml:space="preserve">6. Autoridade de resposta</w:t>
      </w:r>
    </w:p>
    <w:p>
      <w:pPr>
        <w:spacing w:after="160"/>
      </w:pPr>
      <w:r>
        <w:rPr>
          <w:sz w:val="20"/>
          <w:szCs w:val="20"/>
        </w:rPr>
        <w:t xml:space="preserve">O Líder de Resposta a Incidentes, ou quem o substitua conforme definido no Plano, tem autoridade para: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declarar formalmente a abertura de um incidente e sua classificação inicial;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priorizar recursos internos para a resposta, inclusive realocando temporariamente pessoal técnico;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determinar a contenção de acessos, contas, sessões, credenciais ou segmentos de rede;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suspender temporariamente serviços ou funcionalidades, quando a continuidade representar risco desproporcional;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autorizar o início da recuperação operacional, uma vez validada a contenção;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declarar o encerramento da resposta ativa, sem prejuízo do acompanhamento residual (seção 14).</w:t>
      </w:r>
    </w:p>
    <w:p>
      <w:pPr>
        <w:spacing w:after="160"/>
      </w:pPr>
      <w:r>
        <w:rPr>
          <w:sz w:val="20"/>
          <w:szCs w:val="20"/>
        </w:rPr>
        <w:t xml:space="preserve">Decisões que envolvam risco relevante à continuidade do negócio, exposição reputacional significativa ou compromisso de recursos extraordinários requerem ciência ou aprovação da Direção, conforme os limites definidos no Plano. O Plano detalha esta autoridade em uma matriz decisão a decisão (quem decide, quem substitui, qual evidência a decisão deve deixar — Plano, seção 2.5), que complementa, sem substituir, a matriz RACI da seção 5: RACI cobre participação e coordenação; a matriz de autoridade cobre o direito de decidir.</w:t>
      </w:r>
    </w:p>
    <w:p>
      <w:pPr>
        <w:pStyle w:val="Heading1"/>
        <w:spacing w:after="160" w:before="360"/>
      </w:pPr>
      <w:r>
        <w:t xml:space="preserve">7. Obrigação interna de reportar</w:t>
      </w:r>
    </w:p>
    <w:p>
      <w:pPr>
        <w:spacing w:after="160"/>
      </w:pPr>
      <w:r>
        <w:rPr>
          <w:sz w:val="20"/>
          <w:szCs w:val="20"/>
        </w:rPr>
        <w:t xml:space="preserve">Todo colaborador, terceiro ou fornecedor com acesso a sistemas, serviços ou dados da organização tem o dever de reportar, sem demora injustificada, qualquer suspeita ou confirmação de incidente de segurança, por canal definido pela organização. A organização deve estabelecer, no Plano, os canais primários e alternativos de reporte e os substitutos para cada papel de recebimento, incluindo cobertura fora do horário comercial.</w:t>
      </w:r>
    </w:p>
    <w:p>
      <w:pPr>
        <w:pStyle w:val="Heading1"/>
        <w:spacing w:after="160" w:before="360"/>
      </w:pPr>
      <w:r>
        <w:t xml:space="preserve">8. Critérios gerais de classificação e escalonamento</w:t>
      </w:r>
    </w:p>
    <w:p>
      <w:pPr>
        <w:spacing w:after="160"/>
      </w:pPr>
      <w:r>
        <w:rPr>
          <w:sz w:val="20"/>
          <w:szCs w:val="20"/>
        </w:rPr>
        <w:t xml:space="preserve">A classificação de severidade técnica (impacto em sistemas, serviços e dados) é distinta da avaliação de risco aos titulares (impacto a pessoas naturais) exigida pela LGPD e pela Resolução CD/ANPD nº 15/2024 (RCIS). Uma severidade técnica baixa não afasta, por si só, risco relevante aos titulares, e vice-versa. Os critérios operacionais de classificação e os limiares de escalonamento constam do Plano; a avaliação fundamentada do risco regulatório aos titulares é registrada no Instrumento 2, nunca decidida de forma automática a partir de uma pontuação isolada.</w:t>
      </w:r>
    </w:p>
    <w:p>
      <w:pPr>
        <w:pStyle w:val="Heading1"/>
        <w:spacing w:after="160" w:before="360"/>
      </w:pPr>
      <w:r>
        <w:t xml:space="preserve">9. Diretrizes de coleta e proteção de evidências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 coleta de evidências deve priorizar métodos que preservem integridade e cadeia de custódia, documentando ferramenta, responsável, data/hora e limitações.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O acesso a evidências é restrito a quem tenha necessidade de conhecimento para a resposta ou para eventual processo regulatório, contratual ou judicial.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Evidências relacionadas a incidentes envolvendo dados pessoais seguem também as regras de retenção da seção 13 e as restrições de acesso aplicáveis a dados pessoais.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Qualquer limitação ou lacuna na coleta deve ser registrada como tal, nunca omitida.</w:t>
      </w:r>
    </w:p>
    <w:p>
      <w:pPr>
        <w:pStyle w:val="Heading1"/>
        <w:spacing w:after="160" w:before="360"/>
      </w:pPr>
      <w:r>
        <w:t xml:space="preserve">10. Diretrizes de comunicação</w:t>
      </w:r>
    </w:p>
    <w:p>
      <w:pPr>
        <w:spacing w:after="160"/>
      </w:pPr>
      <w:r>
        <w:rPr>
          <w:sz w:val="20"/>
          <w:szCs w:val="20"/>
        </w:rPr>
        <w:t xml:space="preserve">A comunicação em resposta a um incidente tem quatro destinatários possíveis, com requisitos distintos: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Interna: entre os papéis envolvidos na resposta e a Direção, conforme a seção 6 e o Plano.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Contratual: a clientes, parceiros ou fornecedores com quem haja obrigação contratual de notificação.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Regulatória: à ANPD e a outros reguladores setoriais aplicáveis, conforme a governança da decisão regulatória (seção 11).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Aos titulares: quando exigida pela avaliação de risco (LGPD, art. 48), preparada e executada conforme o Instrumento 5 e o Plano.</w:t>
      </w:r>
    </w:p>
    <w:p>
      <w:pPr>
        <w:spacing w:after="160"/>
      </w:pPr>
      <w:r>
        <w:rPr>
          <w:sz w:val="20"/>
          <w:szCs w:val="20"/>
        </w:rPr>
        <w:t xml:space="preserve">Em nenhum caso a comunicação a um destinatário substitui ou presume a comunicação aos demais.</w:t>
      </w:r>
    </w:p>
    <w:p>
      <w:pPr>
        <w:pStyle w:val="Heading1"/>
        <w:spacing w:after="160" w:before="360"/>
      </w:pPr>
      <w:r>
        <w:t xml:space="preserve">11. Governança da decisão regulatória</w:t>
      </w:r>
    </w:p>
    <w:p>
      <w:pPr>
        <w:spacing w:after="160"/>
      </w:pPr>
      <w:r>
        <w:rPr>
          <w:sz w:val="20"/>
          <w:szCs w:val="20"/>
        </w:rPr>
        <w:t xml:space="preserve">A decisão sobre a necessidade de comunicar um incidente à ANPD e aos titulares é tomada por avaliação fundamentada, registrada e versionada — nunca de forma automática a partir de uma pontuação ou matriz de severidade isolada. A avaliação deve considerar os critérios do art. 5º da Resolução CD/ANPD nº 15/2024 (RCIS) e ser revisada sempre que novas evidências relevantes surgirem. Os papéis de elaboração, revisão e aprovação dessa avaliação, bem como o instrumento de registro, constam da seção 5 e do Instrumento 2.</w:t>
      </w:r>
    </w:p>
    <w:p>
      <w:pPr>
        <w:pStyle w:val="Heading1"/>
        <w:spacing w:after="160" w:before="360"/>
      </w:pPr>
      <w:r>
        <w:t xml:space="preserve">12. Gestão de fornecedores e comunicação operador-controlador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Contratos com fornecedores que operem dados pessoais em nome da organização devem prever obrigação de notificação ao controlador, sem demora injustificada, ao identificar incidente de segurança.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 organização, quando atuar como operadora, deve notificar o controlador correspondente sem demora injustificada, fornecendo as informações necessárias à avaliação de risco deste.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O Jurídico, em conjunto com a área responsável pela gestão de fornecedores, deve manter inventário atualizado de fornecedores com acesso a dados pessoais e dos canais de notificação de incidente de cada um.</w:t>
      </w:r>
    </w:p>
    <w:p>
      <w:pPr>
        <w:pStyle w:val="Heading1"/>
        <w:spacing w:after="160" w:before="360"/>
      </w:pPr>
      <w:r>
        <w:t xml:space="preserve">13. Registro e retenção</w:t>
      </w:r>
    </w:p>
    <w:p>
      <w:pPr>
        <w:spacing w:after="160"/>
      </w:pPr>
      <w:r>
        <w:rPr>
          <w:sz w:val="20"/>
          <w:szCs w:val="20"/>
        </w:rPr>
        <w:t xml:space="preserve">Todo incidente, suas decisões, evidências e comunicações devem ser registrados nos instrumentos operacionais definidos. O prazo mínimo de retenção observa a legislação aplicável — por exemplo, o art. 10 da Resolução CD/ANPD nº 15/2024 exige retenção mínima de 5 anos para os registros de incidentes de segurança envolvendo dados pessoais — sem prejuízo de obrigações adicionais decorrentes de contrato, processo judicial ou regulatório em curso.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Prazos de retenção adicionais definidos pela organização para outras categorias de registro: </w:t>
      </w:r>
      <w:r>
        <w:rPr>
          <w:i/>
          <w:iCs/>
          <w:color w:val="595959"/>
          <w:sz w:val="20"/>
          <w:szCs w:val="20"/>
        </w:rPr>
        <w:t xml:space="preserve">[preencher, se aplicável]</w:t>
      </w:r>
    </w:p>
    <w:p>
      <w:pPr>
        <w:pStyle w:val="Heading1"/>
        <w:spacing w:after="160" w:before="360"/>
      </w:pPr>
      <w:r>
        <w:t xml:space="preserve">14. Critérios gerais de encerramento, acompanhamento residual e reabertura</w:t>
      </w:r>
    </w:p>
    <w:p>
      <w:pPr>
        <w:spacing w:after="160"/>
      </w:pPr>
      <w:r>
        <w:rPr>
          <w:sz w:val="20"/>
          <w:szCs w:val="20"/>
        </w:rPr>
        <w:t xml:space="preserve">O encerramento da resposta ativa é uma decisão explícita e atribuível (seção 6), distinta da conclusão das comunicações regulatórias e aos titulares e do encerramento do acompanhamento regulatório — que podem se estender após o encerramento técnico. Riscos residuais aceitos e pendências devem ser registrados com responsável e prazo. Um incidente encerrado pode ser reaberto quando surgirem evidências de persistência, reincidência ou escopo não identificado anteriormente. Os critérios operacionais detalhados de aceite para encerramento constam do Plano.</w:t>
      </w:r>
    </w:p>
    <w:p>
      <w:pPr>
        <w:pStyle w:val="Heading1"/>
        <w:spacing w:after="160" w:before="360"/>
      </w:pPr>
      <w:r>
        <w:t xml:space="preserve">15. Treinamento, exercícios, revisão e melhoria contínua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A organização deve promover treinamento periódico dos papéis definidos na seção 5 sobre esta Política e o Plano correspondente.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Exercícios simulados (tabletop ou técnicos) devem ser realizados com periodicidade definida pela organização, utilizando cenários realistas e registrando resultados e lições aprendidas.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Todo incidente encerrado deve gerar um debrief com ações corretivas, responsáveis e prazos, cujo cumprimento é acompanhado até a conclusão.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Esta Política e o Plano devem ser revisados com a periodicidade definida na seção 0, ou antes disso, sempre que houver mudança relevante na legislação aplicável, na estrutura organizacional ou após lições aprendidas de incidentes reais ou exercícios.</w:t>
      </w:r>
    </w:p>
    <w:p>
      <w:pPr>
        <w:pStyle w:val="Heading1"/>
        <w:spacing w:after="160" w:before="360"/>
      </w:pPr>
      <w:r>
        <w:t xml:space="preserve">16. Gestão de exceções e não conformidade</w:t>
      </w:r>
    </w:p>
    <w:p>
      <w:pPr>
        <w:spacing w:after="160"/>
      </w:pPr>
      <w:r>
        <w:rPr>
          <w:sz w:val="20"/>
          <w:szCs w:val="20"/>
        </w:rPr>
        <w:t xml:space="preserve">Qualquer exceção ao disposto nesta Política deve ser solicitada, justificada e aprovada pela autoridade competente definida pela organização, com registro da exceção, do prazo de vigência e do responsável. O tratamento de não conformidades com esta Política segue as normas internas de conduta, disciplinares e de compliance já vigentes na organização — esta Política não cria nem prevê sanções próprias.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Referência à norma interna de conduta/disciplinar aplicável: </w:t>
      </w:r>
      <w:r>
        <w:rPr>
          <w:i/>
          <w:iCs/>
          <w:color w:val="595959"/>
          <w:sz w:val="20"/>
          <w:szCs w:val="20"/>
        </w:rPr>
        <w:t xml:space="preserve">[preencher, se houver]</w:t>
      </w:r>
    </w:p>
    <w:p>
      <w:pPr>
        <w:pStyle w:val="Heading1"/>
        <w:spacing w:after="160" w:before="360"/>
      </w:pPr>
      <w:r>
        <w:t xml:space="preserve">17. Documentos relacionados, aprovação e controle de versão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Documento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Relação com esta Política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Plano de Resposta a Incidentes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Operacionaliza a mobilização e a coordenação da resposta com base nesta Política.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Playbook DAIR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Detalha os procedimentos técnicos de execução da resposta.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Instrumentos 1–5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Registram, avaliam e controlam a execução, conforme a tabela de integração do README.</w:t>
            </w:r>
          </w:p>
        </w:tc>
      </w:tr>
    </w:tbl>
    <w:p>
      <w:pPr>
        <w:pStyle w:val="Heading2"/>
        <w:spacing w:after="120" w:before="200"/>
      </w:pPr>
      <w:r>
        <w:t xml:space="preserve">Histórico de versões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1800"/>
        <w:gridCol w:w="3800"/>
        <w:gridCol w:w="20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Alteração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Aprovador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[preencher: ex.: versão inicial]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[preencher]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é um modelo institucional reutilizável, de caráter educacional. Não contém dados de nenhuma organização específica e não produz efeitos até ser adaptado aos campos de configuração da seção 0 e formalmente aprovado pela autoridade competente da organização adotante.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Política de Resposta a Incidentes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2026-10-20T23:33:37.232Z</dcterms:created>
  <dcterms:modified xsi:type="dcterms:W3CDTF">2026-10-20T23:33:37.233Z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