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rPr>
          <w:b/>
          <w:bCs/>
          <w:color w:val="1F3864"/>
          <w:sz w:val="40"/>
          <w:szCs w:val="40"/>
        </w:rPr>
        <w:t xml:space="preserve">PLANO DE RESPOSTA A INCIDENTES</w:t>
      </w:r>
    </w:p>
    <w:p>
      <w:pPr>
        <w:spacing w:after="300" w:before="200"/>
        <w:jc w:val="center"/>
      </w:pPr>
      <w:r>
        <w:rPr>
          <w:color w:val="2E5395"/>
          <w:sz w:val="26"/>
          <w:szCs w:val="26"/>
        </w:rPr>
        <w:t xml:space="preserve">Mobilização, classificação, execução e encerramento da resposta</w:t>
      </w:r>
    </w:p>
    <w:p>
      <w:pPr>
        <w:spacing w:after="400"/>
        <w:jc w:val="center"/>
      </w:pPr>
      <w:r>
        <w:rPr>
          <w:i/>
          <w:iCs/>
          <w:color w:val="595959"/>
          <w:sz w:val="22"/>
          <w:szCs w:val="22"/>
        </w:rPr>
        <w:t xml:space="preserve">Modelo institucional reutilizável — Versão 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CE4E4" w:val="clear"/>
            <w:tcMar>
              <w:top w:type="dxa" w:w="150"/>
              <w:left w:type="dxa" w:w="150"/>
              <w:bottom w:type="dxa" w:w="150"/>
              <w:right w:type="dxa" w:w="150"/>
            </w:tcMar>
          </w:tcPr>
          <w:p>
            <w:r>
              <w:rPr>
                <w:b/>
                <w:bCs/>
                <w:color w:val="9C0006"/>
                <w:sz w:val="20"/>
                <w:szCs w:val="20"/>
              </w:rPr>
              <w:t xml:space="preserve">Este documento operacionaliza a Política de Resposta a Incidentes. Não contém dados de nenhuma organização específica e não reproduz os cenários fictícios de treinamento deste repositório — use os exemplos em instrumentos/exemplos/ e o cenário em cenario/ apenas para aprender o preenchimento. Os procedimentos técnicos detalhados de cada atividade constam do Playbook DAIR.</w:t>
            </w:r>
          </w:p>
        </w:tc>
      </w:tr>
    </w:tbl>
    <w:p>
      <w:r>
        <w:br w:type="page"/>
      </w:r>
    </w:p>
    <w:p>
      <w:pPr>
        <w:pStyle w:val="Heading1"/>
        <w:spacing w:after="160" w:before="360"/>
      </w:pPr>
      <w:r>
        <w:t xml:space="preserve">0. Dados de controle do documento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00"/>
      </w:tblGrid>
      <w:tr>
        <w:trPr>
          <w:tblHeader/>
        </w:trPr>
        <w:tc>
          <w:tcPr>
            <w:tcW w:type="dxa" w:w="3200"/>
            <w:shd w:fill="1F3864" w:val="clear"/>
            <w:tcMar>
              <w:top w:type="dxa" w:w="80"/>
              <w:left w:type="dxa" w:w="100"/>
              <w:bottom w:type="dxa" w:w="80"/>
              <w:right w:type="dxa" w:w="100"/>
            </w:tcMar>
            <w:vAlign w:val="center"/>
          </w:tcPr>
          <w:p>
            <w:r>
              <w:rPr>
                <w:b/>
                <w:bCs/>
                <w:color w:val="FFFFFF"/>
                <w:sz w:val="18"/>
                <w:szCs w:val="18"/>
              </w:rPr>
              <w:t xml:space="preserve">Campo</w:t>
            </w:r>
          </w:p>
        </w:tc>
        <w:tc>
          <w:tcPr>
            <w:tcW w:type="dxa" w:w="5800"/>
            <w:shd w:fill="1F3864" w:val="clear"/>
            <w:tcMar>
              <w:top w:type="dxa" w:w="80"/>
              <w:left w:type="dxa" w:w="100"/>
              <w:bottom w:type="dxa" w:w="80"/>
              <w:right w:type="dxa" w:w="100"/>
            </w:tcMar>
            <w:vAlign w:val="center"/>
          </w:tcPr>
          <w:p>
            <w:r>
              <w:rPr>
                <w:b/>
                <w:bCs/>
                <w:color w:val="FFFFFF"/>
                <w:sz w:val="18"/>
                <w:szCs w:val="18"/>
              </w:rPr>
              <w:t xml:space="preserve">Valor</w:t>
            </w:r>
          </w:p>
        </w:tc>
      </w:tr>
      <w:tr>
        <w:tc>
          <w:tcPr>
            <w:tcW w:type="dxa" w:w="3200"/>
            <w:tcMar>
              <w:top w:type="dxa" w:w="80"/>
              <w:left w:type="dxa" w:w="100"/>
              <w:bottom w:type="dxa" w:w="80"/>
              <w:right w:type="dxa" w:w="100"/>
            </w:tcMar>
            <w:vAlign w:val="center"/>
          </w:tcPr>
          <w:p>
            <w:r>
              <w:rPr>
                <w:b w:val="false"/>
                <w:bCs w:val="false"/>
                <w:color w:val="000000"/>
                <w:sz w:val="18"/>
                <w:szCs w:val="18"/>
              </w:rPr>
              <w:t xml:space="preserve">Organização</w:t>
            </w:r>
          </w:p>
        </w:tc>
        <w:tc>
          <w:tcPr>
            <w:tcW w:type="dxa" w:w="5800"/>
            <w:tcMar>
              <w:top w:type="dxa" w:w="80"/>
              <w:left w:type="dxa" w:w="100"/>
              <w:bottom w:type="dxa" w:w="80"/>
              <w:right w:type="dxa" w:w="100"/>
            </w:tcMar>
            <w:vAlign w:val="center"/>
          </w:tcPr>
          <w:p>
            <w:r>
              <w:rPr>
                <w:b w:val="false"/>
                <w:bCs w:val="false"/>
                <w:color w:val="000000"/>
                <w:sz w:val="18"/>
                <w:szCs w:val="18"/>
              </w:rPr>
              <w:t xml:space="preserve">[preencher]</w:t>
            </w:r>
          </w:p>
        </w:tc>
      </w:tr>
      <w:tr>
        <w:tc>
          <w:tcPr>
            <w:tcW w:type="dxa" w:w="3200"/>
            <w:tcMar>
              <w:top w:type="dxa" w:w="80"/>
              <w:left w:type="dxa" w:w="100"/>
              <w:bottom w:type="dxa" w:w="80"/>
              <w:right w:type="dxa" w:w="100"/>
            </w:tcMar>
            <w:vAlign w:val="center"/>
          </w:tcPr>
          <w:p>
            <w:r>
              <w:rPr>
                <w:b w:val="false"/>
                <w:bCs w:val="false"/>
                <w:color w:val="000000"/>
                <w:sz w:val="18"/>
                <w:szCs w:val="18"/>
              </w:rPr>
              <w:t xml:space="preserve">Proprietário do documento (owner)</w:t>
            </w:r>
          </w:p>
        </w:tc>
        <w:tc>
          <w:tcPr>
            <w:tcW w:type="dxa" w:w="5800"/>
            <w:tcMar>
              <w:top w:type="dxa" w:w="80"/>
              <w:left w:type="dxa" w:w="100"/>
              <w:bottom w:type="dxa" w:w="80"/>
              <w:right w:type="dxa" w:w="100"/>
            </w:tcMar>
            <w:vAlign w:val="center"/>
          </w:tcPr>
          <w:p>
            <w:r>
              <w:rPr>
                <w:b w:val="false"/>
                <w:bCs w:val="false"/>
                <w:color w:val="000000"/>
                <w:sz w:val="18"/>
                <w:szCs w:val="18"/>
              </w:rPr>
              <w:t xml:space="preserve">[preencher]</w:t>
            </w:r>
          </w:p>
        </w:tc>
      </w:tr>
      <w:tr>
        <w:tc>
          <w:tcPr>
            <w:tcW w:type="dxa" w:w="3200"/>
            <w:tcMar>
              <w:top w:type="dxa" w:w="80"/>
              <w:left w:type="dxa" w:w="100"/>
              <w:bottom w:type="dxa" w:w="80"/>
              <w:right w:type="dxa" w:w="100"/>
            </w:tcMar>
            <w:vAlign w:val="center"/>
          </w:tcPr>
          <w:p>
            <w:r>
              <w:rPr>
                <w:b w:val="false"/>
                <w:bCs w:val="false"/>
                <w:color w:val="000000"/>
                <w:sz w:val="18"/>
                <w:szCs w:val="18"/>
              </w:rPr>
              <w:t xml:space="preserve">Aprovador</w:t>
            </w:r>
          </w:p>
        </w:tc>
        <w:tc>
          <w:tcPr>
            <w:tcW w:type="dxa" w:w="5800"/>
            <w:tcMar>
              <w:top w:type="dxa" w:w="80"/>
              <w:left w:type="dxa" w:w="100"/>
              <w:bottom w:type="dxa" w:w="80"/>
              <w:right w:type="dxa" w:w="100"/>
            </w:tcMar>
            <w:vAlign w:val="center"/>
          </w:tcPr>
          <w:p>
            <w:r>
              <w:rPr>
                <w:b w:val="false"/>
                <w:bCs w:val="false"/>
                <w:color w:val="000000"/>
                <w:sz w:val="18"/>
                <w:szCs w:val="18"/>
              </w:rPr>
              <w:t xml:space="preserve">[preencher]</w:t>
            </w:r>
          </w:p>
        </w:tc>
      </w:tr>
      <w:tr>
        <w:tc>
          <w:tcPr>
            <w:tcW w:type="dxa" w:w="3200"/>
            <w:tcMar>
              <w:top w:type="dxa" w:w="80"/>
              <w:left w:type="dxa" w:w="100"/>
              <w:bottom w:type="dxa" w:w="80"/>
              <w:right w:type="dxa" w:w="100"/>
            </w:tcMar>
            <w:vAlign w:val="center"/>
          </w:tcPr>
          <w:p>
            <w:r>
              <w:rPr>
                <w:b w:val="false"/>
                <w:bCs w:val="false"/>
                <w:color w:val="000000"/>
                <w:sz w:val="18"/>
                <w:szCs w:val="18"/>
              </w:rPr>
              <w:t xml:space="preserve">Versão</w:t>
            </w:r>
          </w:p>
        </w:tc>
        <w:tc>
          <w:tcPr>
            <w:tcW w:type="dxa" w:w="5800"/>
            <w:tcMar>
              <w:top w:type="dxa" w:w="80"/>
              <w:left w:type="dxa" w:w="100"/>
              <w:bottom w:type="dxa" w:w="80"/>
              <w:right w:type="dxa" w:w="100"/>
            </w:tcMar>
            <w:vAlign w:val="center"/>
          </w:tcPr>
          <w:p>
            <w:r>
              <w:rPr>
                <w:b w:val="false"/>
                <w:bCs w:val="false"/>
                <w:color w:val="000000"/>
                <w:sz w:val="18"/>
                <w:szCs w:val="18"/>
              </w:rPr>
              <w:t xml:space="preserve">[preencher]</w:t>
            </w:r>
          </w:p>
        </w:tc>
      </w:tr>
      <w:tr>
        <w:tc>
          <w:tcPr>
            <w:tcW w:type="dxa" w:w="3200"/>
            <w:tcMar>
              <w:top w:type="dxa" w:w="80"/>
              <w:left w:type="dxa" w:w="100"/>
              <w:bottom w:type="dxa" w:w="80"/>
              <w:right w:type="dxa" w:w="100"/>
            </w:tcMar>
            <w:vAlign w:val="center"/>
          </w:tcPr>
          <w:p>
            <w:r>
              <w:rPr>
                <w:b w:val="false"/>
                <w:bCs w:val="false"/>
                <w:color w:val="000000"/>
                <w:sz w:val="18"/>
                <w:szCs w:val="18"/>
              </w:rPr>
              <w:t xml:space="preserve">Data de aprovação</w:t>
            </w:r>
          </w:p>
        </w:tc>
        <w:tc>
          <w:tcPr>
            <w:tcW w:type="dxa" w:w="5800"/>
            <w:tcMar>
              <w:top w:type="dxa" w:w="80"/>
              <w:left w:type="dxa" w:w="100"/>
              <w:bottom w:type="dxa" w:w="80"/>
              <w:right w:type="dxa" w:w="100"/>
            </w:tcMar>
            <w:vAlign w:val="center"/>
          </w:tcPr>
          <w:p>
            <w:r>
              <w:rPr>
                <w:b w:val="false"/>
                <w:bCs w:val="false"/>
                <w:color w:val="000000"/>
                <w:sz w:val="18"/>
                <w:szCs w:val="18"/>
              </w:rPr>
              <w:t xml:space="preserve">[preencher após aprovação formal]</w:t>
            </w:r>
          </w:p>
        </w:tc>
      </w:tr>
      <w:tr>
        <w:tc>
          <w:tcPr>
            <w:tcW w:type="dxa" w:w="3200"/>
            <w:tcMar>
              <w:top w:type="dxa" w:w="80"/>
              <w:left w:type="dxa" w:w="100"/>
              <w:bottom w:type="dxa" w:w="80"/>
              <w:right w:type="dxa" w:w="100"/>
            </w:tcMar>
            <w:vAlign w:val="center"/>
          </w:tcPr>
          <w:p>
            <w:r>
              <w:rPr>
                <w:b w:val="false"/>
                <w:bCs w:val="false"/>
                <w:color w:val="000000"/>
                <w:sz w:val="18"/>
                <w:szCs w:val="18"/>
              </w:rPr>
              <w:t xml:space="preserve">Vigência / próxima revisão</w:t>
            </w:r>
          </w:p>
        </w:tc>
        <w:tc>
          <w:tcPr>
            <w:tcW w:type="dxa" w:w="5800"/>
            <w:tcMar>
              <w:top w:type="dxa" w:w="80"/>
              <w:left w:type="dxa" w:w="100"/>
              <w:bottom w:type="dxa" w:w="80"/>
              <w:right w:type="dxa" w:w="100"/>
            </w:tcMar>
            <w:vAlign w:val="center"/>
          </w:tcPr>
          <w:p>
            <w:r>
              <w:rPr>
                <w:b w:val="false"/>
                <w:bCs w:val="false"/>
                <w:color w:val="000000"/>
                <w:sz w:val="18"/>
                <w:szCs w:val="18"/>
              </w:rPr>
              <w:t xml:space="preserve">[preencher]</w:t>
            </w:r>
          </w:p>
        </w:tc>
      </w:tr>
      <w:tr>
        <w:tc>
          <w:tcPr>
            <w:tcW w:type="dxa" w:w="3200"/>
            <w:tcMar>
              <w:top w:type="dxa" w:w="80"/>
              <w:left w:type="dxa" w:w="100"/>
              <w:bottom w:type="dxa" w:w="80"/>
              <w:right w:type="dxa" w:w="100"/>
            </w:tcMar>
            <w:vAlign w:val="center"/>
          </w:tcPr>
          <w:p>
            <w:r>
              <w:rPr>
                <w:b w:val="false"/>
                <w:bCs w:val="false"/>
                <w:color w:val="000000"/>
                <w:sz w:val="18"/>
                <w:szCs w:val="18"/>
              </w:rPr>
              <w:t xml:space="preserve">Fundamento</w:t>
            </w:r>
          </w:p>
        </w:tc>
        <w:tc>
          <w:tcPr>
            <w:tcW w:type="dxa" w:w="5800"/>
            <w:tcMar>
              <w:top w:type="dxa" w:w="80"/>
              <w:left w:type="dxa" w:w="100"/>
              <w:bottom w:type="dxa" w:w="80"/>
              <w:right w:type="dxa" w:w="100"/>
            </w:tcMar>
            <w:vAlign w:val="center"/>
          </w:tcPr>
          <w:p>
            <w:r>
              <w:rPr>
                <w:b w:val="false"/>
                <w:bCs w:val="false"/>
                <w:color w:val="000000"/>
                <w:sz w:val="18"/>
                <w:szCs w:val="18"/>
              </w:rPr>
              <w:t xml:space="preserve">Política de Resposta a Incidentes</w:t>
            </w:r>
          </w:p>
        </w:tc>
      </w:tr>
    </w:tbl>
    <w:p>
      <w:pPr>
        <w:spacing w:after="160"/>
      </w:pPr>
      <w:r>
        <w:rPr>
          <w:sz w:val="20"/>
          <w:szCs w:val="20"/>
        </w:rPr>
        <w:t xml:space="preserve">Este Plano só produz efeitos após aprovação formal e preenchimento dos campos editáveis indicados ao longo do texto — sobretudo a lista de contatos da seção 1.3, que nunca deve conter nomes ou dados reais nesta cópia de modelo.</w:t>
      </w:r>
    </w:p>
    <w:p>
      <w:pPr>
        <w:pStyle w:val="Heading1"/>
        <w:spacing w:after="160" w:before="360"/>
      </w:pPr>
      <w:r>
        <w:t xml:space="preserve">1. Preparação e ativação</w:t>
      </w:r>
    </w:p>
    <w:p>
      <w:pPr>
        <w:pStyle w:val="Heading2"/>
        <w:spacing w:after="120" w:before="240"/>
      </w:pPr>
      <w:r>
        <w:t xml:space="preserve">1.1 Critérios de ativação</w:t>
      </w:r>
    </w:p>
    <w:p>
      <w:pPr>
        <w:spacing w:after="160"/>
      </w:pPr>
      <w:r>
        <w:rPr>
          <w:sz w:val="20"/>
          <w:szCs w:val="20"/>
        </w:rPr>
        <w:t xml:space="preserve">A resposta deve ser ativada diante de qualquer um dos seguintes gatilhos, sem aguardar confirmação total:</w:t>
      </w:r>
    </w:p>
    <w:p>
      <w:pPr>
        <w:pStyle w:val="ListParagraph"/>
        <w:numPr>
          <w:ilvl w:val="0"/>
          <w:numId w:val="1"/>
        </w:numPr>
        <w:spacing w:after="100"/>
      </w:pPr>
      <w:r>
        <w:rPr>
          <w:sz w:val="20"/>
          <w:szCs w:val="20"/>
        </w:rPr>
        <w:t xml:space="preserve">suspeita técnica identificada por monitoramento, alerta de segurança ou análise interna;</w:t>
      </w:r>
    </w:p>
    <w:p>
      <w:pPr>
        <w:pStyle w:val="ListParagraph"/>
        <w:numPr>
          <w:ilvl w:val="0"/>
          <w:numId w:val="1"/>
        </w:numPr>
        <w:spacing w:after="100"/>
      </w:pPr>
      <w:r>
        <w:rPr>
          <w:sz w:val="20"/>
          <w:szCs w:val="20"/>
        </w:rPr>
        <w:t xml:space="preserve">relato humano — de colaborador, cliente, titular de dados ou terceiro;</w:t>
      </w:r>
    </w:p>
    <w:p>
      <w:pPr>
        <w:pStyle w:val="ListParagraph"/>
        <w:numPr>
          <w:ilvl w:val="0"/>
          <w:numId w:val="1"/>
        </w:numPr>
        <w:spacing w:after="100"/>
      </w:pPr>
      <w:r>
        <w:rPr>
          <w:sz w:val="20"/>
          <w:szCs w:val="20"/>
        </w:rPr>
        <w:t xml:space="preserve">notificação de operador ou fornecedor informando incidente envolvendo dados tratados em nome da organização;</w:t>
      </w:r>
    </w:p>
    <w:p>
      <w:pPr>
        <w:pStyle w:val="ListParagraph"/>
        <w:numPr>
          <w:ilvl w:val="0"/>
          <w:numId w:val="1"/>
        </w:numPr>
        <w:spacing w:after="100"/>
      </w:pPr>
      <w:r>
        <w:rPr>
          <w:sz w:val="20"/>
          <w:szCs w:val="20"/>
        </w:rPr>
        <w:t xml:space="preserve">notificação externa (pesquisador de segurança, imprensa, autoridade).</w:t>
      </w:r>
    </w:p>
    <w:p>
      <w:pPr>
        <w:spacing w:after="160"/>
      </w:pPr>
      <w:r>
        <w:rPr>
          <w:sz w:val="20"/>
          <w:szCs w:val="20"/>
        </w:rPr>
        <w:t xml:space="preserve">A ativação não depende da conclusão da investigação técnica ou da análise jurídica — a preservação de evidências e a contenção emergencial têm início imediato, em paralelo à triagem (seção 3).</w:t>
      </w:r>
    </w:p>
    <w:p>
      <w:pPr>
        <w:pStyle w:val="Heading2"/>
        <w:spacing w:after="120" w:before="240"/>
      </w:pPr>
      <w:r>
        <w:t xml:space="preserve">1.2 Canais de acionamento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3600"/>
        <w:gridCol w:w="1400"/>
      </w:tblGrid>
      <w:tr>
        <w:trPr>
          <w:tblHeader/>
        </w:trPr>
        <w:tc>
          <w:tcPr>
            <w:tcW w:type="dxa" w:w="4000"/>
            <w:shd w:fill="1F3864" w:val="clear"/>
            <w:tcMar>
              <w:top w:type="dxa" w:w="80"/>
              <w:left w:type="dxa" w:w="100"/>
              <w:bottom w:type="dxa" w:w="80"/>
              <w:right w:type="dxa" w:w="100"/>
            </w:tcMar>
            <w:vAlign w:val="center"/>
          </w:tcPr>
          <w:p>
            <w:r>
              <w:rPr>
                <w:b/>
                <w:bCs/>
                <w:color w:val="FFFFFF"/>
                <w:sz w:val="18"/>
                <w:szCs w:val="18"/>
              </w:rPr>
              <w:t xml:space="preserve">Canal</w:t>
            </w:r>
          </w:p>
        </w:tc>
        <w:tc>
          <w:tcPr>
            <w:tcW w:type="dxa" w:w="3600"/>
            <w:shd w:fill="1F3864" w:val="clear"/>
            <w:tcMar>
              <w:top w:type="dxa" w:w="80"/>
              <w:left w:type="dxa" w:w="100"/>
              <w:bottom w:type="dxa" w:w="80"/>
              <w:right w:type="dxa" w:w="100"/>
            </w:tcMar>
            <w:vAlign w:val="center"/>
          </w:tcPr>
          <w:p>
            <w:r>
              <w:rPr>
                <w:b/>
                <w:bCs/>
                <w:color w:val="FFFFFF"/>
                <w:sz w:val="18"/>
                <w:szCs w:val="18"/>
              </w:rPr>
              <w:t xml:space="preserve">Uso</w:t>
            </w:r>
          </w:p>
        </w:tc>
        <w:tc>
          <w:tcPr>
            <w:tcW w:type="dxa" w:w="1400"/>
            <w:shd w:fill="1F3864" w:val="clear"/>
            <w:tcMar>
              <w:top w:type="dxa" w:w="80"/>
              <w:left w:type="dxa" w:w="100"/>
              <w:bottom w:type="dxa" w:w="80"/>
              <w:right w:type="dxa" w:w="100"/>
            </w:tcMar>
            <w:vAlign w:val="center"/>
          </w:tcPr>
          <w:p>
            <w:r>
              <w:rPr>
                <w:b/>
                <w:bCs/>
                <w:color w:val="FFFFFF"/>
                <w:sz w:val="18"/>
                <w:szCs w:val="18"/>
              </w:rPr>
              <w:t xml:space="preserve">Disponibilidade</w:t>
            </w:r>
          </w:p>
        </w:tc>
      </w:tr>
      <w:tr>
        <w:tc>
          <w:tcPr>
            <w:tcW w:type="dxa" w:w="4000"/>
            <w:tcMar>
              <w:top w:type="dxa" w:w="80"/>
              <w:left w:type="dxa" w:w="100"/>
              <w:bottom w:type="dxa" w:w="80"/>
              <w:right w:type="dxa" w:w="100"/>
            </w:tcMar>
            <w:vAlign w:val="center"/>
          </w:tcPr>
          <w:p>
            <w:r>
              <w:rPr>
                <w:b w:val="false"/>
                <w:bCs w:val="false"/>
                <w:color w:val="000000"/>
                <w:sz w:val="18"/>
                <w:szCs w:val="18"/>
              </w:rPr>
              <w:t xml:space="preserve">[preencher: ex.: linha de emergência de segurança]</w:t>
            </w:r>
          </w:p>
        </w:tc>
        <w:tc>
          <w:tcPr>
            <w:tcW w:type="dxa" w:w="3600"/>
            <w:tcMar>
              <w:top w:type="dxa" w:w="80"/>
              <w:left w:type="dxa" w:w="100"/>
              <w:bottom w:type="dxa" w:w="80"/>
              <w:right w:type="dxa" w:w="100"/>
            </w:tcMar>
            <w:vAlign w:val="center"/>
          </w:tcPr>
          <w:p>
            <w:r>
              <w:rPr>
                <w:b w:val="false"/>
                <w:bCs w:val="false"/>
                <w:color w:val="000000"/>
                <w:sz w:val="18"/>
                <w:szCs w:val="18"/>
              </w:rPr>
              <w:t xml:space="preserve">Canal primário para suspeitas e confirmações</w:t>
            </w:r>
          </w:p>
        </w:tc>
        <w:tc>
          <w:tcPr>
            <w:tcW w:type="dxa" w:w="1400"/>
            <w:tcMar>
              <w:top w:type="dxa" w:w="80"/>
              <w:left w:type="dxa" w:w="100"/>
              <w:bottom w:type="dxa" w:w="80"/>
              <w:right w:type="dxa" w:w="100"/>
            </w:tcMar>
            <w:vAlign w:val="center"/>
          </w:tcPr>
          <w:p>
            <w:r>
              <w:rPr>
                <w:b w:val="false"/>
                <w:bCs w:val="false"/>
                <w:color w:val="000000"/>
                <w:sz w:val="18"/>
                <w:szCs w:val="18"/>
              </w:rPr>
              <w:t xml:space="preserve">[preencher: ex.: 24x7]</w:t>
            </w:r>
          </w:p>
        </w:tc>
      </w:tr>
      <w:tr>
        <w:tc>
          <w:tcPr>
            <w:tcW w:type="dxa" w:w="4000"/>
            <w:tcMar>
              <w:top w:type="dxa" w:w="80"/>
              <w:left w:type="dxa" w:w="100"/>
              <w:bottom w:type="dxa" w:w="80"/>
              <w:right w:type="dxa" w:w="100"/>
            </w:tcMar>
            <w:vAlign w:val="center"/>
          </w:tcPr>
          <w:p>
            <w:r>
              <w:rPr>
                <w:b w:val="false"/>
                <w:bCs w:val="false"/>
                <w:color w:val="000000"/>
                <w:sz w:val="18"/>
                <w:szCs w:val="18"/>
              </w:rPr>
              <w:t xml:space="preserve">[preencher: ex.: canal interno de mensagens]</w:t>
            </w:r>
          </w:p>
        </w:tc>
        <w:tc>
          <w:tcPr>
            <w:tcW w:type="dxa" w:w="3600"/>
            <w:tcMar>
              <w:top w:type="dxa" w:w="80"/>
              <w:left w:type="dxa" w:w="100"/>
              <w:bottom w:type="dxa" w:w="80"/>
              <w:right w:type="dxa" w:w="100"/>
            </w:tcMar>
            <w:vAlign w:val="center"/>
          </w:tcPr>
          <w:p>
            <w:r>
              <w:rPr>
                <w:b w:val="false"/>
                <w:bCs w:val="false"/>
                <w:color w:val="000000"/>
                <w:sz w:val="18"/>
                <w:szCs w:val="18"/>
              </w:rPr>
              <w:t xml:space="preserve">Canal alternativo quando o canal primário estiver indisponível</w:t>
            </w:r>
          </w:p>
        </w:tc>
        <w:tc>
          <w:tcPr>
            <w:tcW w:type="dxa" w:w="1400"/>
            <w:tcMar>
              <w:top w:type="dxa" w:w="80"/>
              <w:left w:type="dxa" w:w="100"/>
              <w:bottom w:type="dxa" w:w="80"/>
              <w:right w:type="dxa" w:w="100"/>
            </w:tcMar>
            <w:vAlign w:val="center"/>
          </w:tcPr>
          <w:p>
            <w:r>
              <w:rPr>
                <w:b w:val="false"/>
                <w:bCs w:val="false"/>
                <w:color w:val="000000"/>
                <w:sz w:val="18"/>
                <w:szCs w:val="18"/>
              </w:rPr>
              <w:t xml:space="preserve">[preencher]</w:t>
            </w:r>
          </w:p>
        </w:tc>
      </w:tr>
      <w:tr>
        <w:tc>
          <w:tcPr>
            <w:tcW w:type="dxa" w:w="4000"/>
            <w:tcMar>
              <w:top w:type="dxa" w:w="80"/>
              <w:left w:type="dxa" w:w="100"/>
              <w:bottom w:type="dxa" w:w="80"/>
              <w:right w:type="dxa" w:w="100"/>
            </w:tcMar>
            <w:vAlign w:val="center"/>
          </w:tcPr>
          <w:p>
            <w:r>
              <w:rPr>
                <w:b w:val="false"/>
                <w:bCs w:val="false"/>
                <w:color w:val="000000"/>
                <w:sz w:val="18"/>
                <w:szCs w:val="18"/>
              </w:rPr>
              <w:t xml:space="preserve">[preencher: ex.: e-mail corporativo de segurança]</w:t>
            </w:r>
          </w:p>
        </w:tc>
        <w:tc>
          <w:tcPr>
            <w:tcW w:type="dxa" w:w="3600"/>
            <w:tcMar>
              <w:top w:type="dxa" w:w="80"/>
              <w:left w:type="dxa" w:w="100"/>
              <w:bottom w:type="dxa" w:w="80"/>
              <w:right w:type="dxa" w:w="100"/>
            </w:tcMar>
            <w:vAlign w:val="center"/>
          </w:tcPr>
          <w:p>
            <w:r>
              <w:rPr>
                <w:b w:val="false"/>
                <w:bCs w:val="false"/>
                <w:color w:val="000000"/>
                <w:sz w:val="18"/>
                <w:szCs w:val="18"/>
              </w:rPr>
              <w:t xml:space="preserve">Registro formal e rastreável do acionamento</w:t>
            </w:r>
          </w:p>
        </w:tc>
        <w:tc>
          <w:tcPr>
            <w:tcW w:type="dxa" w:w="1400"/>
            <w:tcMar>
              <w:top w:type="dxa" w:w="80"/>
              <w:left w:type="dxa" w:w="100"/>
              <w:bottom w:type="dxa" w:w="80"/>
              <w:right w:type="dxa" w:w="100"/>
            </w:tcMar>
            <w:vAlign w:val="center"/>
          </w:tcPr>
          <w:p>
            <w:r>
              <w:rPr>
                <w:b w:val="false"/>
                <w:bCs w:val="false"/>
                <w:color w:val="000000"/>
                <w:sz w:val="18"/>
                <w:szCs w:val="18"/>
              </w:rPr>
              <w:t xml:space="preserve">[preencher]</w:t>
            </w:r>
          </w:p>
        </w:tc>
      </w:tr>
    </w:tbl>
    <w:p>
      <w:pPr>
        <w:spacing w:after="160"/>
      </w:pPr>
      <w:r>
        <w:rPr>
          <w:sz w:val="20"/>
          <w:szCs w:val="20"/>
        </w:rPr>
        <w:t xml:space="preserve">A indisponibilidade do canal corporativo primário não suspende a obrigação de reportar — a organização deve manter ao menos um canal alternativo que não dependa da mesma infraestrutura potencialmente afetada.</w:t>
      </w:r>
    </w:p>
    <w:p>
      <w:pPr>
        <w:pStyle w:val="Heading2"/>
        <w:spacing w:after="120" w:before="240"/>
      </w:pPr>
      <w:r>
        <w:t xml:space="preserve">1.3 Lista de contatos por papel</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700"/>
        <w:gridCol w:w="1700"/>
        <w:gridCol w:w="1700"/>
        <w:gridCol w:w="1700"/>
      </w:tblGrid>
      <w:tr>
        <w:trPr>
          <w:tblHeader/>
        </w:trPr>
        <w:tc>
          <w:tcPr>
            <w:tcW w:type="dxa" w:w="2200"/>
            <w:shd w:fill="1F3864" w:val="clear"/>
            <w:tcMar>
              <w:top w:type="dxa" w:w="80"/>
              <w:left w:type="dxa" w:w="100"/>
              <w:bottom w:type="dxa" w:w="80"/>
              <w:right w:type="dxa" w:w="100"/>
            </w:tcMar>
            <w:vAlign w:val="center"/>
          </w:tcPr>
          <w:p>
            <w:r>
              <w:rPr>
                <w:b/>
                <w:bCs/>
                <w:color w:val="FFFFFF"/>
                <w:sz w:val="18"/>
                <w:szCs w:val="18"/>
              </w:rPr>
              <w:t xml:space="preserve">Papel</w:t>
            </w:r>
          </w:p>
        </w:tc>
        <w:tc>
          <w:tcPr>
            <w:tcW w:type="dxa" w:w="1700"/>
            <w:shd w:fill="1F3864" w:val="clear"/>
            <w:tcMar>
              <w:top w:type="dxa" w:w="80"/>
              <w:left w:type="dxa" w:w="100"/>
              <w:bottom w:type="dxa" w:w="80"/>
              <w:right w:type="dxa" w:w="100"/>
            </w:tcMar>
            <w:vAlign w:val="center"/>
          </w:tcPr>
          <w:p>
            <w:r>
              <w:rPr>
                <w:b/>
                <w:bCs/>
                <w:color w:val="FFFFFF"/>
                <w:sz w:val="18"/>
                <w:szCs w:val="18"/>
              </w:rPr>
              <w:t xml:space="preserve">Titular</w:t>
            </w:r>
          </w:p>
        </w:tc>
        <w:tc>
          <w:tcPr>
            <w:tcW w:type="dxa" w:w="1700"/>
            <w:shd w:fill="1F3864" w:val="clear"/>
            <w:tcMar>
              <w:top w:type="dxa" w:w="80"/>
              <w:left w:type="dxa" w:w="100"/>
              <w:bottom w:type="dxa" w:w="80"/>
              <w:right w:type="dxa" w:w="100"/>
            </w:tcMar>
            <w:vAlign w:val="center"/>
          </w:tcPr>
          <w:p>
            <w:r>
              <w:rPr>
                <w:b/>
                <w:bCs/>
                <w:color w:val="FFFFFF"/>
                <w:sz w:val="18"/>
                <w:szCs w:val="18"/>
              </w:rPr>
              <w:t xml:space="preserve">Contato primário</w:t>
            </w:r>
          </w:p>
        </w:tc>
        <w:tc>
          <w:tcPr>
            <w:tcW w:type="dxa" w:w="1700"/>
            <w:shd w:fill="1F3864" w:val="clear"/>
            <w:tcMar>
              <w:top w:type="dxa" w:w="80"/>
              <w:left w:type="dxa" w:w="100"/>
              <w:bottom w:type="dxa" w:w="80"/>
              <w:right w:type="dxa" w:w="100"/>
            </w:tcMar>
            <w:vAlign w:val="center"/>
          </w:tcPr>
          <w:p>
            <w:r>
              <w:rPr>
                <w:b/>
                <w:bCs/>
                <w:color w:val="FFFFFF"/>
                <w:sz w:val="18"/>
                <w:szCs w:val="18"/>
              </w:rPr>
              <w:t xml:space="preserve">Contato alternativo</w:t>
            </w:r>
          </w:p>
        </w:tc>
        <w:tc>
          <w:tcPr>
            <w:tcW w:type="dxa" w:w="1700"/>
            <w:shd w:fill="1F3864" w:val="clear"/>
            <w:tcMar>
              <w:top w:type="dxa" w:w="80"/>
              <w:left w:type="dxa" w:w="100"/>
              <w:bottom w:type="dxa" w:w="80"/>
              <w:right w:type="dxa" w:w="100"/>
            </w:tcMar>
            <w:vAlign w:val="center"/>
          </w:tcPr>
          <w:p>
            <w:r>
              <w:rPr>
                <w:b/>
                <w:bCs/>
                <w:color w:val="FFFFFF"/>
                <w:sz w:val="18"/>
                <w:szCs w:val="18"/>
              </w:rPr>
              <w:t xml:space="preserve">Substituto</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Líder de Resposta a Incidentes</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Segurança da Informação</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TI</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Encarregado (DPO)</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Jurídico</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Comunicação</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Continuidade de Negócio</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Direção / Diretoria designada</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c>
          <w:tcPr>
            <w:tcW w:type="dxa" w:w="1700"/>
            <w:tcMar>
              <w:top w:type="dxa" w:w="80"/>
              <w:left w:type="dxa" w:w="100"/>
              <w:bottom w:type="dxa" w:w="80"/>
              <w:right w:type="dxa" w:w="100"/>
            </w:tcMar>
            <w:vAlign w:val="center"/>
          </w:tcPr>
          <w:p>
            <w:r>
              <w:rPr>
                <w:b w:val="false"/>
                <w:bCs w:val="false"/>
                <w:color w:val="000000"/>
                <w:sz w:val="18"/>
                <w:szCs w:val="18"/>
              </w:rPr>
              <w:t xml:space="preserve">[preencher]</w:t>
            </w:r>
          </w:p>
        </w:tc>
      </w:tr>
    </w:tbl>
    <w:p>
      <w:pPr>
        <w:spacing w:after="160"/>
      </w:pPr>
      <w:r>
        <w:rPr>
          <w:sz w:val="20"/>
          <w:szCs w:val="20"/>
        </w:rPr>
        <w:t xml:space="preserve">Manter esta tabela atualizada é condição de uso deste Plano. [preencher: periodicidade de revisão da lista, ex.: trimestral].​</w:t>
      </w:r>
    </w:p>
    <w:p>
      <w:pPr>
        <w:pStyle w:val="Heading2"/>
        <w:spacing w:after="120" w:before="240"/>
      </w:pPr>
      <w:r>
        <w:t xml:space="preserve">1.4 Mobilização, liderança, sala de crise e distribuição de tarefas</w:t>
      </w:r>
    </w:p>
    <w:p>
      <w:pPr>
        <w:pStyle w:val="ListParagraph"/>
        <w:numPr>
          <w:ilvl w:val="0"/>
          <w:numId w:val="1"/>
        </w:numPr>
        <w:spacing w:after="100"/>
      </w:pPr>
      <w:r>
        <w:rPr>
          <w:sz w:val="20"/>
          <w:szCs w:val="20"/>
        </w:rPr>
        <w:t xml:space="preserve">Ao identificar um gatilho de ativação (1.1), quem o identificar aciona o Líder de Resposta a Incidentes (ou substituto) pelo canal primário.</w:t>
      </w:r>
    </w:p>
    <w:p>
      <w:pPr>
        <w:pStyle w:val="ListParagraph"/>
        <w:numPr>
          <w:ilvl w:val="0"/>
          <w:numId w:val="1"/>
        </w:numPr>
        <w:spacing w:after="100"/>
      </w:pPr>
      <w:r>
        <w:rPr>
          <w:sz w:val="20"/>
          <w:szCs w:val="20"/>
        </w:rPr>
        <w:t xml:space="preserve">O Líder de Resposta declara a abertura do incidente, abre o registro central no Instrumento 1 e convoca os papéis necessários conforme a classificação inicial (seção 2).</w:t>
      </w:r>
    </w:p>
    <w:p>
      <w:pPr>
        <w:spacing w:after="120"/>
      </w:pPr>
      <w:r>
        <w:rPr>
          <w:b/>
          <w:bCs/>
          <w:sz w:val="20"/>
          <w:szCs w:val="20"/>
        </w:rPr>
        <w:t xml:space="preserve">Ferramenta de sala de crise (física, virtual ou ambas): </w:t>
      </w:r>
      <w:r>
        <w:rPr>
          <w:i/>
          <w:iCs/>
          <w:color w:val="595959"/>
          <w:sz w:val="20"/>
          <w:szCs w:val="20"/>
        </w:rPr>
        <w:t xml:space="preserve">[preencher]</w:t>
      </w:r>
    </w:p>
    <w:p>
      <w:pPr>
        <w:pStyle w:val="ListParagraph"/>
        <w:numPr>
          <w:ilvl w:val="0"/>
          <w:numId w:val="1"/>
        </w:numPr>
        <w:spacing w:after="100"/>
      </w:pPr>
      <w:r>
        <w:rPr>
          <w:sz w:val="20"/>
          <w:szCs w:val="20"/>
        </w:rPr>
        <w:t xml:space="preserve">Tarefas são distribuídas pelo Líder de Resposta, registradas no Instrumento 1 ou no Instrumento 3, com responsável e prazo.</w:t>
      </w:r>
    </w:p>
    <w:p>
      <w:pPr>
        <w:pStyle w:val="ListParagraph"/>
        <w:numPr>
          <w:ilvl w:val="0"/>
          <w:numId w:val="1"/>
        </w:numPr>
        <w:spacing w:after="100"/>
      </w:pPr>
      <w:r>
        <w:rPr>
          <w:sz w:val="20"/>
          <w:szCs w:val="20"/>
        </w:rPr>
        <w:t xml:space="preserve">Em incidentes de longa duração, a passagem de turno (handover) registra: estado atual, decisões pendentes, evidências em custódia e próximos passos — nunca apenas "em andamento".</w:t>
      </w:r>
    </w:p>
    <w:p>
      <w:pPr>
        <w:pStyle w:val="Heading2"/>
        <w:spacing w:after="120" w:before="240"/>
      </w:pPr>
      <w:r>
        <w:t xml:space="preserve">1.5 Requisitos de acesso a registros, evidências e ferramentas</w:t>
      </w:r>
    </w:p>
    <w:p>
      <w:pPr>
        <w:spacing w:after="160"/>
      </w:pPr>
      <w:r>
        <w:rPr>
          <w:sz w:val="20"/>
          <w:szCs w:val="20"/>
        </w:rPr>
        <w:t xml:space="preserve">A organização deve garantir, antes da ativação, que os papéis mobilizáveis tenham acesso tempestivo a:</w:t>
      </w:r>
    </w:p>
    <w:p>
      <w:pPr>
        <w:pStyle w:val="ListParagraph"/>
        <w:numPr>
          <w:ilvl w:val="0"/>
          <w:numId w:val="1"/>
        </w:numPr>
        <w:spacing w:after="100"/>
      </w:pPr>
      <w:r>
        <w:rPr>
          <w:sz w:val="20"/>
          <w:szCs w:val="20"/>
        </w:rPr>
        <w:t xml:space="preserve">registros de log e monitoramento relevantes, com retenção suficiente para a janela típica de investigação;</w:t>
      </w:r>
    </w:p>
    <w:p>
      <w:pPr>
        <w:pStyle w:val="ListParagraph"/>
        <w:numPr>
          <w:ilvl w:val="0"/>
          <w:numId w:val="1"/>
        </w:numPr>
        <w:spacing w:after="100"/>
      </w:pPr>
      <w:r>
        <w:rPr>
          <w:sz w:val="20"/>
          <w:szCs w:val="20"/>
        </w:rPr>
        <w:t xml:space="preserve">os Instrumentos 1 a 5 deste repositório (ou equivalentes adotados pela organização);</w:t>
      </w:r>
    </w:p>
    <w:p>
      <w:pPr>
        <w:pStyle w:val="ListParagraph"/>
        <w:numPr>
          <w:ilvl w:val="0"/>
          <w:numId w:val="1"/>
        </w:numPr>
        <w:spacing w:after="100"/>
      </w:pPr>
      <w:r>
        <w:rPr>
          <w:sz w:val="20"/>
          <w:szCs w:val="20"/>
        </w:rPr>
        <w:t xml:space="preserve">ferramentas de contenção (revogação de credenciais, isolamento de rede, desativação de contas/tokens);</w:t>
      </w:r>
    </w:p>
    <w:p>
      <w:pPr>
        <w:pStyle w:val="ListParagraph"/>
        <w:numPr>
          <w:ilvl w:val="0"/>
          <w:numId w:val="1"/>
        </w:numPr>
        <w:spacing w:after="100"/>
      </w:pPr>
      <w:r>
        <w:rPr>
          <w:sz w:val="20"/>
          <w:szCs w:val="20"/>
        </w:rPr>
        <w:t xml:space="preserve">canais de comunicação interna, contratual, regulatória e com titulares.</w:t>
      </w:r>
    </w:p>
    <w:p>
      <w:pPr>
        <w:spacing w:after="120"/>
      </w:pPr>
      <w:r>
        <w:rPr>
          <w:b/>
          <w:bCs/>
          <w:sz w:val="20"/>
          <w:szCs w:val="20"/>
        </w:rPr>
        <w:t xml:space="preserve">Sistemas e papel responsável por conceder acesso de emergência a cada um: </w:t>
      </w:r>
      <w:r>
        <w:rPr>
          <w:i/>
          <w:iCs/>
          <w:color w:val="595959"/>
          <w:sz w:val="20"/>
          <w:szCs w:val="20"/>
        </w:rPr>
        <w:t xml:space="preserve">[preencher]</w:t>
      </w:r>
    </w:p>
    <w:p>
      <w:pPr>
        <w:pStyle w:val="Heading1"/>
        <w:spacing w:after="160" w:before="360"/>
      </w:pPr>
      <w:r>
        <w:t xml:space="preserve">2. Classificação e escalonamento</w:t>
      </w:r>
    </w:p>
    <w:p>
      <w:pPr>
        <w:pStyle w:val="Heading2"/>
        <w:spacing w:after="120" w:before="240"/>
      </w:pPr>
      <w:r>
        <w:t xml:space="preserve">2.1 Critérios operacionais de severidade/impacto</w:t>
      </w:r>
    </w:p>
    <w:p>
      <w:pPr>
        <w:spacing w:after="160"/>
      </w:pPr>
      <w:r>
        <w:rPr>
          <w:sz w:val="20"/>
          <w:szCs w:val="20"/>
        </w:rPr>
        <w:t xml:space="preserve">A classificação técnica inicial considera, no mínimo: tipo de violação (confidencialidade, integridade, disponibilidade, autenticidade), criticidade dos sistemas/dados afetados, extensão estimada e reversibilidade.</w:t>
      </w:r>
    </w:p>
    <w:p>
      <w:pPr>
        <w:spacing w:after="120"/>
      </w:pPr>
      <w:r>
        <w:rPr>
          <w:b/>
          <w:bCs/>
          <w:sz w:val="20"/>
          <w:szCs w:val="20"/>
        </w:rPr>
        <w:t xml:space="preserve">Níveis de severidade e limiares de cada nível, se adotados: </w:t>
      </w:r>
      <w:r>
        <w:rPr>
          <w:i/>
          <w:iCs/>
          <w:color w:val="595959"/>
          <w:sz w:val="20"/>
          <w:szCs w:val="20"/>
        </w:rPr>
        <w:t xml:space="preserve">[preencher]</w:t>
      </w:r>
    </w:p>
    <w:p>
      <w:pPr>
        <w:spacing w:after="160"/>
      </w:pPr>
      <w:r>
        <w:rPr>
          <w:sz w:val="20"/>
          <w:szCs w:val="20"/>
        </w:rPr>
        <w:t xml:space="preserve">Uma eventual matriz de severidade técnica orienta a mobilização de recursos e a prioridade operacional — ela não decide, por si só, a obrigação de comunicação à ANPD, que depende da avaliação fundamentada de risco aos titulares (seção 4 e Instrumento 2).</w:t>
      </w:r>
    </w:p>
    <w:p>
      <w:pPr>
        <w:pStyle w:val="Heading2"/>
        <w:spacing w:after="120" w:before="240"/>
      </w:pPr>
      <w:r>
        <w:t xml:space="preserve">2.2 Autoridades de decisão e escalonamento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000"/>
        <w:gridCol w:w="3600"/>
      </w:tblGrid>
      <w:tr>
        <w:trPr>
          <w:tblHeader/>
        </w:trPr>
        <w:tc>
          <w:tcPr>
            <w:tcW w:type="dxa" w:w="2400"/>
            <w:shd w:fill="1F3864" w:val="clear"/>
            <w:tcMar>
              <w:top w:type="dxa" w:w="80"/>
              <w:left w:type="dxa" w:w="100"/>
              <w:bottom w:type="dxa" w:w="80"/>
              <w:right w:type="dxa" w:w="100"/>
            </w:tcMar>
            <w:vAlign w:val="center"/>
          </w:tcPr>
          <w:p>
            <w:r>
              <w:rPr>
                <w:b/>
                <w:bCs/>
                <w:color w:val="FFFFFF"/>
                <w:sz w:val="18"/>
                <w:szCs w:val="18"/>
              </w:rPr>
              <w:t xml:space="preserve">Nível de severidade técnica</w:t>
            </w:r>
          </w:p>
        </w:tc>
        <w:tc>
          <w:tcPr>
            <w:tcW w:type="dxa" w:w="3000"/>
            <w:shd w:fill="1F3864" w:val="clear"/>
            <w:tcMar>
              <w:top w:type="dxa" w:w="80"/>
              <w:left w:type="dxa" w:w="100"/>
              <w:bottom w:type="dxa" w:w="80"/>
              <w:right w:type="dxa" w:w="100"/>
            </w:tcMar>
            <w:vAlign w:val="center"/>
          </w:tcPr>
          <w:p>
            <w:r>
              <w:rPr>
                <w:b/>
                <w:bCs/>
                <w:color w:val="FFFFFF"/>
                <w:sz w:val="18"/>
                <w:szCs w:val="18"/>
              </w:rPr>
              <w:t xml:space="preserve">Autoridade de decisão</w:t>
            </w:r>
          </w:p>
        </w:tc>
        <w:tc>
          <w:tcPr>
            <w:tcW w:type="dxa" w:w="3600"/>
            <w:shd w:fill="1F3864" w:val="clear"/>
            <w:tcMar>
              <w:top w:type="dxa" w:w="80"/>
              <w:left w:type="dxa" w:w="100"/>
              <w:bottom w:type="dxa" w:w="80"/>
              <w:right w:type="dxa" w:w="100"/>
            </w:tcMar>
            <w:vAlign w:val="center"/>
          </w:tcPr>
          <w:p>
            <w:r>
              <w:rPr>
                <w:b/>
                <w:bCs/>
                <w:color w:val="FFFFFF"/>
                <w:sz w:val="18"/>
                <w:szCs w:val="18"/>
              </w:rPr>
              <w:t xml:space="preserve">Participação obrigatória</w:t>
            </w:r>
          </w:p>
        </w:tc>
      </w:tr>
      <w:tr>
        <w:tc>
          <w:tcPr>
            <w:tcW w:type="dxa" w:w="2400"/>
            <w:tcMar>
              <w:top w:type="dxa" w:w="80"/>
              <w:left w:type="dxa" w:w="100"/>
              <w:bottom w:type="dxa" w:w="80"/>
              <w:right w:type="dxa" w:w="100"/>
            </w:tcMar>
            <w:vAlign w:val="center"/>
          </w:tcPr>
          <w:p>
            <w:r>
              <w:rPr>
                <w:b w:val="false"/>
                <w:bCs w:val="false"/>
                <w:color w:val="000000"/>
                <w:sz w:val="18"/>
                <w:szCs w:val="18"/>
              </w:rPr>
              <w:t xml:space="preserve">[preencher: ex.: Baixa]</w:t>
            </w:r>
          </w:p>
        </w:tc>
        <w:tc>
          <w:tcPr>
            <w:tcW w:type="dxa" w:w="3000"/>
            <w:tcMar>
              <w:top w:type="dxa" w:w="80"/>
              <w:left w:type="dxa" w:w="100"/>
              <w:bottom w:type="dxa" w:w="80"/>
              <w:right w:type="dxa" w:w="100"/>
            </w:tcMar>
            <w:vAlign w:val="center"/>
          </w:tcPr>
          <w:p>
            <w:r>
              <w:rPr>
                <w:b w:val="false"/>
                <w:bCs w:val="false"/>
                <w:color w:val="000000"/>
                <w:sz w:val="18"/>
                <w:szCs w:val="18"/>
              </w:rPr>
              <w:t xml:space="preserve">Líder de Resposta a Incidentes</w:t>
            </w:r>
          </w:p>
        </w:tc>
        <w:tc>
          <w:tcPr>
            <w:tcW w:type="dxa" w:w="3600"/>
            <w:tcMar>
              <w:top w:type="dxa" w:w="80"/>
              <w:left w:type="dxa" w:w="100"/>
              <w:bottom w:type="dxa" w:w="80"/>
              <w:right w:type="dxa" w:w="100"/>
            </w:tcMar>
            <w:vAlign w:val="center"/>
          </w:tcPr>
          <w:p>
            <w:r>
              <w:rPr>
                <w:b w:val="false"/>
                <w:bCs w:val="false"/>
                <w:color w:val="000000"/>
                <w:sz w:val="18"/>
                <w:szCs w:val="18"/>
              </w:rPr>
              <w:t xml:space="preserve">Segurança, TI</w:t>
            </w:r>
          </w:p>
        </w:tc>
      </w:tr>
      <w:tr>
        <w:tc>
          <w:tcPr>
            <w:tcW w:type="dxa" w:w="2400"/>
            <w:tcMar>
              <w:top w:type="dxa" w:w="80"/>
              <w:left w:type="dxa" w:w="100"/>
              <w:bottom w:type="dxa" w:w="80"/>
              <w:right w:type="dxa" w:w="100"/>
            </w:tcMar>
            <w:vAlign w:val="center"/>
          </w:tcPr>
          <w:p>
            <w:r>
              <w:rPr>
                <w:b w:val="false"/>
                <w:bCs w:val="false"/>
                <w:color w:val="000000"/>
                <w:sz w:val="18"/>
                <w:szCs w:val="18"/>
              </w:rPr>
              <w:t xml:space="preserve">[preencher: ex.: Média]</w:t>
            </w:r>
          </w:p>
        </w:tc>
        <w:tc>
          <w:tcPr>
            <w:tcW w:type="dxa" w:w="3000"/>
            <w:tcMar>
              <w:top w:type="dxa" w:w="80"/>
              <w:left w:type="dxa" w:w="100"/>
              <w:bottom w:type="dxa" w:w="80"/>
              <w:right w:type="dxa" w:w="100"/>
            </w:tcMar>
            <w:vAlign w:val="center"/>
          </w:tcPr>
          <w:p>
            <w:r>
              <w:rPr>
                <w:b w:val="false"/>
                <w:bCs w:val="false"/>
                <w:color w:val="000000"/>
                <w:sz w:val="18"/>
                <w:szCs w:val="18"/>
              </w:rPr>
              <w:t xml:space="preserve">Líder de Resposta a Incidentes</w:t>
            </w:r>
          </w:p>
        </w:tc>
        <w:tc>
          <w:tcPr>
            <w:tcW w:type="dxa" w:w="3600"/>
            <w:tcMar>
              <w:top w:type="dxa" w:w="80"/>
              <w:left w:type="dxa" w:w="100"/>
              <w:bottom w:type="dxa" w:w="80"/>
              <w:right w:type="dxa" w:w="100"/>
            </w:tcMar>
            <w:vAlign w:val="center"/>
          </w:tcPr>
          <w:p>
            <w:r>
              <w:rPr>
                <w:b w:val="false"/>
                <w:bCs w:val="false"/>
                <w:color w:val="000000"/>
                <w:sz w:val="18"/>
                <w:szCs w:val="18"/>
              </w:rPr>
              <w:t xml:space="preserve">+ Encarregado (avaliação preliminar de dados pessoais)</w:t>
            </w:r>
          </w:p>
        </w:tc>
      </w:tr>
      <w:tr>
        <w:tc>
          <w:tcPr>
            <w:tcW w:type="dxa" w:w="2400"/>
            <w:tcMar>
              <w:top w:type="dxa" w:w="80"/>
              <w:left w:type="dxa" w:w="100"/>
              <w:bottom w:type="dxa" w:w="80"/>
              <w:right w:type="dxa" w:w="100"/>
            </w:tcMar>
            <w:vAlign w:val="center"/>
          </w:tcPr>
          <w:p>
            <w:r>
              <w:rPr>
                <w:b w:val="false"/>
                <w:bCs w:val="false"/>
                <w:color w:val="000000"/>
                <w:sz w:val="18"/>
                <w:szCs w:val="18"/>
              </w:rPr>
              <w:t xml:space="preserve">[preencher: ex.: Alta]</w:t>
            </w:r>
          </w:p>
        </w:tc>
        <w:tc>
          <w:tcPr>
            <w:tcW w:type="dxa" w:w="3000"/>
            <w:tcMar>
              <w:top w:type="dxa" w:w="80"/>
              <w:left w:type="dxa" w:w="100"/>
              <w:bottom w:type="dxa" w:w="80"/>
              <w:right w:type="dxa" w:w="100"/>
            </w:tcMar>
            <w:vAlign w:val="center"/>
          </w:tcPr>
          <w:p>
            <w:r>
              <w:rPr>
                <w:b w:val="false"/>
                <w:bCs w:val="false"/>
                <w:color w:val="000000"/>
                <w:sz w:val="18"/>
                <w:szCs w:val="18"/>
              </w:rPr>
              <w:t xml:space="preserve">Líder de Resposta + Direção (ciência)</w:t>
            </w:r>
          </w:p>
        </w:tc>
        <w:tc>
          <w:tcPr>
            <w:tcW w:type="dxa" w:w="3600"/>
            <w:tcMar>
              <w:top w:type="dxa" w:w="80"/>
              <w:left w:type="dxa" w:w="100"/>
              <w:bottom w:type="dxa" w:w="80"/>
              <w:right w:type="dxa" w:w="100"/>
            </w:tcMar>
            <w:vAlign w:val="center"/>
          </w:tcPr>
          <w:p>
            <w:r>
              <w:rPr>
                <w:b w:val="false"/>
                <w:bCs w:val="false"/>
                <w:color w:val="000000"/>
                <w:sz w:val="18"/>
                <w:szCs w:val="18"/>
              </w:rPr>
              <w:t xml:space="preserve">+ Jurídico, Comunicação</w:t>
            </w:r>
          </w:p>
        </w:tc>
      </w:tr>
      <w:tr>
        <w:tc>
          <w:tcPr>
            <w:tcW w:type="dxa" w:w="2400"/>
            <w:tcMar>
              <w:top w:type="dxa" w:w="80"/>
              <w:left w:type="dxa" w:w="100"/>
              <w:bottom w:type="dxa" w:w="80"/>
              <w:right w:type="dxa" w:w="100"/>
            </w:tcMar>
            <w:vAlign w:val="center"/>
          </w:tcPr>
          <w:p>
            <w:r>
              <w:rPr>
                <w:b w:val="false"/>
                <w:bCs w:val="false"/>
                <w:color w:val="000000"/>
                <w:sz w:val="18"/>
                <w:szCs w:val="18"/>
              </w:rPr>
              <w:t xml:space="preserve">[preencher: ex.: Crítica]</w:t>
            </w:r>
          </w:p>
        </w:tc>
        <w:tc>
          <w:tcPr>
            <w:tcW w:type="dxa" w:w="3000"/>
            <w:tcMar>
              <w:top w:type="dxa" w:w="80"/>
              <w:left w:type="dxa" w:w="100"/>
              <w:bottom w:type="dxa" w:w="80"/>
              <w:right w:type="dxa" w:w="100"/>
            </w:tcMar>
            <w:vAlign w:val="center"/>
          </w:tcPr>
          <w:p>
            <w:r>
              <w:rPr>
                <w:b w:val="false"/>
                <w:bCs w:val="false"/>
                <w:color w:val="000000"/>
                <w:sz w:val="18"/>
                <w:szCs w:val="18"/>
              </w:rPr>
              <w:t xml:space="preserve">Direção</w:t>
            </w:r>
          </w:p>
        </w:tc>
        <w:tc>
          <w:tcPr>
            <w:tcW w:type="dxa" w:w="3600"/>
            <w:tcMar>
              <w:top w:type="dxa" w:w="80"/>
              <w:left w:type="dxa" w:w="100"/>
              <w:bottom w:type="dxa" w:w="80"/>
              <w:right w:type="dxa" w:w="100"/>
            </w:tcMar>
            <w:vAlign w:val="center"/>
          </w:tcPr>
          <w:p>
            <w:r>
              <w:rPr>
                <w:b w:val="false"/>
                <w:bCs w:val="false"/>
                <w:color w:val="000000"/>
                <w:sz w:val="18"/>
                <w:szCs w:val="18"/>
              </w:rPr>
              <w:t xml:space="preserve">+ Continuidade, Jurídico, Encarregado, Comunicação</w:t>
            </w:r>
          </w:p>
        </w:tc>
      </w:tr>
    </w:tbl>
    <w:p>
      <w:pPr>
        <w:pStyle w:val="Heading2"/>
        <w:spacing w:after="120" w:before="240"/>
      </w:pPr>
      <w:r>
        <w:t xml:space="preserve">2.3 Critérios de participação de áreas específicas</w:t>
      </w:r>
    </w:p>
    <w:p>
      <w:pPr>
        <w:pStyle w:val="ListParagraph"/>
        <w:numPr>
          <w:ilvl w:val="0"/>
          <w:numId w:val="1"/>
        </w:numPr>
        <w:spacing w:after="100"/>
      </w:pPr>
      <w:r>
        <w:rPr>
          <w:sz w:val="20"/>
          <w:szCs w:val="20"/>
        </w:rPr>
        <w:t xml:space="preserve">Negócio: sempre que o incidente afetar dados ou processos sob responsabilidade da área, ou clientes diretamente atendidos por ela.</w:t>
      </w:r>
    </w:p>
    <w:p>
      <w:pPr>
        <w:pStyle w:val="ListParagraph"/>
        <w:numPr>
          <w:ilvl w:val="0"/>
          <w:numId w:val="1"/>
        </w:numPr>
        <w:spacing w:after="100"/>
      </w:pPr>
      <w:r>
        <w:rPr>
          <w:sz w:val="20"/>
          <w:szCs w:val="20"/>
        </w:rPr>
        <w:t xml:space="preserve">Continuidade de Negócio: sempre que houver indisponibilidade de sistema ou serviço crítico, ou risco de indisponibilidade decorrente da contenção.</w:t>
      </w:r>
    </w:p>
    <w:p>
      <w:pPr>
        <w:pStyle w:val="ListParagraph"/>
        <w:numPr>
          <w:ilvl w:val="0"/>
          <w:numId w:val="1"/>
        </w:numPr>
        <w:spacing w:after="100"/>
      </w:pPr>
      <w:r>
        <w:rPr>
          <w:sz w:val="20"/>
          <w:szCs w:val="20"/>
        </w:rPr>
        <w:t xml:space="preserve">Jurídico e Encarregado: sempre que houver indício de envolvimento de dados pessoais — mesmo antes da confirmação completa.</w:t>
      </w:r>
    </w:p>
    <w:p>
      <w:pPr>
        <w:pStyle w:val="ListParagraph"/>
        <w:numPr>
          <w:ilvl w:val="0"/>
          <w:numId w:val="1"/>
        </w:numPr>
        <w:spacing w:after="100"/>
      </w:pPr>
      <w:r>
        <w:rPr>
          <w:sz w:val="20"/>
          <w:szCs w:val="20"/>
        </w:rPr>
        <w:t xml:space="preserve">Comunicação: sempre que houver risco de repercussão externa, contratual ou regulatória.</w:t>
      </w:r>
    </w:p>
    <w:p>
      <w:pPr>
        <w:pStyle w:val="Heading2"/>
        <w:spacing w:after="120" w:before="240"/>
      </w:pPr>
      <w:r>
        <w:t xml:space="preserve">2.4 Distinção entre classificação técnica e avaliação regulatória</w:t>
      </w:r>
    </w:p>
    <w:p>
      <w:pPr>
        <w:spacing w:after="160"/>
      </w:pPr>
      <w:r>
        <w:rPr>
          <w:sz w:val="20"/>
          <w:szCs w:val="20"/>
        </w:rPr>
        <w:t xml:space="preserve">A classificação técnica de severidade e a avaliação regulatória do risco aos titulares são registradas em instrumentos distintos (Instrumento 1 e Instrumento 2) e podem evoluir de forma independente. Nenhuma das duas decide a outra automaticamente.</w:t>
      </w:r>
    </w:p>
    <w:p>
      <w:pPr>
        <w:pStyle w:val="Heading1"/>
        <w:spacing w:after="160" w:before="360"/>
      </w:pPr>
      <w:r>
        <w:t xml:space="preserve">3. Execução segundo o DAIR</w:t>
      </w:r>
    </w:p>
    <w:p>
      <w:pPr>
        <w:spacing w:after="160"/>
      </w:pPr>
      <w:r>
        <w:rPr>
          <w:sz w:val="20"/>
          <w:szCs w:val="20"/>
        </w:rPr>
        <w:t xml:space="preserve">A execução técnica segue o DAIR como abordagem dinâmica e iterativa, sem sequência rígida — com reentradas no Loop de Ações de Resposta sempre que surgirem evidências novas, falhas de contenção, persistência do agente de ameaça, mudança de escopo ou de prioridade. Os procedimentos técnicos detalhados constam do Playbook DAIR; aqui, cada waypoint tem objetivo, gatilhos, responsável, decisões, registro e evidência esperada.</w:t>
      </w:r>
    </w:p>
    <w:p>
      <w:pPr>
        <w:spacing w:after="80" w:before="200"/>
      </w:pPr>
      <w:r>
        <w:rPr>
          <w:b/>
          <w:bCs/>
          <w:color w:val="2E5395"/>
          <w:sz w:val="22"/>
          <w:szCs w:val="22"/>
        </w:rPr>
        <w:t xml:space="preserve">Prepare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00"/>
      </w:tblGrid>
      <w:tr>
        <w:tc>
          <w:tcPr>
            <w:tcW w:type="dxa" w:w="2600"/>
            <w:shd w:fill="1F3864" w:val="clear"/>
            <w:tcMar>
              <w:top w:type="dxa" w:w="80"/>
              <w:left w:type="dxa" w:w="100"/>
              <w:bottom w:type="dxa" w:w="80"/>
              <w:right w:type="dxa" w:w="100"/>
            </w:tcMar>
            <w:vAlign w:val="center"/>
          </w:tcPr>
          <w:p>
            <w:r>
              <w:rPr>
                <w:b/>
                <w:bCs/>
                <w:color w:val="FFFFFF"/>
                <w:sz w:val="18"/>
                <w:szCs w:val="18"/>
              </w:rPr>
              <w:t xml:space="preserve">Objetivo</w:t>
            </w:r>
          </w:p>
        </w:tc>
        <w:tc>
          <w:tcPr>
            <w:tcW w:type="dxa" w:w="6400"/>
            <w:tcMar>
              <w:top w:type="dxa" w:w="80"/>
              <w:left w:type="dxa" w:w="100"/>
              <w:bottom w:type="dxa" w:w="80"/>
              <w:right w:type="dxa" w:w="100"/>
            </w:tcMar>
            <w:vAlign w:val="center"/>
          </w:tcPr>
          <w:p>
            <w:r>
              <w:rPr>
                <w:b w:val="false"/>
                <w:bCs w:val="false"/>
                <w:color w:val="000000"/>
                <w:sz w:val="18"/>
                <w:szCs w:val="18"/>
              </w:rPr>
              <w:t xml:space="preserve">Estabelecer capacidade de resposta</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Gatilhos típicos</w:t>
            </w:r>
          </w:p>
        </w:tc>
        <w:tc>
          <w:tcPr>
            <w:tcW w:type="dxa" w:w="6400"/>
            <w:tcMar>
              <w:top w:type="dxa" w:w="80"/>
              <w:left w:type="dxa" w:w="100"/>
              <w:bottom w:type="dxa" w:w="80"/>
              <w:right w:type="dxa" w:w="100"/>
            </w:tcMar>
            <w:vAlign w:val="center"/>
          </w:tcPr>
          <w:p>
            <w:r>
              <w:rPr>
                <w:b w:val="false"/>
                <w:bCs w:val="false"/>
                <w:color w:val="000000"/>
                <w:sz w:val="18"/>
                <w:szCs w:val="18"/>
              </w:rPr>
              <w:t xml:space="preserve">Contínuo (não é reativo a um incidente específico)</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Responsável</w:t>
            </w:r>
          </w:p>
        </w:tc>
        <w:tc>
          <w:tcPr>
            <w:tcW w:type="dxa" w:w="6400"/>
            <w:tcMar>
              <w:top w:type="dxa" w:w="80"/>
              <w:left w:type="dxa" w:w="100"/>
              <w:bottom w:type="dxa" w:w="80"/>
              <w:right w:type="dxa" w:w="100"/>
            </w:tcMar>
            <w:vAlign w:val="center"/>
          </w:tcPr>
          <w:p>
            <w:r>
              <w:rPr>
                <w:b w:val="false"/>
                <w:bCs w:val="false"/>
                <w:color w:val="000000"/>
                <w:sz w:val="18"/>
                <w:szCs w:val="18"/>
              </w:rPr>
              <w:t xml:space="preserve">Líder de Resposta / Segurança</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Decisões</w:t>
            </w:r>
          </w:p>
        </w:tc>
        <w:tc>
          <w:tcPr>
            <w:tcW w:type="dxa" w:w="6400"/>
            <w:tcMar>
              <w:top w:type="dxa" w:w="80"/>
              <w:left w:type="dxa" w:w="100"/>
              <w:bottom w:type="dxa" w:w="80"/>
              <w:right w:type="dxa" w:w="100"/>
            </w:tcMar>
            <w:vAlign w:val="center"/>
          </w:tcPr>
          <w:p>
            <w:r>
              <w:rPr>
                <w:b w:val="false"/>
                <w:bCs w:val="false"/>
                <w:color w:val="000000"/>
                <w:sz w:val="18"/>
                <w:szCs w:val="18"/>
              </w:rPr>
              <w:t xml:space="preserve">Designação de papéis, inventário de capacidades</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Registro</w:t>
            </w:r>
          </w:p>
        </w:tc>
        <w:tc>
          <w:tcPr>
            <w:tcW w:type="dxa" w:w="6400"/>
            <w:tcMar>
              <w:top w:type="dxa" w:w="80"/>
              <w:left w:type="dxa" w:w="100"/>
              <w:bottom w:type="dxa" w:w="80"/>
              <w:right w:type="dxa" w:w="100"/>
            </w:tcMar>
            <w:vAlign w:val="center"/>
          </w:tcPr>
          <w:p>
            <w:r>
              <w:rPr>
                <w:b w:val="false"/>
                <w:bCs w:val="false"/>
                <w:color w:val="000000"/>
                <w:sz w:val="18"/>
                <w:szCs w:val="18"/>
              </w:rPr>
              <w:t xml:space="preserve">Instrumento 3 (checklist)</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Evidência esperada</w:t>
            </w:r>
          </w:p>
        </w:tc>
        <w:tc>
          <w:tcPr>
            <w:tcW w:type="dxa" w:w="6400"/>
            <w:tcMar>
              <w:top w:type="dxa" w:w="80"/>
              <w:left w:type="dxa" w:w="100"/>
              <w:bottom w:type="dxa" w:w="80"/>
              <w:right w:type="dxa" w:w="100"/>
            </w:tcMar>
            <w:vAlign w:val="center"/>
          </w:tcPr>
          <w:p>
            <w:r>
              <w:rPr>
                <w:b w:val="false"/>
                <w:bCs w:val="false"/>
                <w:color w:val="000000"/>
                <w:sz w:val="18"/>
                <w:szCs w:val="18"/>
              </w:rPr>
              <w:t xml:space="preserve">Lista de papéis, canais e ferramentas validada</w:t>
            </w:r>
          </w:p>
        </w:tc>
      </w:tr>
    </w:tbl>
    <w:p>
      <w:pPr>
        <w:spacing w:after="80" w:before="200"/>
      </w:pPr>
      <w:r>
        <w:rPr>
          <w:b/>
          <w:bCs/>
          <w:color w:val="2E5395"/>
          <w:sz w:val="22"/>
          <w:szCs w:val="22"/>
        </w:rPr>
        <w:t xml:space="preserve">Detect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00"/>
      </w:tblGrid>
      <w:tr>
        <w:tc>
          <w:tcPr>
            <w:tcW w:type="dxa" w:w="2600"/>
            <w:shd w:fill="1F3864" w:val="clear"/>
            <w:tcMar>
              <w:top w:type="dxa" w:w="80"/>
              <w:left w:type="dxa" w:w="100"/>
              <w:bottom w:type="dxa" w:w="80"/>
              <w:right w:type="dxa" w:w="100"/>
            </w:tcMar>
            <w:vAlign w:val="center"/>
          </w:tcPr>
          <w:p>
            <w:r>
              <w:rPr>
                <w:b/>
                <w:bCs/>
                <w:color w:val="FFFFFF"/>
                <w:sz w:val="18"/>
                <w:szCs w:val="18"/>
              </w:rPr>
              <w:t xml:space="preserve">Objetivo</w:t>
            </w:r>
          </w:p>
        </w:tc>
        <w:tc>
          <w:tcPr>
            <w:tcW w:type="dxa" w:w="6400"/>
            <w:tcMar>
              <w:top w:type="dxa" w:w="80"/>
              <w:left w:type="dxa" w:w="100"/>
              <w:bottom w:type="dxa" w:w="80"/>
              <w:right w:type="dxa" w:w="100"/>
            </w:tcMar>
            <w:vAlign w:val="center"/>
          </w:tcPr>
          <w:p>
            <w:r>
              <w:rPr>
                <w:b w:val="false"/>
                <w:bCs w:val="false"/>
                <w:color w:val="000000"/>
                <w:sz w:val="18"/>
                <w:szCs w:val="18"/>
              </w:rPr>
              <w:t xml:space="preserve">Identificar evento com indícios de incidente</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Gatilhos típicos</w:t>
            </w:r>
          </w:p>
        </w:tc>
        <w:tc>
          <w:tcPr>
            <w:tcW w:type="dxa" w:w="6400"/>
            <w:tcMar>
              <w:top w:type="dxa" w:w="80"/>
              <w:left w:type="dxa" w:w="100"/>
              <w:bottom w:type="dxa" w:w="80"/>
              <w:right w:type="dxa" w:w="100"/>
            </w:tcMar>
            <w:vAlign w:val="center"/>
          </w:tcPr>
          <w:p>
            <w:r>
              <w:rPr>
                <w:b w:val="false"/>
                <w:bCs w:val="false"/>
                <w:color w:val="000000"/>
                <w:sz w:val="18"/>
                <w:szCs w:val="18"/>
              </w:rPr>
              <w:t xml:space="preserve">Alerta de monitoramento, relato humano, notificação de terceiro/operador</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Responsável</w:t>
            </w:r>
          </w:p>
        </w:tc>
        <w:tc>
          <w:tcPr>
            <w:tcW w:type="dxa" w:w="6400"/>
            <w:tcMar>
              <w:top w:type="dxa" w:w="80"/>
              <w:left w:type="dxa" w:w="100"/>
              <w:bottom w:type="dxa" w:w="80"/>
              <w:right w:type="dxa" w:w="100"/>
            </w:tcMar>
            <w:vAlign w:val="center"/>
          </w:tcPr>
          <w:p>
            <w:r>
              <w:rPr>
                <w:b w:val="false"/>
                <w:bCs w:val="false"/>
                <w:color w:val="000000"/>
                <w:sz w:val="18"/>
                <w:szCs w:val="18"/>
              </w:rPr>
              <w:t xml:space="preserve">Segurança / TI / qualquer colaborador</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Decisões</w:t>
            </w:r>
          </w:p>
        </w:tc>
        <w:tc>
          <w:tcPr>
            <w:tcW w:type="dxa" w:w="6400"/>
            <w:tcMar>
              <w:top w:type="dxa" w:w="80"/>
              <w:left w:type="dxa" w:w="100"/>
              <w:bottom w:type="dxa" w:w="80"/>
              <w:right w:type="dxa" w:w="100"/>
            </w:tcMar>
            <w:vAlign w:val="center"/>
          </w:tcPr>
          <w:p>
            <w:r>
              <w:rPr>
                <w:b w:val="false"/>
                <w:bCs w:val="false"/>
                <w:color w:val="000000"/>
                <w:sz w:val="18"/>
                <w:szCs w:val="18"/>
              </w:rPr>
              <w:t xml:space="preserve">Abrir registro; decidir se há indício suficiente para triagem</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Registro</w:t>
            </w:r>
          </w:p>
        </w:tc>
        <w:tc>
          <w:tcPr>
            <w:tcW w:type="dxa" w:w="6400"/>
            <w:tcMar>
              <w:top w:type="dxa" w:w="80"/>
              <w:left w:type="dxa" w:w="100"/>
              <w:bottom w:type="dxa" w:w="80"/>
              <w:right w:type="dxa" w:w="100"/>
            </w:tcMar>
            <w:vAlign w:val="center"/>
          </w:tcPr>
          <w:p>
            <w:r>
              <w:rPr>
                <w:b w:val="false"/>
                <w:bCs w:val="false"/>
                <w:color w:val="000000"/>
                <w:sz w:val="18"/>
                <w:szCs w:val="18"/>
              </w:rPr>
              <w:t xml:space="preserve">Instrumento 1 (evento)</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Evidência esperada</w:t>
            </w:r>
          </w:p>
        </w:tc>
        <w:tc>
          <w:tcPr>
            <w:tcW w:type="dxa" w:w="6400"/>
            <w:tcMar>
              <w:top w:type="dxa" w:w="80"/>
              <w:left w:type="dxa" w:w="100"/>
              <w:bottom w:type="dxa" w:w="80"/>
              <w:right w:type="dxa" w:w="100"/>
            </w:tcMar>
            <w:vAlign w:val="center"/>
          </w:tcPr>
          <w:p>
            <w:r>
              <w:rPr>
                <w:b w:val="false"/>
                <w:bCs w:val="false"/>
                <w:color w:val="000000"/>
                <w:sz w:val="18"/>
                <w:szCs w:val="18"/>
              </w:rPr>
              <w:t xml:space="preserve">Alerta bruto preservado, com data/hora e fonte</w:t>
            </w:r>
          </w:p>
        </w:tc>
      </w:tr>
    </w:tbl>
    <w:p>
      <w:pPr>
        <w:spacing w:after="80" w:before="200"/>
      </w:pPr>
      <w:r>
        <w:rPr>
          <w:b/>
          <w:bCs/>
          <w:color w:val="2E5395"/>
          <w:sz w:val="22"/>
          <w:szCs w:val="22"/>
        </w:rPr>
        <w:t xml:space="preserve">Verify &amp; Triage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00"/>
      </w:tblGrid>
      <w:tr>
        <w:tc>
          <w:tcPr>
            <w:tcW w:type="dxa" w:w="2600"/>
            <w:shd w:fill="1F3864" w:val="clear"/>
            <w:tcMar>
              <w:top w:type="dxa" w:w="80"/>
              <w:left w:type="dxa" w:w="100"/>
              <w:bottom w:type="dxa" w:w="80"/>
              <w:right w:type="dxa" w:w="100"/>
            </w:tcMar>
            <w:vAlign w:val="center"/>
          </w:tcPr>
          <w:p>
            <w:r>
              <w:rPr>
                <w:b/>
                <w:bCs/>
                <w:color w:val="FFFFFF"/>
                <w:sz w:val="18"/>
                <w:szCs w:val="18"/>
              </w:rPr>
              <w:t xml:space="preserve">Objetivo</w:t>
            </w:r>
          </w:p>
        </w:tc>
        <w:tc>
          <w:tcPr>
            <w:tcW w:type="dxa" w:w="6400"/>
            <w:tcMar>
              <w:top w:type="dxa" w:w="80"/>
              <w:left w:type="dxa" w:w="100"/>
              <w:bottom w:type="dxa" w:w="80"/>
              <w:right w:type="dxa" w:w="100"/>
            </w:tcMar>
            <w:vAlign w:val="center"/>
          </w:tcPr>
          <w:p>
            <w:r>
              <w:rPr>
                <w:b w:val="false"/>
                <w:bCs w:val="false"/>
                <w:color w:val="000000"/>
                <w:sz w:val="18"/>
                <w:szCs w:val="18"/>
              </w:rPr>
              <w:t xml:space="preserve">Confirmar natureza, extensão inicial e se há dados pessoais envolvidos</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Gatilhos típicos</w:t>
            </w:r>
          </w:p>
        </w:tc>
        <w:tc>
          <w:tcPr>
            <w:tcW w:type="dxa" w:w="6400"/>
            <w:tcMar>
              <w:top w:type="dxa" w:w="80"/>
              <w:left w:type="dxa" w:w="100"/>
              <w:bottom w:type="dxa" w:w="80"/>
              <w:right w:type="dxa" w:w="100"/>
            </w:tcMar>
            <w:vAlign w:val="center"/>
          </w:tcPr>
          <w:p>
            <w:r>
              <w:rPr>
                <w:b w:val="false"/>
                <w:bCs w:val="false"/>
                <w:color w:val="000000"/>
                <w:sz w:val="18"/>
                <w:szCs w:val="18"/>
              </w:rPr>
              <w:t xml:space="preserve">Evidência inicial do Detect</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Responsável</w:t>
            </w:r>
          </w:p>
        </w:tc>
        <w:tc>
          <w:tcPr>
            <w:tcW w:type="dxa" w:w="6400"/>
            <w:tcMar>
              <w:top w:type="dxa" w:w="80"/>
              <w:left w:type="dxa" w:w="100"/>
              <w:bottom w:type="dxa" w:w="80"/>
              <w:right w:type="dxa" w:w="100"/>
            </w:tcMar>
            <w:vAlign w:val="center"/>
          </w:tcPr>
          <w:p>
            <w:r>
              <w:rPr>
                <w:b w:val="false"/>
                <w:bCs w:val="false"/>
                <w:color w:val="000000"/>
                <w:sz w:val="18"/>
                <w:szCs w:val="18"/>
              </w:rPr>
              <w:t xml:space="preserve">Líder de Resposta + Segurança + Encarregado</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Decisões</w:t>
            </w:r>
          </w:p>
        </w:tc>
        <w:tc>
          <w:tcPr>
            <w:tcW w:type="dxa" w:w="6400"/>
            <w:tcMar>
              <w:top w:type="dxa" w:w="80"/>
              <w:left w:type="dxa" w:w="100"/>
              <w:bottom w:type="dxa" w:w="80"/>
              <w:right w:type="dxa" w:w="100"/>
            </w:tcMar>
            <w:vAlign w:val="center"/>
          </w:tcPr>
          <w:p>
            <w:r>
              <w:rPr>
                <w:b w:val="false"/>
                <w:bCs w:val="false"/>
                <w:color w:val="000000"/>
                <w:sz w:val="18"/>
                <w:szCs w:val="18"/>
              </w:rPr>
              <w:t xml:space="preserve">Declarar incidente; fixar marco de conhecimento; classificação inicial</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Registro</w:t>
            </w:r>
          </w:p>
        </w:tc>
        <w:tc>
          <w:tcPr>
            <w:tcW w:type="dxa" w:w="6400"/>
            <w:tcMar>
              <w:top w:type="dxa" w:w="80"/>
              <w:left w:type="dxa" w:w="100"/>
              <w:bottom w:type="dxa" w:w="80"/>
              <w:right w:type="dxa" w:w="100"/>
            </w:tcMar>
            <w:vAlign w:val="center"/>
          </w:tcPr>
          <w:p>
            <w:r>
              <w:rPr>
                <w:b w:val="false"/>
                <w:bCs w:val="false"/>
                <w:color w:val="000000"/>
                <w:sz w:val="18"/>
                <w:szCs w:val="18"/>
              </w:rPr>
              <w:t xml:space="preserve">Instrumento 1 (decisão), Instrumento 2 (abertura, se dados pessoais)</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Evidência esperada</w:t>
            </w:r>
          </w:p>
        </w:tc>
        <w:tc>
          <w:tcPr>
            <w:tcW w:type="dxa" w:w="6400"/>
            <w:tcMar>
              <w:top w:type="dxa" w:w="80"/>
              <w:left w:type="dxa" w:w="100"/>
              <w:bottom w:type="dxa" w:w="80"/>
              <w:right w:type="dxa" w:w="100"/>
            </w:tcMar>
            <w:vAlign w:val="center"/>
          </w:tcPr>
          <w:p>
            <w:r>
              <w:rPr>
                <w:b w:val="false"/>
                <w:bCs w:val="false"/>
                <w:color w:val="000000"/>
                <w:sz w:val="18"/>
                <w:szCs w:val="18"/>
              </w:rPr>
              <w:t xml:space="preserve">Evidência de confirmação, marco de conhecimento fundamentado</w:t>
            </w:r>
          </w:p>
        </w:tc>
      </w:tr>
    </w:tbl>
    <w:p>
      <w:pPr>
        <w:spacing w:after="80" w:before="200"/>
      </w:pPr>
      <w:r>
        <w:rPr>
          <w:b/>
          <w:bCs/>
          <w:color w:val="2E5395"/>
          <w:sz w:val="22"/>
          <w:szCs w:val="22"/>
        </w:rPr>
        <w:t xml:space="preserve">Scope (loop)</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00"/>
      </w:tblGrid>
      <w:tr>
        <w:tc>
          <w:tcPr>
            <w:tcW w:type="dxa" w:w="2600"/>
            <w:shd w:fill="1F3864" w:val="clear"/>
            <w:tcMar>
              <w:top w:type="dxa" w:w="80"/>
              <w:left w:type="dxa" w:w="100"/>
              <w:bottom w:type="dxa" w:w="80"/>
              <w:right w:type="dxa" w:w="100"/>
            </w:tcMar>
            <w:vAlign w:val="center"/>
          </w:tcPr>
          <w:p>
            <w:r>
              <w:rPr>
                <w:b/>
                <w:bCs/>
                <w:color w:val="FFFFFF"/>
                <w:sz w:val="18"/>
                <w:szCs w:val="18"/>
              </w:rPr>
              <w:t xml:space="preserve">Objetivo</w:t>
            </w:r>
          </w:p>
        </w:tc>
        <w:tc>
          <w:tcPr>
            <w:tcW w:type="dxa" w:w="6400"/>
            <w:tcMar>
              <w:top w:type="dxa" w:w="80"/>
              <w:left w:type="dxa" w:w="100"/>
              <w:bottom w:type="dxa" w:w="80"/>
              <w:right w:type="dxa" w:w="100"/>
            </w:tcMar>
            <w:vAlign w:val="center"/>
          </w:tcPr>
          <w:p>
            <w:r>
              <w:rPr>
                <w:b w:val="false"/>
                <w:bCs w:val="false"/>
                <w:color w:val="000000"/>
                <w:sz w:val="18"/>
                <w:szCs w:val="18"/>
              </w:rPr>
              <w:t xml:space="preserve">Delimitar o que é e o que não é afetado</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Gatilhos típicos</w:t>
            </w:r>
          </w:p>
        </w:tc>
        <w:tc>
          <w:tcPr>
            <w:tcW w:type="dxa" w:w="6400"/>
            <w:tcMar>
              <w:top w:type="dxa" w:w="80"/>
              <w:left w:type="dxa" w:w="100"/>
              <w:bottom w:type="dxa" w:w="80"/>
              <w:right w:type="dxa" w:w="100"/>
            </w:tcMar>
            <w:vAlign w:val="center"/>
          </w:tcPr>
          <w:p>
            <w:r>
              <w:rPr>
                <w:b w:val="false"/>
                <w:bCs w:val="false"/>
                <w:color w:val="000000"/>
                <w:sz w:val="18"/>
                <w:szCs w:val="18"/>
              </w:rPr>
              <w:t xml:space="preserve">Nova evidência, suspeita de escopo maior</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Responsável</w:t>
            </w:r>
          </w:p>
        </w:tc>
        <w:tc>
          <w:tcPr>
            <w:tcW w:type="dxa" w:w="6400"/>
            <w:tcMar>
              <w:top w:type="dxa" w:w="80"/>
              <w:left w:type="dxa" w:w="100"/>
              <w:bottom w:type="dxa" w:w="80"/>
              <w:right w:type="dxa" w:w="100"/>
            </w:tcMar>
            <w:vAlign w:val="center"/>
          </w:tcPr>
          <w:p>
            <w:r>
              <w:rPr>
                <w:b w:val="false"/>
                <w:bCs w:val="false"/>
                <w:color w:val="000000"/>
                <w:sz w:val="18"/>
                <w:szCs w:val="18"/>
              </w:rPr>
              <w:t xml:space="preserve">Segurança / TI / Negócio</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Decisões</w:t>
            </w:r>
          </w:p>
        </w:tc>
        <w:tc>
          <w:tcPr>
            <w:tcW w:type="dxa" w:w="6400"/>
            <w:tcMar>
              <w:top w:type="dxa" w:w="80"/>
              <w:left w:type="dxa" w:w="100"/>
              <w:bottom w:type="dxa" w:w="80"/>
              <w:right w:type="dxa" w:w="100"/>
            </w:tcMar>
            <w:vAlign w:val="center"/>
          </w:tcPr>
          <w:p>
            <w:r>
              <w:rPr>
                <w:b w:val="false"/>
                <w:bCs w:val="false"/>
                <w:color w:val="000000"/>
                <w:sz w:val="18"/>
                <w:szCs w:val="18"/>
              </w:rPr>
              <w:t xml:space="preserve">O que tratar como conhecido vs. desconhecido</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Registro</w:t>
            </w:r>
          </w:p>
        </w:tc>
        <w:tc>
          <w:tcPr>
            <w:tcW w:type="dxa" w:w="6400"/>
            <w:tcMar>
              <w:top w:type="dxa" w:w="80"/>
              <w:left w:type="dxa" w:w="100"/>
              <w:bottom w:type="dxa" w:w="80"/>
              <w:right w:type="dxa" w:w="100"/>
            </w:tcMar>
            <w:vAlign w:val="center"/>
          </w:tcPr>
          <w:p>
            <w:r>
              <w:rPr>
                <w:b w:val="false"/>
                <w:bCs w:val="false"/>
                <w:color w:val="000000"/>
                <w:sz w:val="18"/>
                <w:szCs w:val="18"/>
              </w:rPr>
              <w:t xml:space="preserve">Instrumento 1, Instrumento 3</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Evidência esperada</w:t>
            </w:r>
          </w:p>
        </w:tc>
        <w:tc>
          <w:tcPr>
            <w:tcW w:type="dxa" w:w="6400"/>
            <w:tcMar>
              <w:top w:type="dxa" w:w="80"/>
              <w:left w:type="dxa" w:w="100"/>
              <w:bottom w:type="dxa" w:w="80"/>
              <w:right w:type="dxa" w:w="100"/>
            </w:tcMar>
            <w:vAlign w:val="center"/>
          </w:tcPr>
          <w:p>
            <w:r>
              <w:rPr>
                <w:b w:val="false"/>
                <w:bCs w:val="false"/>
                <w:color w:val="000000"/>
                <w:sz w:val="18"/>
                <w:szCs w:val="18"/>
              </w:rPr>
              <w:t xml:space="preserve">Lista de ativos, contas, dados e sistemas delimitados, com incertezas registradas</w:t>
            </w:r>
          </w:p>
        </w:tc>
      </w:tr>
    </w:tbl>
    <w:p>
      <w:pPr>
        <w:spacing w:after="80" w:before="200"/>
      </w:pPr>
      <w:r>
        <w:rPr>
          <w:b/>
          <w:bCs/>
          <w:color w:val="2E5395"/>
          <w:sz w:val="22"/>
          <w:szCs w:val="22"/>
        </w:rPr>
        <w:t xml:space="preserve">Contain (loop)</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00"/>
      </w:tblGrid>
      <w:tr>
        <w:tc>
          <w:tcPr>
            <w:tcW w:type="dxa" w:w="2600"/>
            <w:shd w:fill="1F3864" w:val="clear"/>
            <w:tcMar>
              <w:top w:type="dxa" w:w="80"/>
              <w:left w:type="dxa" w:w="100"/>
              <w:bottom w:type="dxa" w:w="80"/>
              <w:right w:type="dxa" w:w="100"/>
            </w:tcMar>
            <w:vAlign w:val="center"/>
          </w:tcPr>
          <w:p>
            <w:r>
              <w:rPr>
                <w:b/>
                <w:bCs/>
                <w:color w:val="FFFFFF"/>
                <w:sz w:val="18"/>
                <w:szCs w:val="18"/>
              </w:rPr>
              <w:t xml:space="preserve">Objetivo</w:t>
            </w:r>
          </w:p>
        </w:tc>
        <w:tc>
          <w:tcPr>
            <w:tcW w:type="dxa" w:w="6400"/>
            <w:tcMar>
              <w:top w:type="dxa" w:w="80"/>
              <w:left w:type="dxa" w:w="100"/>
              <w:bottom w:type="dxa" w:w="80"/>
              <w:right w:type="dxa" w:w="100"/>
            </w:tcMar>
            <w:vAlign w:val="center"/>
          </w:tcPr>
          <w:p>
            <w:r>
              <w:rPr>
                <w:b w:val="false"/>
                <w:bCs w:val="false"/>
                <w:color w:val="000000"/>
                <w:sz w:val="18"/>
                <w:szCs w:val="18"/>
              </w:rPr>
              <w:t xml:space="preserve">Interromper a progressão do incidente</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Gatilhos típicos</w:t>
            </w:r>
          </w:p>
        </w:tc>
        <w:tc>
          <w:tcPr>
            <w:tcW w:type="dxa" w:w="6400"/>
            <w:tcMar>
              <w:top w:type="dxa" w:w="80"/>
              <w:left w:type="dxa" w:w="100"/>
              <w:bottom w:type="dxa" w:w="80"/>
              <w:right w:type="dxa" w:w="100"/>
            </w:tcMar>
            <w:vAlign w:val="center"/>
          </w:tcPr>
          <w:p>
            <w:r>
              <w:rPr>
                <w:b w:val="false"/>
                <w:bCs w:val="false"/>
                <w:color w:val="000000"/>
                <w:sz w:val="18"/>
                <w:szCs w:val="18"/>
              </w:rPr>
              <w:t xml:space="preserve">Escopo delimitado ou contenção anterior malsucedida</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Responsável</w:t>
            </w:r>
          </w:p>
        </w:tc>
        <w:tc>
          <w:tcPr>
            <w:tcW w:type="dxa" w:w="6400"/>
            <w:tcMar>
              <w:top w:type="dxa" w:w="80"/>
              <w:left w:type="dxa" w:w="100"/>
              <w:bottom w:type="dxa" w:w="80"/>
              <w:right w:type="dxa" w:w="100"/>
            </w:tcMar>
            <w:vAlign w:val="center"/>
          </w:tcPr>
          <w:p>
            <w:r>
              <w:rPr>
                <w:b w:val="false"/>
                <w:bCs w:val="false"/>
                <w:color w:val="000000"/>
                <w:sz w:val="18"/>
                <w:szCs w:val="18"/>
              </w:rPr>
              <w:t xml:space="preserve">Segurança / TI</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Decisões</w:t>
            </w:r>
          </w:p>
        </w:tc>
        <w:tc>
          <w:tcPr>
            <w:tcW w:type="dxa" w:w="6400"/>
            <w:tcMar>
              <w:top w:type="dxa" w:w="80"/>
              <w:left w:type="dxa" w:w="100"/>
              <w:bottom w:type="dxa" w:w="80"/>
              <w:right w:type="dxa" w:w="100"/>
            </w:tcMar>
            <w:vAlign w:val="center"/>
          </w:tcPr>
          <w:p>
            <w:r>
              <w:rPr>
                <w:b w:val="false"/>
                <w:bCs w:val="false"/>
                <w:color w:val="000000"/>
                <w:sz w:val="18"/>
                <w:szCs w:val="18"/>
              </w:rPr>
              <w:t xml:space="preserve">Quais acessos/contas/sistemas conter; proporcionalidade frente à continuidade</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Registro</w:t>
            </w:r>
          </w:p>
        </w:tc>
        <w:tc>
          <w:tcPr>
            <w:tcW w:type="dxa" w:w="6400"/>
            <w:tcMar>
              <w:top w:type="dxa" w:w="80"/>
              <w:left w:type="dxa" w:w="100"/>
              <w:bottom w:type="dxa" w:w="80"/>
              <w:right w:type="dxa" w:w="100"/>
            </w:tcMar>
            <w:vAlign w:val="center"/>
          </w:tcPr>
          <w:p>
            <w:r>
              <w:rPr>
                <w:b w:val="false"/>
                <w:bCs w:val="false"/>
                <w:color w:val="000000"/>
                <w:sz w:val="18"/>
                <w:szCs w:val="18"/>
              </w:rPr>
              <w:t xml:space="preserve">Instrumento 1, Instrumento 3</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Evidência esperada</w:t>
            </w:r>
          </w:p>
        </w:tc>
        <w:tc>
          <w:tcPr>
            <w:tcW w:type="dxa" w:w="6400"/>
            <w:tcMar>
              <w:top w:type="dxa" w:w="80"/>
              <w:left w:type="dxa" w:w="100"/>
              <w:bottom w:type="dxa" w:w="80"/>
              <w:right w:type="dxa" w:w="100"/>
            </w:tcMar>
            <w:vAlign w:val="center"/>
          </w:tcPr>
          <w:p>
            <w:r>
              <w:rPr>
                <w:b w:val="false"/>
                <w:bCs w:val="false"/>
                <w:color w:val="000000"/>
                <w:sz w:val="18"/>
                <w:szCs w:val="18"/>
              </w:rPr>
              <w:t xml:space="preserve">Evidência de bloqueio/revogação e de sua validação técnica</w:t>
            </w:r>
          </w:p>
        </w:tc>
      </w:tr>
    </w:tbl>
    <w:p>
      <w:pPr>
        <w:spacing w:after="80" w:before="200"/>
      </w:pPr>
      <w:r>
        <w:rPr>
          <w:b/>
          <w:bCs/>
          <w:color w:val="2E5395"/>
          <w:sz w:val="22"/>
          <w:szCs w:val="22"/>
        </w:rPr>
        <w:t xml:space="preserve">Eradicate (loop)</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00"/>
      </w:tblGrid>
      <w:tr>
        <w:tc>
          <w:tcPr>
            <w:tcW w:type="dxa" w:w="2600"/>
            <w:shd w:fill="1F3864" w:val="clear"/>
            <w:tcMar>
              <w:top w:type="dxa" w:w="80"/>
              <w:left w:type="dxa" w:w="100"/>
              <w:bottom w:type="dxa" w:w="80"/>
              <w:right w:type="dxa" w:w="100"/>
            </w:tcMar>
            <w:vAlign w:val="center"/>
          </w:tcPr>
          <w:p>
            <w:r>
              <w:rPr>
                <w:b/>
                <w:bCs/>
                <w:color w:val="FFFFFF"/>
                <w:sz w:val="18"/>
                <w:szCs w:val="18"/>
              </w:rPr>
              <w:t xml:space="preserve">Objetivo</w:t>
            </w:r>
          </w:p>
        </w:tc>
        <w:tc>
          <w:tcPr>
            <w:tcW w:type="dxa" w:w="6400"/>
            <w:tcMar>
              <w:top w:type="dxa" w:w="80"/>
              <w:left w:type="dxa" w:w="100"/>
              <w:bottom w:type="dxa" w:w="80"/>
              <w:right w:type="dxa" w:w="100"/>
            </w:tcMar>
            <w:vAlign w:val="center"/>
          </w:tcPr>
          <w:p>
            <w:r>
              <w:rPr>
                <w:b w:val="false"/>
                <w:bCs w:val="false"/>
                <w:color w:val="000000"/>
                <w:sz w:val="18"/>
                <w:szCs w:val="18"/>
              </w:rPr>
              <w:t xml:space="preserve">Remover a causa e o mecanismo de acesso</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Gatilhos típicos</w:t>
            </w:r>
          </w:p>
        </w:tc>
        <w:tc>
          <w:tcPr>
            <w:tcW w:type="dxa" w:w="6400"/>
            <w:tcMar>
              <w:top w:type="dxa" w:w="80"/>
              <w:left w:type="dxa" w:w="100"/>
              <w:bottom w:type="dxa" w:w="80"/>
              <w:right w:type="dxa" w:w="100"/>
            </w:tcMar>
            <w:vAlign w:val="center"/>
          </w:tcPr>
          <w:p>
            <w:r>
              <w:rPr>
                <w:b w:val="false"/>
                <w:bCs w:val="false"/>
                <w:color w:val="000000"/>
                <w:sz w:val="18"/>
                <w:szCs w:val="18"/>
              </w:rPr>
              <w:t xml:space="preserve">Contenção validada</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Responsável</w:t>
            </w:r>
          </w:p>
        </w:tc>
        <w:tc>
          <w:tcPr>
            <w:tcW w:type="dxa" w:w="6400"/>
            <w:tcMar>
              <w:top w:type="dxa" w:w="80"/>
              <w:left w:type="dxa" w:w="100"/>
              <w:bottom w:type="dxa" w:w="80"/>
              <w:right w:type="dxa" w:w="100"/>
            </w:tcMar>
            <w:vAlign w:val="center"/>
          </w:tcPr>
          <w:p>
            <w:r>
              <w:rPr>
                <w:b w:val="false"/>
                <w:bCs w:val="false"/>
                <w:color w:val="000000"/>
                <w:sz w:val="18"/>
                <w:szCs w:val="18"/>
              </w:rPr>
              <w:t xml:space="preserve">Segurança / TI</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Decisões</w:t>
            </w:r>
          </w:p>
        </w:tc>
        <w:tc>
          <w:tcPr>
            <w:tcW w:type="dxa" w:w="6400"/>
            <w:tcMar>
              <w:top w:type="dxa" w:w="80"/>
              <w:left w:type="dxa" w:w="100"/>
              <w:bottom w:type="dxa" w:w="80"/>
              <w:right w:type="dxa" w:w="100"/>
            </w:tcMar>
            <w:vAlign w:val="center"/>
          </w:tcPr>
          <w:p>
            <w:r>
              <w:rPr>
                <w:b w:val="false"/>
                <w:bCs w:val="false"/>
                <w:color w:val="000000"/>
                <w:sz w:val="18"/>
                <w:szCs w:val="18"/>
              </w:rPr>
              <w:t xml:space="preserve">Causa suficientemente identificada para erradicar, ou apenas mitigada</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Registro</w:t>
            </w:r>
          </w:p>
        </w:tc>
        <w:tc>
          <w:tcPr>
            <w:tcW w:type="dxa" w:w="6400"/>
            <w:tcMar>
              <w:top w:type="dxa" w:w="80"/>
              <w:left w:type="dxa" w:w="100"/>
              <w:bottom w:type="dxa" w:w="80"/>
              <w:right w:type="dxa" w:w="100"/>
            </w:tcMar>
            <w:vAlign w:val="center"/>
          </w:tcPr>
          <w:p>
            <w:r>
              <w:rPr>
                <w:b w:val="false"/>
                <w:bCs w:val="false"/>
                <w:color w:val="000000"/>
                <w:sz w:val="18"/>
                <w:szCs w:val="18"/>
              </w:rPr>
              <w:t xml:space="preserve">Instrumento 1, Instrumento 3</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Evidência esperada</w:t>
            </w:r>
          </w:p>
        </w:tc>
        <w:tc>
          <w:tcPr>
            <w:tcW w:type="dxa" w:w="6400"/>
            <w:tcMar>
              <w:top w:type="dxa" w:w="80"/>
              <w:left w:type="dxa" w:w="100"/>
              <w:bottom w:type="dxa" w:w="80"/>
              <w:right w:type="dxa" w:w="100"/>
            </w:tcMar>
            <w:vAlign w:val="center"/>
          </w:tcPr>
          <w:p>
            <w:r>
              <w:rPr>
                <w:b w:val="false"/>
                <w:bCs w:val="false"/>
                <w:color w:val="000000"/>
                <w:sz w:val="18"/>
                <w:szCs w:val="18"/>
              </w:rPr>
              <w:t xml:space="preserve">Evidência de correção do mecanismo e de ausência de novo acesso pelo mesmo vetor</w:t>
            </w:r>
          </w:p>
        </w:tc>
      </w:tr>
    </w:tbl>
    <w:p>
      <w:pPr>
        <w:spacing w:after="80" w:before="200"/>
      </w:pPr>
      <w:r>
        <w:rPr>
          <w:b/>
          <w:bCs/>
          <w:color w:val="2E5395"/>
          <w:sz w:val="22"/>
          <w:szCs w:val="22"/>
        </w:rPr>
        <w:t xml:space="preserve">Recover (loop)</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00"/>
      </w:tblGrid>
      <w:tr>
        <w:tc>
          <w:tcPr>
            <w:tcW w:type="dxa" w:w="2600"/>
            <w:shd w:fill="1F3864" w:val="clear"/>
            <w:tcMar>
              <w:top w:type="dxa" w:w="80"/>
              <w:left w:type="dxa" w:w="100"/>
              <w:bottom w:type="dxa" w:w="80"/>
              <w:right w:type="dxa" w:w="100"/>
            </w:tcMar>
            <w:vAlign w:val="center"/>
          </w:tcPr>
          <w:p>
            <w:r>
              <w:rPr>
                <w:b/>
                <w:bCs/>
                <w:color w:val="FFFFFF"/>
                <w:sz w:val="18"/>
                <w:szCs w:val="18"/>
              </w:rPr>
              <w:t xml:space="preserve">Objetivo</w:t>
            </w:r>
          </w:p>
        </w:tc>
        <w:tc>
          <w:tcPr>
            <w:tcW w:type="dxa" w:w="6400"/>
            <w:tcMar>
              <w:top w:type="dxa" w:w="80"/>
              <w:left w:type="dxa" w:w="100"/>
              <w:bottom w:type="dxa" w:w="80"/>
              <w:right w:type="dxa" w:w="100"/>
            </w:tcMar>
            <w:vAlign w:val="center"/>
          </w:tcPr>
          <w:p>
            <w:r>
              <w:rPr>
                <w:b w:val="false"/>
                <w:bCs w:val="false"/>
                <w:color w:val="000000"/>
                <w:sz w:val="18"/>
                <w:szCs w:val="18"/>
              </w:rPr>
              <w:t xml:space="preserve">Restabelecer operação de forma validada</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Gatilhos típicos</w:t>
            </w:r>
          </w:p>
        </w:tc>
        <w:tc>
          <w:tcPr>
            <w:tcW w:type="dxa" w:w="6400"/>
            <w:tcMar>
              <w:top w:type="dxa" w:w="80"/>
              <w:left w:type="dxa" w:w="100"/>
              <w:bottom w:type="dxa" w:w="80"/>
              <w:right w:type="dxa" w:w="100"/>
            </w:tcMar>
            <w:vAlign w:val="center"/>
          </w:tcPr>
          <w:p>
            <w:r>
              <w:rPr>
                <w:b w:val="false"/>
                <w:bCs w:val="false"/>
                <w:color w:val="000000"/>
                <w:sz w:val="18"/>
                <w:szCs w:val="18"/>
              </w:rPr>
              <w:t xml:space="preserve">Erradicação concluída ou aceitável para retomada parcial</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Responsável</w:t>
            </w:r>
          </w:p>
        </w:tc>
        <w:tc>
          <w:tcPr>
            <w:tcW w:type="dxa" w:w="6400"/>
            <w:tcMar>
              <w:top w:type="dxa" w:w="80"/>
              <w:left w:type="dxa" w:w="100"/>
              <w:bottom w:type="dxa" w:w="80"/>
              <w:right w:type="dxa" w:w="100"/>
            </w:tcMar>
            <w:vAlign w:val="center"/>
          </w:tcPr>
          <w:p>
            <w:r>
              <w:rPr>
                <w:b w:val="false"/>
                <w:bCs w:val="false"/>
                <w:color w:val="000000"/>
                <w:sz w:val="18"/>
                <w:szCs w:val="18"/>
              </w:rPr>
              <w:t xml:space="preserve">TI / Continuidade / Dono do serviço</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Decisões</w:t>
            </w:r>
          </w:p>
        </w:tc>
        <w:tc>
          <w:tcPr>
            <w:tcW w:type="dxa" w:w="6400"/>
            <w:tcMar>
              <w:top w:type="dxa" w:w="80"/>
              <w:left w:type="dxa" w:w="100"/>
              <w:bottom w:type="dxa" w:w="80"/>
              <w:right w:type="dxa" w:w="100"/>
            </w:tcMar>
            <w:vAlign w:val="center"/>
          </w:tcPr>
          <w:p>
            <w:r>
              <w:rPr>
                <w:b w:val="false"/>
                <w:bCs w:val="false"/>
                <w:color w:val="000000"/>
                <w:sz w:val="18"/>
                <w:szCs w:val="18"/>
              </w:rPr>
              <w:t xml:space="preserve">Nível de restabelecimento (total/parcial/monitorado)</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Registro</w:t>
            </w:r>
          </w:p>
        </w:tc>
        <w:tc>
          <w:tcPr>
            <w:tcW w:type="dxa" w:w="6400"/>
            <w:tcMar>
              <w:top w:type="dxa" w:w="80"/>
              <w:left w:type="dxa" w:w="100"/>
              <w:bottom w:type="dxa" w:w="80"/>
              <w:right w:type="dxa" w:w="100"/>
            </w:tcMar>
            <w:vAlign w:val="center"/>
          </w:tcPr>
          <w:p>
            <w:r>
              <w:rPr>
                <w:b w:val="false"/>
                <w:bCs w:val="false"/>
                <w:color w:val="000000"/>
                <w:sz w:val="18"/>
                <w:szCs w:val="18"/>
              </w:rPr>
              <w:t xml:space="preserve">Instrumento 1, Instrumento 3</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Evidência esperada</w:t>
            </w:r>
          </w:p>
        </w:tc>
        <w:tc>
          <w:tcPr>
            <w:tcW w:type="dxa" w:w="6400"/>
            <w:tcMar>
              <w:top w:type="dxa" w:w="80"/>
              <w:left w:type="dxa" w:w="100"/>
              <w:bottom w:type="dxa" w:w="80"/>
              <w:right w:type="dxa" w:w="100"/>
            </w:tcMar>
            <w:vAlign w:val="center"/>
          </w:tcPr>
          <w:p>
            <w:r>
              <w:rPr>
                <w:b w:val="false"/>
                <w:bCs w:val="false"/>
                <w:color w:val="000000"/>
                <w:sz w:val="18"/>
                <w:szCs w:val="18"/>
              </w:rPr>
              <w:t xml:space="preserve">Evidência de validação técnica e de monitoramento reforçado</w:t>
            </w:r>
          </w:p>
        </w:tc>
      </w:tr>
    </w:tbl>
    <w:p>
      <w:pPr>
        <w:spacing w:after="80" w:before="200"/>
      </w:pPr>
      <w:r>
        <w:rPr>
          <w:b/>
          <w:bCs/>
          <w:color w:val="2E5395"/>
          <w:sz w:val="22"/>
          <w:szCs w:val="22"/>
        </w:rPr>
        <w:t xml:space="preserve">Debrief</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00"/>
      </w:tblGrid>
      <w:tr>
        <w:tc>
          <w:tcPr>
            <w:tcW w:type="dxa" w:w="2600"/>
            <w:shd w:fill="1F3864" w:val="clear"/>
            <w:tcMar>
              <w:top w:type="dxa" w:w="80"/>
              <w:left w:type="dxa" w:w="100"/>
              <w:bottom w:type="dxa" w:w="80"/>
              <w:right w:type="dxa" w:w="100"/>
            </w:tcMar>
            <w:vAlign w:val="center"/>
          </w:tcPr>
          <w:p>
            <w:r>
              <w:rPr>
                <w:b/>
                <w:bCs/>
                <w:color w:val="FFFFFF"/>
                <w:sz w:val="18"/>
                <w:szCs w:val="18"/>
              </w:rPr>
              <w:t xml:space="preserve">Objetivo</w:t>
            </w:r>
          </w:p>
        </w:tc>
        <w:tc>
          <w:tcPr>
            <w:tcW w:type="dxa" w:w="6400"/>
            <w:tcMar>
              <w:top w:type="dxa" w:w="80"/>
              <w:left w:type="dxa" w:w="100"/>
              <w:bottom w:type="dxa" w:w="80"/>
              <w:right w:type="dxa" w:w="100"/>
            </w:tcMar>
            <w:vAlign w:val="center"/>
          </w:tcPr>
          <w:p>
            <w:r>
              <w:rPr>
                <w:b w:val="false"/>
                <w:bCs w:val="false"/>
                <w:color w:val="000000"/>
                <w:sz w:val="18"/>
                <w:szCs w:val="18"/>
              </w:rPr>
              <w:t xml:space="preserve">Consolidar lições e ações corretivas</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Gatilhos típicos</w:t>
            </w:r>
          </w:p>
        </w:tc>
        <w:tc>
          <w:tcPr>
            <w:tcW w:type="dxa" w:w="6400"/>
            <w:tcMar>
              <w:top w:type="dxa" w:w="80"/>
              <w:left w:type="dxa" w:w="100"/>
              <w:bottom w:type="dxa" w:w="80"/>
              <w:right w:type="dxa" w:w="100"/>
            </w:tcMar>
            <w:vAlign w:val="center"/>
          </w:tcPr>
          <w:p>
            <w:r>
              <w:rPr>
                <w:b w:val="false"/>
                <w:bCs w:val="false"/>
                <w:color w:val="000000"/>
                <w:sz w:val="18"/>
                <w:szCs w:val="18"/>
              </w:rPr>
              <w:t xml:space="preserve">Encerramento da resposta ativa</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Responsável</w:t>
            </w:r>
          </w:p>
        </w:tc>
        <w:tc>
          <w:tcPr>
            <w:tcW w:type="dxa" w:w="6400"/>
            <w:tcMar>
              <w:top w:type="dxa" w:w="80"/>
              <w:left w:type="dxa" w:w="100"/>
              <w:bottom w:type="dxa" w:w="80"/>
              <w:right w:type="dxa" w:w="100"/>
            </w:tcMar>
            <w:vAlign w:val="center"/>
          </w:tcPr>
          <w:p>
            <w:r>
              <w:rPr>
                <w:b w:val="false"/>
                <w:bCs w:val="false"/>
                <w:color w:val="000000"/>
                <w:sz w:val="18"/>
                <w:szCs w:val="18"/>
              </w:rPr>
              <w:t xml:space="preserve">Líder de Resposta + papéis envolvidos</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Decisões</w:t>
            </w:r>
          </w:p>
        </w:tc>
        <w:tc>
          <w:tcPr>
            <w:tcW w:type="dxa" w:w="6400"/>
            <w:tcMar>
              <w:top w:type="dxa" w:w="80"/>
              <w:left w:type="dxa" w:w="100"/>
              <w:bottom w:type="dxa" w:w="80"/>
              <w:right w:type="dxa" w:w="100"/>
            </w:tcMar>
            <w:vAlign w:val="center"/>
          </w:tcPr>
          <w:p>
            <w:r>
              <w:rPr>
                <w:b w:val="false"/>
                <w:bCs w:val="false"/>
                <w:color w:val="000000"/>
                <w:sz w:val="18"/>
                <w:szCs w:val="18"/>
              </w:rPr>
              <w:t xml:space="preserve">Ações corretivas, responsável e prazo</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Registro</w:t>
            </w:r>
          </w:p>
        </w:tc>
        <w:tc>
          <w:tcPr>
            <w:tcW w:type="dxa" w:w="6400"/>
            <w:tcMar>
              <w:top w:type="dxa" w:w="80"/>
              <w:left w:type="dxa" w:w="100"/>
              <w:bottom w:type="dxa" w:w="80"/>
              <w:right w:type="dxa" w:w="100"/>
            </w:tcMar>
            <w:vAlign w:val="center"/>
          </w:tcPr>
          <w:p>
            <w:r>
              <w:rPr>
                <w:b w:val="false"/>
                <w:bCs w:val="false"/>
                <w:color w:val="000000"/>
                <w:sz w:val="18"/>
                <w:szCs w:val="18"/>
              </w:rPr>
              <w:t xml:space="preserve">Instrumento 4 (relatório)</w:t>
            </w:r>
          </w:p>
        </w:tc>
      </w:tr>
      <w:tr>
        <w:tc>
          <w:tcPr>
            <w:tcW w:type="dxa" w:w="2600"/>
            <w:shd w:fill="1F3864" w:val="clear"/>
            <w:tcMar>
              <w:top w:type="dxa" w:w="80"/>
              <w:left w:type="dxa" w:w="100"/>
              <w:bottom w:type="dxa" w:w="80"/>
              <w:right w:type="dxa" w:w="100"/>
            </w:tcMar>
            <w:vAlign w:val="center"/>
          </w:tcPr>
          <w:p>
            <w:r>
              <w:rPr>
                <w:b/>
                <w:bCs/>
                <w:color w:val="FFFFFF"/>
                <w:sz w:val="18"/>
                <w:szCs w:val="18"/>
              </w:rPr>
              <w:t xml:space="preserve">Evidência esperada</w:t>
            </w:r>
          </w:p>
        </w:tc>
        <w:tc>
          <w:tcPr>
            <w:tcW w:type="dxa" w:w="6400"/>
            <w:tcMar>
              <w:top w:type="dxa" w:w="80"/>
              <w:left w:type="dxa" w:w="100"/>
              <w:bottom w:type="dxa" w:w="80"/>
              <w:right w:type="dxa" w:w="100"/>
            </w:tcMar>
            <w:vAlign w:val="center"/>
          </w:tcPr>
          <w:p>
            <w:r>
              <w:rPr>
                <w:b w:val="false"/>
                <w:bCs w:val="false"/>
                <w:color w:val="000000"/>
                <w:sz w:val="18"/>
                <w:szCs w:val="18"/>
              </w:rPr>
              <w:t xml:space="preserve">Relatório de encerramento com indicadores e pendências</w:t>
            </w:r>
          </w:p>
        </w:tc>
      </w:tr>
    </w:tbl>
    <w:p>
      <w:pPr>
        <w:spacing w:after="160"/>
      </w:pPr>
      <w:r>
        <w:rPr>
          <w:sz w:val="20"/>
          <w:szCs w:val="20"/>
        </w:rPr>
        <w:t xml:space="preserve">Reentradas: este Plano não impõe avançar de Scope a Recover uma única vez. Nova evidência relevante, falha de contenção, indício de persistência, ampliação de escopo ou mudança de prioridade reabrem o loop a partir do ponto necessário, registrando a nova iteração separadamente — nunca sobrescrevendo o registro da iteração anterior.</w:t>
      </w:r>
    </w:p>
    <w:p>
      <w:pPr>
        <w:spacing w:after="160"/>
      </w:pPr>
      <w:r>
        <w:rPr>
          <w:sz w:val="20"/>
          <w:szCs w:val="20"/>
        </w:rPr>
        <w:t xml:space="preserve">Abrangência: os waypoints e o loop se aplicam a incidentes de confidencialidade, integridade, disponibilidade e autenticidade, inclusive acidentais e mesmo sem evidência de exfiltração — a ausência de exfiltração confirmada não dispensa a avaliação de risco aos titulares (seção 4).</w:t>
      </w:r>
    </w:p>
    <w:p>
      <w:pPr>
        <w:pStyle w:val="Heading1"/>
        <w:spacing w:after="160" w:before="360"/>
      </w:pPr>
      <w:r>
        <w:t xml:space="preserve">4. Trilha transversal de privacidade</w:t>
      </w:r>
    </w:p>
    <w:p>
      <w:pPr>
        <w:spacing w:after="160"/>
      </w:pPr>
      <w:r>
        <w:rPr>
          <w:sz w:val="20"/>
          <w:szCs w:val="20"/>
        </w:rPr>
        <w:t xml:space="preserve">Esta trilha corre em paralelo à execução técnica (seção 3), desde a Verify &amp; Triage, e não depende da conclusão da investigação para começar.</w:t>
      </w:r>
    </w:p>
    <w:p>
      <w:pPr>
        <w:spacing w:after="120"/>
      </w:pPr>
      <w:r>
        <w:rPr>
          <w:b/>
          <w:bCs/>
          <w:sz w:val="20"/>
          <w:szCs w:val="20"/>
        </w:rPr>
        <w:t xml:space="preserve">1. Identificação das operações e dados afetados: </w:t>
      </w:r>
      <w:r>
        <w:rPr>
          <w:i/>
          <w:iCs/>
          <w:color w:val="595959"/>
          <w:sz w:val="20"/>
          <w:szCs w:val="20"/>
        </w:rPr>
        <w:t xml:space="preserve">o Encarregado, com apoio de Negócio e TI, identifica atividades de tratamento, categorias de dados e titulares envolvidos, ainda que preliminarmente</w:t>
      </w:r>
    </w:p>
    <w:p>
      <w:pPr>
        <w:spacing w:after="120"/>
      </w:pPr>
      <w:r>
        <w:rPr>
          <w:b/>
          <w:bCs/>
          <w:sz w:val="20"/>
          <w:szCs w:val="20"/>
        </w:rPr>
        <w:t xml:space="preserve">2. Fundamentação do marco de conhecimento: </w:t>
      </w:r>
      <w:r>
        <w:rPr>
          <w:i/>
          <w:iCs/>
          <w:color w:val="595959"/>
          <w:sz w:val="20"/>
          <w:szCs w:val="20"/>
        </w:rPr>
        <w:t xml:space="preserve">registrado com a evidência que o fundamenta — inicia a contagem dos prazos legais</w:t>
      </w:r>
    </w:p>
    <w:p>
      <w:pPr>
        <w:spacing w:after="120"/>
      </w:pPr>
      <w:r>
        <w:rPr>
          <w:b/>
          <w:bCs/>
          <w:sz w:val="20"/>
          <w:szCs w:val="20"/>
        </w:rPr>
        <w:t xml:space="preserve">3. Avaliação versionada contra os critérios do RCIS (art. 5º): </w:t>
      </w:r>
      <w:r>
        <w:rPr>
          <w:i/>
          <w:iCs/>
          <w:color w:val="595959"/>
          <w:sz w:val="20"/>
          <w:szCs w:val="20"/>
        </w:rPr>
        <w:t xml:space="preserve">registrada no Instrumento 2, nova versão a cada evidência relevante nova</w:t>
      </w:r>
    </w:p>
    <w:p>
      <w:pPr>
        <w:spacing w:after="120"/>
      </w:pPr>
      <w:r>
        <w:rPr>
          <w:b/>
          <w:bCs/>
          <w:sz w:val="20"/>
          <w:szCs w:val="20"/>
        </w:rPr>
        <w:t xml:space="preserve">4. Responsáveis pela elaboração, revisão e aprovação: </w:t>
      </w:r>
      <w:r>
        <w:rPr>
          <w:i/>
          <w:iCs/>
          <w:color w:val="595959"/>
          <w:sz w:val="20"/>
          <w:szCs w:val="20"/>
        </w:rPr>
        <w:t xml:space="preserve">tipicamente Encarregado, Jurídico e representante autorizado do controlador — [preencher, se diferente]</w:t>
      </w:r>
    </w:p>
    <w:p>
      <w:pPr>
        <w:spacing w:after="160"/>
      </w:pPr>
      <w:r>
        <w:rPr>
          <w:sz w:val="20"/>
          <w:szCs w:val="20"/>
        </w:rPr>
        <w:t xml:space="preserve">5. Controle de prazos aplicáveis e suas exceções: prazo de 3 dias úteis para comunicação à ANPD e aos titulares (RCIS, arts. 6º e 9º), contado do marco de conhecimento efetivo, ressalvado prazo específico de legislação setorial; prazo de complementação de 20 dias úteis (art. 6º, §3º); dobra de prazos para agente de pequeno porte formalmente enquadrado. A ampliação do escopo do incidente não reinicia automaticamente o prazo do mesmo incidente — um novo prazo próprio somente se aplica a um incidente distinto, com seu próprio marco de conhecimento.</w:t>
      </w:r>
    </w:p>
    <w:p>
      <w:pPr>
        <w:spacing w:after="160"/>
      </w:pPr>
      <w:r>
        <w:rPr>
          <w:sz w:val="20"/>
          <w:szCs w:val="20"/>
        </w:rPr>
        <w:t xml:space="preserve">6. Preparação, envio e comprovação das comunicações: conforme o Instrumento 5 (Partes A, B e C) — a preparação não equivale ao envio, e o envio não equivale à comprovação.</w:t>
      </w:r>
    </w:p>
    <w:p>
      <w:pPr>
        <w:spacing w:after="160"/>
      </w:pPr>
      <w:r>
        <w:rPr>
          <w:sz w:val="20"/>
          <w:szCs w:val="20"/>
        </w:rPr>
        <w:t xml:space="preserve">7. Complementações e acompanhamento de requisições da ANPD: registradas no Instrumento 5, Parte C, sem limite numérico de complementações, controladas pelo prazo do art. 6º, §3º.</w:t>
      </w:r>
    </w:p>
    <w:p>
      <w:pPr>
        <w:pStyle w:val="Heading1"/>
        <w:spacing w:after="160" w:before="360"/>
      </w:pPr>
      <w:r>
        <w:t xml:space="preserve">5. Evidências e continuidade</w:t>
      </w:r>
    </w:p>
    <w:p>
      <w:pPr>
        <w:pStyle w:val="ListParagraph"/>
        <w:numPr>
          <w:ilvl w:val="0"/>
          <w:numId w:val="1"/>
        </w:numPr>
        <w:spacing w:after="100"/>
      </w:pPr>
      <w:r>
        <w:rPr>
          <w:sz w:val="20"/>
          <w:szCs w:val="20"/>
        </w:rPr>
        <w:t xml:space="preserve">Preservação proporcional: priorizada conforme o risco e a disponibilidade de recursos — a decisão sobre o que preservar e o que não preservar deve ser registrada e justificada.</w:t>
      </w:r>
    </w:p>
    <w:p>
      <w:pPr>
        <w:pStyle w:val="ListParagraph"/>
        <w:numPr>
          <w:ilvl w:val="0"/>
          <w:numId w:val="1"/>
        </w:numPr>
        <w:spacing w:after="100"/>
      </w:pPr>
      <w:r>
        <w:rPr>
          <w:sz w:val="20"/>
          <w:szCs w:val="20"/>
        </w:rPr>
        <w:t xml:space="preserve">Integridade, custódia e armazenamento restrito: hash/cópia read-only e cadeia de custódia registrada; acesso restrito a quem tenha necessidade de conhecimento.</w:t>
      </w:r>
    </w:p>
    <w:p>
      <w:pPr>
        <w:pStyle w:val="ListParagraph"/>
        <w:numPr>
          <w:ilvl w:val="0"/>
          <w:numId w:val="1"/>
        </w:numPr>
        <w:spacing w:after="100"/>
      </w:pPr>
      <w:r>
        <w:rPr>
          <w:sz w:val="20"/>
          <w:szCs w:val="20"/>
        </w:rPr>
        <w:t xml:space="preserve">Registro de limitações e lacunas: qualquer lacuna deve ser registrada como tal — nunca omitida ou presumida irrelevante.</w:t>
      </w:r>
    </w:p>
    <w:p>
      <w:pPr>
        <w:pStyle w:val="ListParagraph"/>
        <w:numPr>
          <w:ilvl w:val="0"/>
          <w:numId w:val="1"/>
        </w:numPr>
        <w:spacing w:after="100"/>
      </w:pPr>
      <w:r>
        <w:rPr>
          <w:sz w:val="20"/>
          <w:szCs w:val="20"/>
        </w:rPr>
        <w:t xml:space="preserve">Coordenação com operadores e fornecedores: solicitação formal de preservação e fornecimento de evidência, com registro da solicitação e da resposta.</w:t>
      </w:r>
    </w:p>
    <w:p>
      <w:pPr>
        <w:pStyle w:val="ListParagraph"/>
        <w:numPr>
          <w:ilvl w:val="0"/>
          <w:numId w:val="1"/>
        </w:numPr>
        <w:spacing w:after="100"/>
      </w:pPr>
      <w:r>
        <w:rPr>
          <w:sz w:val="20"/>
          <w:szCs w:val="20"/>
        </w:rPr>
        <w:t xml:space="preserve">Recuperação validada: só é considerada concluída após validação técnica e definição de critérios de aceite e de monitoramento adicional.</w:t>
      </w:r>
    </w:p>
    <w:p>
      <w:pPr>
        <w:spacing w:after="120"/>
      </w:pPr>
      <w:r>
        <w:rPr>
          <w:b/>
          <w:bCs/>
          <w:sz w:val="20"/>
          <w:szCs w:val="20"/>
        </w:rPr>
        <w:t xml:space="preserve">Critérios de aceite padrão para recuperação, se padronizados: </w:t>
      </w:r>
      <w:r>
        <w:rPr>
          <w:i/>
          <w:iCs/>
          <w:color w:val="595959"/>
          <w:sz w:val="20"/>
          <w:szCs w:val="20"/>
        </w:rPr>
        <w:t xml:space="preserve">[preencher]</w:t>
      </w:r>
    </w:p>
    <w:p>
      <w:pPr>
        <w:spacing w:after="160"/>
      </w:pPr>
      <w:r>
        <w:rPr>
          <w:sz w:val="20"/>
          <w:szCs w:val="20"/>
        </w:rPr>
        <w:t xml:space="preserve">Conflitos entre contenção, preservação e continuidade: quando colidirem, a decisão — com a opção escolhida, o risco aceito e o responsável — deve ser registrada explicitamente, conforme a autoridade definida na Política, seção 6.</w:t>
      </w:r>
    </w:p>
    <w:p>
      <w:pPr>
        <w:pStyle w:val="Heading1"/>
        <w:spacing w:after="160" w:before="360"/>
      </w:pPr>
      <w:r>
        <w:t xml:space="preserve">6. Encerramento e melhoria</w:t>
      </w:r>
    </w:p>
    <w:p>
      <w:pPr>
        <w:pStyle w:val="Heading2"/>
        <w:spacing w:after="120" w:before="240"/>
      </w:pPr>
      <w:r>
        <w:t xml:space="preserve">6.1 Decisão de encerramento</w:t>
      </w:r>
    </w:p>
    <w:p>
      <w:pPr>
        <w:spacing w:after="160"/>
      </w:pPr>
      <w:r>
        <w:rPr>
          <w:sz w:val="20"/>
          <w:szCs w:val="20"/>
        </w:rPr>
        <w:t xml:space="preserve">O encerramento da resposta ativa é uma decisão explícita e atribuível do Líder de Resposta (ou da Direção, conforme a severidade), apoiada em indicadores técnicos e de negócio. A decisão registra: indicadores que a sustentam; riscos residuais aceitos, com responsável e prazo; pendências não resolvidas, com responsável e prazo.</w:t>
      </w:r>
    </w:p>
    <w:p>
      <w:pPr>
        <w:pStyle w:val="Heading2"/>
        <w:spacing w:after="120" w:before="240"/>
      </w:pPr>
      <w:r>
        <w:t xml:space="preserve">6.2 Três encerramentos distintos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00"/>
      </w:tblGrid>
      <w:tr>
        <w:trPr>
          <w:tblHeader/>
        </w:trPr>
        <w:tc>
          <w:tcPr>
            <w:tcW w:type="dxa" w:w="2600"/>
            <w:shd w:fill="1F3864" w:val="clear"/>
            <w:tcMar>
              <w:top w:type="dxa" w:w="80"/>
              <w:left w:type="dxa" w:w="100"/>
              <w:bottom w:type="dxa" w:w="80"/>
              <w:right w:type="dxa" w:w="100"/>
            </w:tcMar>
            <w:vAlign w:val="center"/>
          </w:tcPr>
          <w:p>
            <w:r>
              <w:rPr>
                <w:b/>
                <w:bCs/>
                <w:color w:val="FFFFFF"/>
                <w:sz w:val="18"/>
                <w:szCs w:val="18"/>
              </w:rPr>
              <w:t xml:space="preserve">Estado</w:t>
            </w:r>
          </w:p>
        </w:tc>
        <w:tc>
          <w:tcPr>
            <w:tcW w:type="dxa" w:w="4200"/>
            <w:shd w:fill="1F3864" w:val="clear"/>
            <w:tcMar>
              <w:top w:type="dxa" w:w="80"/>
              <w:left w:type="dxa" w:w="100"/>
              <w:bottom w:type="dxa" w:w="80"/>
              <w:right w:type="dxa" w:w="100"/>
            </w:tcMar>
            <w:vAlign w:val="center"/>
          </w:tcPr>
          <w:p>
            <w:r>
              <w:rPr>
                <w:b/>
                <w:bCs/>
                <w:color w:val="FFFFFF"/>
                <w:sz w:val="18"/>
                <w:szCs w:val="18"/>
              </w:rPr>
              <w:t xml:space="preserve">O que significa</w:t>
            </w:r>
          </w:p>
        </w:tc>
        <w:tc>
          <w:tcPr>
            <w:tcW w:type="dxa" w:w="2200"/>
            <w:shd w:fill="1F3864" w:val="clear"/>
            <w:tcMar>
              <w:top w:type="dxa" w:w="80"/>
              <w:left w:type="dxa" w:w="100"/>
              <w:bottom w:type="dxa" w:w="80"/>
              <w:right w:type="dxa" w:w="100"/>
            </w:tcMar>
            <w:vAlign w:val="center"/>
          </w:tcPr>
          <w:p>
            <w:r>
              <w:rPr>
                <w:b/>
                <w:bCs/>
                <w:color w:val="FFFFFF"/>
                <w:sz w:val="18"/>
                <w:szCs w:val="18"/>
              </w:rPr>
              <w:t xml:space="preserve">Onde é registrado</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Encerramento técnico</w:t>
            </w:r>
          </w:p>
        </w:tc>
        <w:tc>
          <w:tcPr>
            <w:tcW w:type="dxa" w:w="4200"/>
            <w:tcMar>
              <w:top w:type="dxa" w:w="80"/>
              <w:left w:type="dxa" w:w="100"/>
              <w:bottom w:type="dxa" w:w="80"/>
              <w:right w:type="dxa" w:w="100"/>
            </w:tcMar>
            <w:vAlign w:val="center"/>
          </w:tcPr>
          <w:p>
            <w:r>
              <w:rPr>
                <w:b w:val="false"/>
                <w:bCs w:val="false"/>
                <w:color w:val="000000"/>
                <w:sz w:val="18"/>
                <w:szCs w:val="18"/>
              </w:rPr>
              <w:t xml:space="preserve">Resposta ativa (Scope–Contain–Eradicate–Recover) concluída</w:t>
            </w:r>
          </w:p>
        </w:tc>
        <w:tc>
          <w:tcPr>
            <w:tcW w:type="dxa" w:w="2200"/>
            <w:tcMar>
              <w:top w:type="dxa" w:w="80"/>
              <w:left w:type="dxa" w:w="100"/>
              <w:bottom w:type="dxa" w:w="80"/>
              <w:right w:type="dxa" w:w="100"/>
            </w:tcMar>
            <w:vAlign w:val="center"/>
          </w:tcPr>
          <w:p>
            <w:r>
              <w:rPr>
                <w:b w:val="false"/>
                <w:bCs w:val="false"/>
                <w:color w:val="000000"/>
                <w:sz w:val="18"/>
                <w:szCs w:val="18"/>
              </w:rPr>
              <w:t xml:space="preserve">Instrumento 1</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Conclusão das comunicações</w:t>
            </w:r>
          </w:p>
        </w:tc>
        <w:tc>
          <w:tcPr>
            <w:tcW w:type="dxa" w:w="4200"/>
            <w:tcMar>
              <w:top w:type="dxa" w:w="80"/>
              <w:left w:type="dxa" w:w="100"/>
              <w:bottom w:type="dxa" w:w="80"/>
              <w:right w:type="dxa" w:w="100"/>
            </w:tcMar>
            <w:vAlign w:val="center"/>
          </w:tcPr>
          <w:p>
            <w:r>
              <w:rPr>
                <w:b w:val="false"/>
                <w:bCs w:val="false"/>
                <w:color w:val="000000"/>
                <w:sz w:val="18"/>
                <w:szCs w:val="18"/>
              </w:rPr>
              <w:t xml:space="preserve">Comunicação à ANPD e aos titulares preparadas, enviadas e comprovadas (quando devidas)</w:t>
            </w:r>
          </w:p>
        </w:tc>
        <w:tc>
          <w:tcPr>
            <w:tcW w:type="dxa" w:w="2200"/>
            <w:tcMar>
              <w:top w:type="dxa" w:w="80"/>
              <w:left w:type="dxa" w:w="100"/>
              <w:bottom w:type="dxa" w:w="80"/>
              <w:right w:type="dxa" w:w="100"/>
            </w:tcMar>
            <w:vAlign w:val="center"/>
          </w:tcPr>
          <w:p>
            <w:r>
              <w:rPr>
                <w:b w:val="false"/>
                <w:bCs w:val="false"/>
                <w:color w:val="000000"/>
                <w:sz w:val="18"/>
                <w:szCs w:val="18"/>
              </w:rPr>
              <w:t xml:space="preserve">Instrumento 5, Parte C</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Encerramento do acompanhamento regulatório</w:t>
            </w:r>
          </w:p>
        </w:tc>
        <w:tc>
          <w:tcPr>
            <w:tcW w:type="dxa" w:w="4200"/>
            <w:tcMar>
              <w:top w:type="dxa" w:w="80"/>
              <w:left w:type="dxa" w:w="100"/>
              <w:bottom w:type="dxa" w:w="80"/>
              <w:right w:type="dxa" w:w="100"/>
            </w:tcMar>
            <w:vAlign w:val="center"/>
          </w:tcPr>
          <w:p>
            <w:r>
              <w:rPr>
                <w:b w:val="false"/>
                <w:bCs w:val="false"/>
                <w:color w:val="000000"/>
                <w:sz w:val="18"/>
                <w:szCs w:val="18"/>
              </w:rPr>
              <w:t xml:space="preserve">Processo perante a ANPD extinto, ou requisições adicionais respondidas e sem pendência</w:t>
            </w:r>
          </w:p>
        </w:tc>
        <w:tc>
          <w:tcPr>
            <w:tcW w:type="dxa" w:w="2200"/>
            <w:tcMar>
              <w:top w:type="dxa" w:w="80"/>
              <w:left w:type="dxa" w:w="100"/>
              <w:bottom w:type="dxa" w:w="80"/>
              <w:right w:type="dxa" w:w="100"/>
            </w:tcMar>
            <w:vAlign w:val="center"/>
          </w:tcPr>
          <w:p>
            <w:r>
              <w:rPr>
                <w:b w:val="false"/>
                <w:bCs w:val="false"/>
                <w:color w:val="000000"/>
                <w:sz w:val="18"/>
                <w:szCs w:val="18"/>
              </w:rPr>
              <w:t xml:space="preserve">Instrumento 5, Parte C</w:t>
            </w:r>
          </w:p>
        </w:tc>
      </w:tr>
    </w:tbl>
    <w:p>
      <w:pPr>
        <w:pStyle w:val="Heading2"/>
        <w:spacing w:after="120" w:before="240"/>
      </w:pPr>
      <w:r>
        <w:t xml:space="preserve">6.3 Reabertura</w:t>
      </w:r>
    </w:p>
    <w:p>
      <w:pPr>
        <w:spacing w:after="160"/>
      </w:pPr>
      <w:r>
        <w:rPr>
          <w:sz w:val="20"/>
          <w:szCs w:val="20"/>
        </w:rPr>
        <w:t xml:space="preserve">Um incidente com encerramento técnico pode ser reaberto quando surgirem evidências de persistência, reincidência ou escopo não identificado anteriormente — a reabertura reaproveita o registro original (Instrumento 1), com nova iteração do loop, e não cria um incidente novo, salvo decisão fundamentada em contrário.</w:t>
      </w:r>
    </w:p>
    <w:p>
      <w:pPr>
        <w:pStyle w:val="Heading2"/>
        <w:spacing w:after="120" w:before="240"/>
      </w:pPr>
      <w:r>
        <w:t xml:space="preserve">6.4 Debrief e melhoria contínua</w:t>
      </w:r>
    </w:p>
    <w:p>
      <w:pPr>
        <w:spacing w:after="160"/>
      </w:pPr>
      <w:r>
        <w:rPr>
          <w:sz w:val="20"/>
          <w:szCs w:val="20"/>
        </w:rPr>
        <w:t xml:space="preserve">Todo incidente com encerramento técnico gera um debrief (Instrumento 4), com:</w:t>
      </w:r>
    </w:p>
    <w:p>
      <w:pPr>
        <w:pStyle w:val="ListParagraph"/>
        <w:numPr>
          <w:ilvl w:val="0"/>
          <w:numId w:val="1"/>
        </w:numPr>
        <w:spacing w:after="100"/>
      </w:pPr>
      <w:r>
        <w:rPr>
          <w:sz w:val="20"/>
          <w:szCs w:val="20"/>
        </w:rPr>
        <w:t xml:space="preserve">ações corretivas identificadas, responsável e prazo para cada uma;</w:t>
      </w:r>
    </w:p>
    <w:p>
      <w:pPr>
        <w:pStyle w:val="ListParagraph"/>
        <w:numPr>
          <w:ilvl w:val="0"/>
          <w:numId w:val="1"/>
        </w:numPr>
        <w:spacing w:after="100"/>
      </w:pPr>
      <w:r>
        <w:rPr>
          <w:sz w:val="20"/>
          <w:szCs w:val="20"/>
        </w:rPr>
        <w:t xml:space="preserve">prova de efetividade da ação corretiva, quando concluída — uma ação corretiva só é considerada concluída mediante essa prova, nunca apenas pela afirmação de que foi feita;</w:t>
      </w:r>
    </w:p>
    <w:p>
      <w:pPr>
        <w:pStyle w:val="ListParagraph"/>
        <w:numPr>
          <w:ilvl w:val="0"/>
          <w:numId w:val="1"/>
        </w:numPr>
        <w:spacing w:after="100"/>
      </w:pPr>
      <w:r>
        <w:rPr>
          <w:sz w:val="20"/>
          <w:szCs w:val="20"/>
        </w:rPr>
        <w:t xml:space="preserve">lições aprendidas incorporadas, quando aplicável, à revisão da Política, deste Plano e do Playbook.</w:t>
      </w:r>
    </w:p>
    <w:p>
      <w:pPr>
        <w:spacing w:before="400"/>
      </w:pPr>
      <w:r>
        <w:rPr>
          <w:i/>
          <w:iCs/>
          <w:color w:val="595959"/>
          <w:sz w:val="18"/>
          <w:szCs w:val="18"/>
        </w:rPr>
        <w:t xml:space="preserve">Este é um modelo institucional reutilizável, de caráter educacional e operacional. Não contém dados de nenhuma organização específica, não reproduz os cenários fictícios de treinamento deste repositório, e não produz efeitos até ser adaptado aos campos de configuração e formalmente aprovado pela autoridade competente da organização adotante. Licenciado sob CC BY 4.0 — Felipe Nicácio.</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DAIR Privacy Incident Response Playbook — Plano de Resposta a Incidentes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F3864" w:sz="6"/>
      </w:pBdr>
      <w:spacing w:after="160" w:before="360"/>
    </w:pPr>
    <w:rPr>
      <w:rFonts w:ascii="Calibri" w:cs="Calibri" w:eastAsia="Calibri" w:hAnsi="Calibri"/>
      <w:b/>
      <w:bCs/>
      <w:color w:val="1F3864"/>
      <w:sz w:val="28"/>
      <w:szCs w:val="28"/>
    </w:rPr>
  </w:style>
  <w:style w:type="paragraph" w:styleId="Heading2">
    <w:name w:val="Heading 2"/>
    <w:basedOn w:val="Normal"/>
    <w:next w:val="Normal"/>
    <w:pPr>
      <w:spacing w:after="120" w:before="240"/>
    </w:pPr>
    <w:rPr>
      <w:rFonts w:ascii="Calibri" w:cs="Calibri" w:eastAsia="Calibri" w:hAnsi="Calibri"/>
      <w:b/>
      <w:bCs/>
      <w:color w:val="2E539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2026-10-20T23:16:59.141Z</dcterms:created>
  <dcterms:modified xsi:type="dcterms:W3CDTF">2026-10-20T23:16:59.141Z</dcterms:modified>
</cp:coreProperties>
</file>

<file path=docProps/custom.xml><?xml version="1.0" encoding="utf-8"?>
<Properties xmlns="http://schemas.openxmlformats.org/officeDocument/2006/custom-properties" xmlns:vt="http://schemas.openxmlformats.org/officeDocument/2006/docPropsVTypes"/>
</file>