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44"/>
          <w:szCs w:val="44"/>
        </w:rPr>
        <w:t xml:space="preserve">RELATÓRIO DE RESPOSTA A INCIDENTE</w:t>
      </w:r>
    </w:p>
    <w:p>
      <w:pPr>
        <w:spacing w:after="400" w:before="200"/>
        <w:jc w:val="center"/>
      </w:pPr>
      <w:r>
        <w:rPr>
          <w:color w:val="2E5395"/>
          <w:sz w:val="28"/>
          <w:szCs w:val="28"/>
        </w:rPr>
        <w:t xml:space="preserve">Dados Pessoais — Metodologia DAIR + LGPD/ANPD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Modelo reutilizável — Versão 0.3</w:t>
      </w:r>
    </w:p>
    <w:p>
      <w:pPr>
        <w:spacing w:after="800"/>
        <w:jc w:val="center"/>
      </w:pPr>
      <w:r>
        <w:rPr>
          <w:i/>
          <w:iCs/>
          <w:color w:val="595959"/>
          <w:sz w:val="18"/>
          <w:szCs w:val="18"/>
        </w:rPr>
        <w:t xml:space="preserve">DAIR Privacy Incident Response Playbook · CC BY 4.0 · Felipe Nicácio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Preencher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Organização (controladora)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do incidente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INC-AAAA-NNN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Classificação do documento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Confidencial — uso interno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 do relatório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Autor(es)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Aprovador(es)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90"/>
      </w:pPr>
      <w:r>
        <w:rPr>
          <w:sz w:val="22"/>
          <w:szCs w:val="22"/>
        </w:rPr>
        <w:t xml:space="preserve">1. Identificação e Controle do Documento</w:t>
      </w:r>
    </w:p>
    <w:p>
      <w:pPr>
        <w:spacing w:after="90"/>
      </w:pPr>
      <w:r>
        <w:rPr>
          <w:sz w:val="22"/>
          <w:szCs w:val="22"/>
        </w:rPr>
        <w:t xml:space="preserve">2. Sumário Executivo</w:t>
      </w:r>
    </w:p>
    <w:p>
      <w:pPr>
        <w:spacing w:after="90"/>
      </w:pPr>
      <w:r>
        <w:rPr>
          <w:sz w:val="22"/>
          <w:szCs w:val="22"/>
        </w:rPr>
        <w:t xml:space="preserve">3. Contexto do Incidente</w:t>
      </w:r>
    </w:p>
    <w:p>
      <w:pPr>
        <w:spacing w:after="90"/>
      </w:pPr>
      <w:r>
        <w:rPr>
          <w:sz w:val="22"/>
          <w:szCs w:val="22"/>
        </w:rPr>
        <w:t xml:space="preserve">4. Escopo da Investigação</w:t>
      </w:r>
    </w:p>
    <w:p>
      <w:pPr>
        <w:spacing w:after="90"/>
      </w:pPr>
      <w:r>
        <w:rPr>
          <w:sz w:val="22"/>
          <w:szCs w:val="22"/>
        </w:rPr>
        <w:t xml:space="preserve">5. Cronologia dos Acontecimentos</w:t>
      </w:r>
    </w:p>
    <w:p>
      <w:pPr>
        <w:spacing w:after="90"/>
      </w:pPr>
      <w:r>
        <w:rPr>
          <w:sz w:val="22"/>
          <w:szCs w:val="22"/>
        </w:rPr>
        <w:t xml:space="preserve">6. Metodologia DAIR Aplicada</w:t>
      </w:r>
    </w:p>
    <w:p>
      <w:pPr>
        <w:spacing w:after="90"/>
      </w:pPr>
      <w:r>
        <w:rPr>
          <w:sz w:val="22"/>
          <w:szCs w:val="22"/>
        </w:rPr>
        <w:t xml:space="preserve">7. Evidências Analisadas</w:t>
      </w:r>
    </w:p>
    <w:p>
      <w:pPr>
        <w:spacing w:after="90"/>
      </w:pPr>
      <w:r>
        <w:rPr>
          <w:sz w:val="22"/>
          <w:szCs w:val="22"/>
        </w:rPr>
        <w:t xml:space="preserve">8. Identificação da Causa e Fatores Contribuintes</w:t>
      </w:r>
    </w:p>
    <w:p>
      <w:pPr>
        <w:spacing w:after="90"/>
      </w:pPr>
      <w:r>
        <w:rPr>
          <w:sz w:val="22"/>
          <w:szCs w:val="22"/>
        </w:rPr>
        <w:t xml:space="preserve">9. Ações de Contenção</w:t>
      </w:r>
    </w:p>
    <w:p>
      <w:pPr>
        <w:spacing w:after="90"/>
      </w:pPr>
      <w:r>
        <w:rPr>
          <w:sz w:val="22"/>
          <w:szCs w:val="22"/>
        </w:rPr>
        <w:t xml:space="preserve">10. Atividades de Erradicação</w:t>
      </w:r>
    </w:p>
    <w:p>
      <w:pPr>
        <w:spacing w:after="90"/>
      </w:pPr>
      <w:r>
        <w:rPr>
          <w:sz w:val="22"/>
          <w:szCs w:val="22"/>
        </w:rPr>
        <w:t xml:space="preserve">11. Validação da Recuperação</w:t>
      </w:r>
    </w:p>
    <w:p>
      <w:pPr>
        <w:spacing w:after="90"/>
      </w:pPr>
      <w:r>
        <w:rPr>
          <w:sz w:val="22"/>
          <w:szCs w:val="22"/>
        </w:rPr>
        <w:t xml:space="preserve">12. Avaliação de Impactos Operacionais</w:t>
      </w:r>
    </w:p>
    <w:p>
      <w:pPr>
        <w:spacing w:after="90"/>
      </w:pPr>
      <w:r>
        <w:rPr>
          <w:sz w:val="22"/>
          <w:szCs w:val="22"/>
        </w:rPr>
        <w:t xml:space="preserve">13. Avaliação de Riscos aos Titulares</w:t>
      </w:r>
    </w:p>
    <w:p>
      <w:pPr>
        <w:spacing w:after="90"/>
      </w:pPr>
      <w:r>
        <w:rPr>
          <w:sz w:val="22"/>
          <w:szCs w:val="22"/>
        </w:rPr>
        <w:t xml:space="preserve">14. Decisões Regulatórias e Comunicações</w:t>
      </w:r>
    </w:p>
    <w:p>
      <w:pPr>
        <w:spacing w:after="90"/>
      </w:pPr>
      <w:r>
        <w:rPr>
          <w:sz w:val="22"/>
          <w:szCs w:val="22"/>
        </w:rPr>
        <w:t xml:space="preserve">15. Riscos Residuais</w:t>
      </w:r>
    </w:p>
    <w:p>
      <w:pPr>
        <w:spacing w:after="90"/>
      </w:pPr>
      <w:r>
        <w:rPr>
          <w:sz w:val="22"/>
          <w:szCs w:val="22"/>
        </w:rPr>
        <w:t xml:space="preserve">16. Lições Aprendidas</w:t>
      </w:r>
    </w:p>
    <w:p>
      <w:pPr>
        <w:spacing w:after="90"/>
      </w:pPr>
      <w:r>
        <w:rPr>
          <w:sz w:val="22"/>
          <w:szCs w:val="22"/>
        </w:rPr>
        <w:t xml:space="preserve">17. Plano de Ações Corretivas</w:t>
      </w:r>
    </w:p>
    <w:p>
      <w:pPr>
        <w:spacing w:after="90"/>
      </w:pPr>
      <w:r>
        <w:rPr>
          <w:sz w:val="22"/>
          <w:szCs w:val="22"/>
        </w:rPr>
        <w:t xml:space="preserve">18. Critérios e Autorização de Encerramento</w:t>
      </w:r>
    </w:p>
    <w:p>
      <w:pPr>
        <w:spacing w:after="90"/>
      </w:pPr>
      <w:r>
        <w:rPr>
          <w:sz w:val="22"/>
          <w:szCs w:val="22"/>
        </w:rPr>
        <w:t xml:space="preserve">19. Referências Normativas</w:t>
      </w:r>
    </w:p>
    <w:p>
      <w:pPr>
        <w:spacing w:after="90"/>
      </w:pPr>
      <w:r>
        <w:rPr>
          <w:sz w:val="22"/>
          <w:szCs w:val="22"/>
        </w:rPr>
        <w:t xml:space="preserve">20. Anexos e Histórico de Versões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Identificação e Controle do Documento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preencher os dados do incidente, do documento e registrar cada nova versão emitida, com autor e motivo da revisão.</w:t>
      </w:r>
    </w:p>
    <w:p>
      <w:pPr>
        <w:pStyle w:val="Heading2"/>
        <w:spacing w:after="120" w:before="200"/>
      </w:pPr>
      <w:r>
        <w:t xml:space="preserve">1.1 Dados do incidente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do incidente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Operador(es) envolvido(s)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Classificação de severidade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Situação atual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1.2 Histórico de versões deste relatório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3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alteração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2. Sumário Executivo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em até um parágrafo, resumir o que aconteceu, o impacto confirmado, as medidas adotadas e o estado atual, em linguagem acessível a CISO, Jurídico e direção. Não antecipar conclusões não fundamentadas nas seções seguintes.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3. Contexto do Incidente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descrever o ambiente afetado (sistemas, serviços, operador, tipo de negócio) e o evento inicial que motivou a abertura do incidente, distinguindo fato confirmado de hipótese.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4. Escopo da Investigação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delimitar o que foi efetivamente investigado (sistemas, períodos, contas, dados) e registrar explicitamente o que permanece fora do escopo ou desconhecido.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Incluído no escopo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Excluído do escopo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Desconhecido / pendente de apuração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5. Cronologia dos Acontecimentos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transcrever os eventos relevantes da aba Linha_do_Tempo do Instrumento 1, mantendo IDs de evento (EVT-) e evidência (EVD-) para rastreabilidade.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400"/>
        <w:gridCol w:w="1600"/>
        <w:gridCol w:w="16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 Evento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Data/Hora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Fato Observado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Waypoint DAIR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Evidência (ID)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6. Metodologia DAIR Aplicada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registrar, para cada waypoint efetivamente percorrido, o que foi feito e quantos ciclos do Response Actions Loop (Scope-Contain-Eradicate-Recover) foram necessários. Usar os IDs de ciclo (CIC-) do Instrumento 3.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Waypoint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Resumo da execução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Ciclo(s) DAIR relacionado(s)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&amp; Triage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Eradicate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Debrief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r>
        <w:rPr>
          <w:i/>
          <w:iCs/>
          <w:color w:val="595959"/>
          <w:sz w:val="20"/>
          <w:szCs w:val="20"/>
        </w:rPr>
        <w:t xml:space="preserve">Nota metodológica: o DAIR é iterativo. A presença de mais de um ciclo não indica falha de processo — indica que o escopo foi corretamente reavaliado diante de novas evidências.</w:t>
      </w:r>
    </w:p>
    <w:p>
      <w:pPr>
        <w:pStyle w:val="Heading1"/>
        <w:spacing w:after="160" w:before="360"/>
      </w:pPr>
      <w:r>
        <w:t xml:space="preserve">7. Evidências Analisadas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listar as evidências relevantes com seu grau de certeza (confirmado, hipótese, inferido, desconhecido), conforme registrado no Instrumento 1 (aba Gestao_Evidencias).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00"/>
        <w:gridCol w:w="2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Grau de Certeza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8. Identificação da Causa e Fatores Contribuintes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diferenciar causa confirmada de causa provável/hipótese corroborada. Registrar fatores contribuintes (ex.: controles ausentes, falhas de processo) separadamente da causa técnica direta.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9. Ações de Contenção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descrever as ações de contenção executadas em cada ciclo, incluindo revogação de identidades, sessões e tokens, e o resultado do teste de validação técnica — não apenas a execução administrativa da ação.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10. Atividades de Erradicação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descrever a remoção do mecanismo de acesso indevido e a investigação da causa, indicando o que foi efetivamente testado versus o que permanece hipótese.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11. Validação da Recuperação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registrar os critérios usados para validar a recuperação dos serviços e o período de observação adicional aplicado antes de considerar o serviço estabilizado.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12. Avaliação de Impactos Operacionais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descrever o impacto do incidente e da resposta sobre a operação (indisponibilidade, degradação de serviço, custos operacionais, impacto a clientes/parceiros).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13. Avaliação de Riscos aos Titulares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resumir o resultado da avaliação registrada no Instrumento 2 (DAIR_Avaliacao_Riscos_Titulares_ANPD_v0.3.xlsx), incluindo a versão final da avaliação regulatória e sua fundamentação. Este relatório não substitui o instrumento de avaliação — remeter a ele.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da avaliação (Instrumento 2)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Condição A — afetação significativa (art. 5º, caput)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Condição B — inciso(s) aplicável(is) do art. 5º, I a VI, RCIS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 da avaliação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Responsável pela aprovação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14. Decisões Regulatórias e Comunicações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registrar a decisão sobre comunicação à ANPD e aos titulares, o marco de conhecimento, o prazo aplicável e o estado efetivo das comunicações (planejada, aprovada, realizada). Nunca declarar comunicação realizada sem evidência correspondente.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Marco de conhecimento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Prazo regulatório aplicável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Comunicação à ANPD — estado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Comunicação aos titulares — estado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Evidência de aprovação (ID da decisão)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15. Riscos Residuais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registrar riscos que permanecem mesmo após a resposta técnica (ex.: dados já exfiltrados, possibilidade de redistribuição, cobertura limitada de investigação), com responsável pelo acompanhamento.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20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 residual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 pelo acompanhamento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16. Lições Aprendidas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registrar o que funcionou, o que falhou e o que deveria mudar no procedimento, com base em evidência do próprio incidente — não em opinião genérica.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17. Plano de Ações Corretivas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transcrever as ações do tipo 'Corretiva' do Instrumento 1 (aba Plano_Acoes), com prioridade, responsável, prazo e evidência de conclusão exigida.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1200"/>
        <w:gridCol w:w="14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 da Ação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18. Critérios e Autorização de Encerramento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registrar as condições que precisaram ser satisfeitas para autorizar o encerramento da resposta técnica ativa, quem aprovou e quais pendências (inclusive regulatórias) permanecem abertas após o encerramento.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Condições satisfeitas para encerramento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Aprovador do encerramento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 encerramento da resposta técnica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Pendências que permanecem abertas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19. Referências Normativas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identificar norma, edição/ano, artigo ou seção aplicável e a fonte consultada para cada referência utilizada neste relatório. Não declarar conformidade automática com base nesta lista.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6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 / Referência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Edição / Artigo aplicável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 consultada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 nº 13.709/2018 (LGPD)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planalto.gov.br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Resolução CD/ANPD nº 15/2024 (RCIS)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Art. 5º, 6º, 9º e 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gov.br/anpd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DAIR — Joshua Wright / SANS Institute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sans.org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NIST SP 800-61 Rev. 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csrc.nist.gov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ISO/IEC 27035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ISO/IEC 27001 / 27002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ISO/IEC 27701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22301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20. Anexos e Histórico de Versões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Instrução de preenchimento: listar documentos anexos (ex.: avaliações de risco, comunicações, evidências sumarizadas) e manter aqui a referência cruzada aos demais instrumentos utilizados.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Anexo / Instrumento relacionado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e Gestão de Incidentes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DAIR_Registro_e_Gestao_de_Incidentes_v0.3.xlsx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Avaliação de Riscos aos Titulares e ANPD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DAIR_Avaliacao_Riscos_Titulares_ANPD_v0.3.xlsx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Checklist Operacional Dinâmico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DAIR_Checklist_Operacional_v0.3.xlsx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 de Preparação e Controle das Comunicações ANPD/Titulares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DAIR_Kit_Preparacao_Comunicacoes_ANPD_Titulares_v0.3.docx</w:t>
            </w:r>
          </w:p>
        </w:tc>
      </w:tr>
    </w:tbl>
    <w:p>
      <w:pPr>
        <w:spacing w:before="400"/>
      </w:pPr>
      <w:r>
        <w:rPr>
          <w:i/>
          <w:iCs/>
          <w:color w:val="595959"/>
          <w:sz w:val="18"/>
          <w:szCs w:val="18"/>
        </w:rPr>
        <w:t xml:space="preserve">Este documento é um modelo reutilizável, de caráter educacional e de apoio operacional. Não constitui parecer jurídico nem substitui validação técnica e regulatória contextualizada. Licenciado sob CC BY 4.0 — Felipe Nicácio.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DAIR Privacy Incident Response Playbook — Modelo de Relatório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864" w:sz="6"/>
      </w:pBdr>
      <w:spacing w:after="160" w:before="36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2E539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2026-10-20T23:11:09.085Z</dcterms:created>
  <dcterms:modified xsi:type="dcterms:W3CDTF">2026-10-20T23:11:09.086Z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