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6B8B2" w14:textId="77777777" w:rsidR="00516F31" w:rsidRDefault="00000000">
      <w:pPr>
        <w:spacing w:after="300" w:line="360" w:lineRule="auto"/>
        <w:jc w:val="center"/>
      </w:pPr>
      <w:r>
        <w:rPr>
          <w:b/>
          <w:bCs/>
        </w:rPr>
        <w:t>EXCELENTÍSSIMO SENHOR DESEMBARGADOR PRESIDENTE DO EGRÉGIO TRIBUNAL DE JUSTIÇA DO ESTADO DO AMAZONAS</w:t>
      </w:r>
    </w:p>
    <w:p w14:paraId="77B88829" w14:textId="77777777" w:rsidR="00516F31" w:rsidRDefault="00000000">
      <w:pPr>
        <w:spacing w:after="40" w:line="360" w:lineRule="auto"/>
        <w:jc w:val="both"/>
      </w:pPr>
      <w:r>
        <w:t xml:space="preserve">Autos de origem nº </w:t>
      </w:r>
      <w:r>
        <w:rPr>
          <w:b/>
          <w:bCs/>
        </w:rPr>
        <w:t>0150438-52.2026.8.04.1000</w:t>
      </w:r>
    </w:p>
    <w:p w14:paraId="7D4C84B4" w14:textId="77777777" w:rsidR="00516F31" w:rsidRDefault="00000000">
      <w:pPr>
        <w:spacing w:after="40" w:line="360" w:lineRule="auto"/>
        <w:jc w:val="both"/>
      </w:pPr>
      <w:r>
        <w:t>Juízo: 15ª Vara Cível e de Acidentes de Trabalho da Comarca de Manaus</w:t>
      </w:r>
    </w:p>
    <w:p w14:paraId="7B8BD84F" w14:textId="77777777" w:rsidR="00516F31" w:rsidRDefault="00000000">
      <w:pPr>
        <w:spacing w:after="40" w:line="360" w:lineRule="auto"/>
        <w:jc w:val="both"/>
      </w:pPr>
      <w:r>
        <w:t>Agravantes: 3V Holding Participações Ltda. e Paulo Vitor Vieira Valença</w:t>
      </w:r>
    </w:p>
    <w:p w14:paraId="3EF656B2" w14:textId="77777777" w:rsidR="00516F31" w:rsidRDefault="00000000">
      <w:pPr>
        <w:spacing w:after="300" w:line="360" w:lineRule="auto"/>
        <w:jc w:val="both"/>
      </w:pPr>
      <w:r>
        <w:t xml:space="preserve">Agravada: Marilene Coelho </w:t>
      </w:r>
      <w:proofErr w:type="spellStart"/>
      <w:r>
        <w:t>Fontinelli</w:t>
      </w:r>
      <w:proofErr w:type="spellEnd"/>
    </w:p>
    <w:p w14:paraId="0B68B838" w14:textId="77777777" w:rsidR="00516F31" w:rsidRDefault="00000000">
      <w:pPr>
        <w:spacing w:after="160" w:line="360" w:lineRule="auto"/>
        <w:ind w:firstLine="2268"/>
        <w:jc w:val="both"/>
      </w:pPr>
      <w:r>
        <w:rPr>
          <w:b/>
          <w:bCs/>
        </w:rPr>
        <w:t>3V HOLDING PARTICIPAÇÕES LTDA.</w:t>
      </w:r>
      <w:r>
        <w:t xml:space="preserve">, inscrita no CNPJ nº 37.578.132/0001-05, com sede na Rua </w:t>
      </w:r>
      <w:proofErr w:type="spellStart"/>
      <w:r>
        <w:t>Marudá</w:t>
      </w:r>
      <w:proofErr w:type="spellEnd"/>
      <w:r>
        <w:t xml:space="preserve">, nº 15, Quadra 7, Conjunto Deborah, bairro Dom Pedro I, Manaus/AM, e </w:t>
      </w:r>
      <w:r>
        <w:rPr>
          <w:b/>
          <w:bCs/>
        </w:rPr>
        <w:t>PAULO VITOR VIEIRA VALENÇA</w:t>
      </w:r>
      <w:r>
        <w:t xml:space="preserve">, brasileiro, empresário, inscrito no CPF nº 518.550.702-00, no mesmo endereço, por seu advogado (procuração anexa), vêm interpor </w:t>
      </w:r>
      <w:r>
        <w:rPr>
          <w:b/>
          <w:bCs/>
        </w:rPr>
        <w:t>AGRAVO DE INSTRUMENTO, com pedido de efeito suspensivo</w:t>
      </w:r>
      <w:r>
        <w:t xml:space="preserve"> (art. 1.015, I e V, do CPC), contra a decisão de 18 de junho de 2026 (mov. 7.1), que deferiu a gratuidade da justiça à agravada e determinou, </w:t>
      </w:r>
      <w:r>
        <w:rPr>
          <w:i/>
          <w:iCs/>
        </w:rPr>
        <w:t>inaudita altera parte</w:t>
      </w:r>
      <w:r>
        <w:t>, o bloqueio total da matrícula nº 81.951 do 3º Ofício de Registro de Imóveis desta Comarca.</w:t>
      </w:r>
    </w:p>
    <w:p w14:paraId="4B6FEFBF" w14:textId="77777777" w:rsidR="00516F31" w:rsidRDefault="00000000">
      <w:pPr>
        <w:spacing w:before="260" w:after="120" w:line="360" w:lineRule="auto"/>
      </w:pPr>
      <w:r>
        <w:rPr>
          <w:b/>
          <w:bCs/>
        </w:rPr>
        <w:t>I. SÍNTESE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516F31" w14:paraId="71A15399" w14:textId="77777777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4D3D18" w14:textId="77777777" w:rsidR="00516F31" w:rsidRDefault="00000000">
            <w:pPr>
              <w:spacing w:after="80" w:line="30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Resumo da controvérsia e do pedido</w:t>
            </w:r>
          </w:p>
          <w:p w14:paraId="4E2D78DE" w14:textId="77777777" w:rsidR="00516F31" w:rsidRDefault="00000000">
            <w:pPr>
              <w:spacing w:after="120" w:line="300" w:lineRule="auto"/>
              <w:jc w:val="both"/>
            </w:pPr>
            <w:r>
              <w:rPr>
                <w:sz w:val="22"/>
                <w:szCs w:val="22"/>
              </w:rPr>
              <w:t>A decisão agravada bloqueou integralmente, e sem ouvir os réus, a matrícula de imóvel adquirido pela agravante por usucapião, na premissa de fraude e de posse da autora por mais de quarenta anos. A premissa não se sustenta.</w:t>
            </w:r>
          </w:p>
          <w:p w14:paraId="4182AA80" w14:textId="77777777" w:rsidR="00516F31" w:rsidRDefault="00000000">
            <w:pPr>
              <w:spacing w:after="120" w:line="300" w:lineRule="auto"/>
              <w:jc w:val="both"/>
            </w:pPr>
            <w:r>
              <w:rPr>
                <w:sz w:val="22"/>
                <w:szCs w:val="22"/>
              </w:rPr>
              <w:t>A aquisição não decorreu de ato de cartório, mas de sentença da Vara de Registros Públicos (autos nº 0090145-53.2025.8.04.1000), que, com anuência do Estado do Amazonas e parecer do Ministério Público, superou a única impugnação existente. A redução de área que a autora rotula de fraude foi exatamente a exclusão da parcela pública determinada naquela sentença. O contrato dito falso tem firma reconhecida em cartório, e o ônus de provar a falsidade é de quem a alega. A posse invocada não tem origem coerente nem alcança quarenta anos, e a autora sequer reside no imóvel. A ação só veio depois que a agravante regularizou o bem, valorizando-o.</w:t>
            </w:r>
          </w:p>
          <w:p w14:paraId="4CD3BFC6" w14:textId="77777777" w:rsidR="00516F31" w:rsidRDefault="00000000">
            <w:pPr>
              <w:spacing w:after="120" w:line="300" w:lineRule="auto"/>
              <w:jc w:val="both"/>
            </w:pPr>
            <w:r>
              <w:rPr>
                <w:sz w:val="22"/>
                <w:szCs w:val="22"/>
              </w:rPr>
              <w:t>Há, ainda, indícios de que a própria autora pode não ter ciência da demanda: a assinatura lançada na procuração, além de antiga, é muito diferente das firmas reconhecidas em cartório; o Boletim de Ocorrência foi lavrado pelo próprio advogado, dois dias após o ajuizamento; e a identidade e o endereço da autora oscilam nos documentos. Antes de qualquer constrição, impõe-se sua intimação pessoal e a prova de vida.</w:t>
            </w:r>
          </w:p>
          <w:p w14:paraId="7270EF82" w14:textId="77777777" w:rsidR="00516F31" w:rsidRDefault="00000000">
            <w:pPr>
              <w:spacing w:line="300" w:lineRule="auto"/>
              <w:jc w:val="both"/>
            </w:pPr>
            <w:r>
              <w:rPr>
                <w:sz w:val="22"/>
                <w:szCs w:val="22"/>
              </w:rPr>
              <w:lastRenderedPageBreak/>
              <w:t>Requer-se efeito suspensivo para sustar o bloqueio; subsidiariamente, sua substituição pela averbação da existência da ação; a revogação da gratuidade concedida a quem disputa imóvel de vultoso valor; e a intimação pessoal da agravada, com prova de vida, antes da manutenção da medida.</w:t>
            </w:r>
          </w:p>
        </w:tc>
      </w:tr>
    </w:tbl>
    <w:p w14:paraId="5510FAB5" w14:textId="77777777" w:rsidR="00516F31" w:rsidRDefault="00000000">
      <w:pPr>
        <w:spacing w:before="260" w:after="120" w:line="360" w:lineRule="auto"/>
      </w:pPr>
      <w:r>
        <w:rPr>
          <w:b/>
          <w:bCs/>
        </w:rPr>
        <w:lastRenderedPageBreak/>
        <w:t>II. DA ADMISSIBILIDADE</w:t>
      </w:r>
    </w:p>
    <w:p w14:paraId="076EE1C7" w14:textId="77777777" w:rsidR="00516F31" w:rsidRDefault="00000000">
      <w:pPr>
        <w:spacing w:after="160" w:line="360" w:lineRule="auto"/>
        <w:ind w:firstLine="2268"/>
        <w:jc w:val="both"/>
      </w:pPr>
      <w:r>
        <w:t>O agravo é cabível (art. 1.015, I e V, do CPC), pois a decisão deferiu tutela de urgência e gratuidade da justiça. É tempestivo, interposto no prazo de 15 dias úteis (art. 1.003, § 5º), contado da ciência havida em [data da ciência]. Instruído na forma do art. 1.017.</w:t>
      </w:r>
    </w:p>
    <w:p w14:paraId="43D8319C" w14:textId="77777777" w:rsidR="00516F31" w:rsidRDefault="00000000">
      <w:pPr>
        <w:spacing w:before="260" w:after="120" w:line="360" w:lineRule="auto"/>
      </w:pPr>
      <w:r>
        <w:rPr>
          <w:b/>
          <w:bCs/>
        </w:rPr>
        <w:t>III. DOS FATOS</w:t>
      </w:r>
    </w:p>
    <w:p w14:paraId="57F40EDA" w14:textId="77777777" w:rsidR="00516F31" w:rsidRDefault="00000000">
      <w:pPr>
        <w:spacing w:after="160" w:line="360" w:lineRule="auto"/>
        <w:ind w:firstLine="2268"/>
        <w:jc w:val="both"/>
      </w:pPr>
      <w:r>
        <w:t xml:space="preserve">A cronologia abaixo, extraída dos documentos juntados pela própria autora e da sentença que reconheceu </w:t>
      </w:r>
      <w:proofErr w:type="gramStart"/>
      <w:r>
        <w:t>o usucapião</w:t>
      </w:r>
      <w:proofErr w:type="gramEnd"/>
      <w:r>
        <w:t>, demonstra que o registro impugnado resultou de procedimento público e de chancela judicial, e que a reação da autora foi tardia.</w:t>
      </w:r>
    </w:p>
    <w:p w14:paraId="48EAB196" w14:textId="77777777" w:rsidR="00516F31" w:rsidRDefault="00516F3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516F31" w14:paraId="21069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BB303" w14:textId="77777777" w:rsidR="00516F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F6D08" w14:textId="77777777" w:rsidR="00516F31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Evento</w:t>
            </w:r>
          </w:p>
        </w:tc>
      </w:tr>
      <w:tr w:rsidR="00516F31" w14:paraId="57C66A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FABA1E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03.09.1981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C2C32C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Abertura da matrícula nº 7.879 (Camilo Ferrari e </w:t>
            </w:r>
            <w:proofErr w:type="spellStart"/>
            <w:r>
              <w:rPr>
                <w:sz w:val="21"/>
                <w:szCs w:val="21"/>
              </w:rPr>
              <w:t>Braulino</w:t>
            </w:r>
            <w:proofErr w:type="spellEnd"/>
            <w:r>
              <w:rPr>
                <w:sz w:val="21"/>
                <w:szCs w:val="21"/>
              </w:rPr>
              <w:t>, por dação de Moisés Alves de Souza).</w:t>
            </w:r>
          </w:p>
        </w:tc>
      </w:tr>
      <w:tr w:rsidR="00516F31" w14:paraId="2F4BCB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F4FDFF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1985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C10E3B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Edis Pontes Lima, ex-marido da autora, compra de Camilo e </w:t>
            </w:r>
            <w:proofErr w:type="spellStart"/>
            <w:r>
              <w:rPr>
                <w:sz w:val="21"/>
                <w:szCs w:val="21"/>
              </w:rPr>
              <w:t>Braulino</w:t>
            </w:r>
            <w:proofErr w:type="spellEnd"/>
            <w:r>
              <w:rPr>
                <w:sz w:val="21"/>
                <w:szCs w:val="21"/>
              </w:rPr>
              <w:t xml:space="preserve"> (notas promissórias por ele emitidas).</w:t>
            </w:r>
          </w:p>
        </w:tc>
      </w:tr>
      <w:tr w:rsidR="00516F31" w14:paraId="28891A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BE1361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26.10.2020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A3326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Doação de Edis à autora; o instrumento consigna que Edis detinha a posse “há mais de 35 anos”.</w:t>
            </w:r>
          </w:p>
        </w:tc>
      </w:tr>
      <w:tr w:rsidR="00516F31" w14:paraId="2BB766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CAE809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2022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346FF2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 autora ajuíza usucapião próprio sobre a área (nº 0671415-37.2022.8.04.0001).</w:t>
            </w:r>
          </w:p>
        </w:tc>
      </w:tr>
      <w:tr w:rsidR="00516F31" w14:paraId="2797BA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D54026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2023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0AD4EF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Parecer da SECT aponta sobreposição com a Gleba Florestal (matrícula nº 29.068, do Estado).</w:t>
            </w:r>
          </w:p>
        </w:tc>
      </w:tr>
      <w:tr w:rsidR="00516F31" w14:paraId="171C45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DD8CDF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08.04.2024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71F6F8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Contrato de compra e venda e cessão de posse da autora à 3V Holding (R$ 800.000,00), com firma reconhecida.</w:t>
            </w:r>
          </w:p>
        </w:tc>
      </w:tr>
      <w:tr w:rsidR="00516F31" w14:paraId="206B1A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962827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2024 a 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8F2AD6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Atas notariais </w:t>
            </w:r>
            <w:proofErr w:type="gramStart"/>
            <w:r>
              <w:rPr>
                <w:sz w:val="21"/>
                <w:szCs w:val="21"/>
              </w:rPr>
              <w:t>do usucapião extrajudicial</w:t>
            </w:r>
            <w:proofErr w:type="gramEnd"/>
            <w:r>
              <w:rPr>
                <w:sz w:val="21"/>
                <w:szCs w:val="21"/>
              </w:rPr>
              <w:t xml:space="preserve"> (9º Tabelionato de Notas).</w:t>
            </w:r>
          </w:p>
        </w:tc>
      </w:tr>
      <w:tr w:rsidR="00516F31" w14:paraId="74C251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E7CF9F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2025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14EC84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Dúvida registral; a Procuradoria do Estado impugna a sobreposição com área pública.</w:t>
            </w:r>
          </w:p>
        </w:tc>
      </w:tr>
      <w:tr w:rsidR="00516F31" w14:paraId="18E366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AC5C67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09.02.2026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61BED9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Sentença julga improcedente a dúvida e determina a exclusão de 3.973,54 m² públicos (anuência do Estado e do MP).</w:t>
            </w:r>
          </w:p>
        </w:tc>
      </w:tr>
      <w:tr w:rsidR="00516F31" w14:paraId="41B286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D089B2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16.02.2026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3F6FD7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Publicação da sentença no DJEN.</w:t>
            </w:r>
          </w:p>
        </w:tc>
      </w:tr>
      <w:tr w:rsidR="00516F31" w14:paraId="5BB9E0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EAAF21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26 e 27.03.2026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E4D6F76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Registro da matrícula nº 81.951, com 16.595,46 m².</w:t>
            </w:r>
          </w:p>
        </w:tc>
      </w:tr>
      <w:tr w:rsidR="00516F31" w14:paraId="25ED19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D538EE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25.05.2026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F5ACA6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 autora ajuíza a ação declaratória de nulidade.</w:t>
            </w:r>
          </w:p>
        </w:tc>
      </w:tr>
      <w:tr w:rsidR="00516F31" w14:paraId="6AAB8E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074BE0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27.05.2026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F68725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Boletim de Ocorrência lavrado pelo advogado da autora (dois dias após o ajuizamento).</w:t>
            </w:r>
          </w:p>
        </w:tc>
      </w:tr>
      <w:tr w:rsidR="00516F31" w14:paraId="6A87AD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7A383A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lastRenderedPageBreak/>
              <w:t>18.06.2026</w:t>
            </w:r>
          </w:p>
        </w:tc>
        <w:tc>
          <w:tcPr>
            <w:tcW w:w="737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CBE7C8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Decisão agravada: gratuidade e bloqueio total da matrícula, sem ouvir os réus.</w:t>
            </w:r>
          </w:p>
        </w:tc>
      </w:tr>
    </w:tbl>
    <w:p w14:paraId="72279DB5" w14:textId="77777777" w:rsidR="00516F31" w:rsidRDefault="00000000">
      <w:pPr>
        <w:spacing w:after="120" w:line="360" w:lineRule="auto"/>
        <w:ind w:firstLine="2268"/>
        <w:jc w:val="both"/>
      </w:pPr>
      <w:r>
        <w:t xml:space="preserve">Dois fatos sobressaem: a autora litiga pela área desde 2022 e jamais impugnou </w:t>
      </w:r>
      <w:proofErr w:type="gramStart"/>
      <w:r>
        <w:t>o usucapião</w:t>
      </w:r>
      <w:proofErr w:type="gramEnd"/>
      <w:r>
        <w:t>, embora público; e seu Boletim de Ocorrência foi lavrado pelo próprio advogado, dois dias após o ajuizamento, não pela suposta vítima.</w:t>
      </w:r>
    </w:p>
    <w:p w14:paraId="74DA0F54" w14:textId="77777777" w:rsidR="00516F31" w:rsidRDefault="00000000">
      <w:pPr>
        <w:spacing w:before="260" w:after="120" w:line="360" w:lineRule="auto"/>
      </w:pPr>
      <w:r>
        <w:rPr>
          <w:b/>
          <w:bCs/>
        </w:rPr>
        <w:t>IV. DAS RAZÕES PARA A REFORMA</w:t>
      </w:r>
    </w:p>
    <w:p w14:paraId="6C8AFCFA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4.1. A aquisição decorre de sentença da Vara de Registros Públicos, não de fraude</w:t>
      </w:r>
    </w:p>
    <w:p w14:paraId="2B17FF94" w14:textId="77777777" w:rsidR="00516F31" w:rsidRDefault="00000000">
      <w:pPr>
        <w:spacing w:after="160" w:line="360" w:lineRule="auto"/>
        <w:ind w:firstLine="2268"/>
        <w:jc w:val="both"/>
      </w:pPr>
      <w:r>
        <w:t xml:space="preserve">O registro da matrícula nº 81.951 não nasceu de simples ato de serventia. A dúvida suscitada pelo Oficial do 3º Ofício, após impugnação da Procuradoria do Estado quanto à sobreposição com a Gleba Florestal (matrícula nº 29.068), foi </w:t>
      </w:r>
      <w:r>
        <w:rPr>
          <w:b/>
          <w:bCs/>
        </w:rPr>
        <w:t>julgada improcedente por sentença de 9 de fevereiro de 2026</w:t>
      </w:r>
      <w:r>
        <w:t xml:space="preserve"> (autos nº 0090145-53.2025.8.04.1000), em consonância com o parecer do Ministério Público e com anuência expressa do Estado do Amazonas. A própria certidão registral atesta que a aquisição se deu “consoante Sentença” naqueles autos. A decisão agravada, de juízo cível comum e proferida sem notícia dessa sentença, sobrepõe-se, em cognição sumária, a provimento da vara especializada. A ação declaratória com bloqueio liminar não é via idônea para neutralizar decisão registral própria.</w:t>
      </w:r>
    </w:p>
    <w:p w14:paraId="52B494E0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4.2. A redução de área cumpriu ordem judicial de exclusão do domínio público</w:t>
      </w:r>
    </w:p>
    <w:p w14:paraId="74C0337B" w14:textId="77777777" w:rsidR="00516F31" w:rsidRDefault="00000000">
      <w:pPr>
        <w:spacing w:after="160" w:line="360" w:lineRule="auto"/>
        <w:ind w:firstLine="2268"/>
        <w:jc w:val="both"/>
      </w:pPr>
      <w:r>
        <w:t xml:space="preserve">A inicial aponta como prova de fraude a redução sucessiva da área. A sentença a desmente. A área originalmente declarada era de </w:t>
      </w:r>
      <w:r>
        <w:rPr>
          <w:b/>
          <w:bCs/>
        </w:rPr>
        <w:t>20.569,90 m²</w:t>
      </w:r>
      <w:r>
        <w:t xml:space="preserve">. A sentença determinou, como condição do registro, a exclusão integral de </w:t>
      </w:r>
      <w:r>
        <w:rPr>
          <w:b/>
          <w:bCs/>
        </w:rPr>
        <w:t>3.973,54 m²</w:t>
      </w:r>
      <w:r>
        <w:t xml:space="preserve"> pertencentes ao Estado, conforme o Parecer Técnico Fundiário nº 3.126/2025-SECT. A subtração resulta em 16.596,36 m², praticamente coincidente com os </w:t>
      </w:r>
      <w:r>
        <w:rPr>
          <w:b/>
          <w:bCs/>
        </w:rPr>
        <w:t>16.595,46 m² registrados</w:t>
      </w:r>
      <w:r>
        <w:t>, com diferença inferior a um metro quadrado, própria do fechamento do polígono georreferenciado. O que a autora chama de “plasticidade artificial da narrativa” é, com precisão aritmética, o cumprimento de ordem judicial. Reduzir a pretensão para respeitar bem público é o contrário de fraude.</w:t>
      </w:r>
    </w:p>
    <w:p w14:paraId="0C83FB49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4.3. Firma reconhecida: o ônus de provar a falsidade é da autora</w:t>
      </w:r>
    </w:p>
    <w:p w14:paraId="3E4BCDE7" w14:textId="77777777" w:rsidR="00516F31" w:rsidRDefault="00000000">
      <w:pPr>
        <w:spacing w:after="160" w:line="360" w:lineRule="auto"/>
        <w:ind w:firstLine="2268"/>
        <w:jc w:val="both"/>
      </w:pPr>
      <w:r>
        <w:t>O contrato de 8 de abril de 2024 tem a firma da autora reconhecida por autenticidade, lançada presencialmente no 2º Tabelionato, com selo eletrônico verificável. Documento com firma reconhecida presume-se verdadeiro (</w:t>
      </w:r>
      <w:proofErr w:type="spellStart"/>
      <w:r>
        <w:t>arts</w:t>
      </w:r>
      <w:proofErr w:type="spellEnd"/>
      <w:r>
        <w:t>. 408, 411, II, e 427 do CPC); arguida a falsidade, o ônus é de quem a alega:</w:t>
      </w:r>
    </w:p>
    <w:p w14:paraId="7D26DB19" w14:textId="77777777" w:rsidR="00516F31" w:rsidRDefault="00000000">
      <w:pPr>
        <w:spacing w:before="60" w:after="160" w:line="276" w:lineRule="auto"/>
        <w:ind w:left="2268"/>
        <w:jc w:val="both"/>
      </w:pPr>
      <w:r>
        <w:rPr>
          <w:i/>
          <w:iCs/>
          <w:sz w:val="22"/>
          <w:szCs w:val="22"/>
        </w:rPr>
        <w:lastRenderedPageBreak/>
        <w:t>Art. 429. Incumbe o ônus da prova quando: I - se tratar de falsidade de documento ou de preenchimento abusivo, à parte que a arguir.</w:t>
      </w:r>
    </w:p>
    <w:p w14:paraId="56B05986" w14:textId="77777777" w:rsidR="00516F31" w:rsidRDefault="00000000">
      <w:pPr>
        <w:spacing w:after="160" w:line="360" w:lineRule="auto"/>
        <w:ind w:firstLine="2268"/>
        <w:jc w:val="both"/>
      </w:pPr>
      <w:r>
        <w:t xml:space="preserve">A decisão extraiu plausibilidade da simples afirmação unilateral de que a autora não assinou, sem início de prova pericial. Falsidade não se presume, e o foro próprio é a perícia grafotécnica que a </w:t>
      </w:r>
      <w:r>
        <w:rPr>
          <w:i/>
          <w:iCs/>
        </w:rPr>
        <w:t>própria autora</w:t>
      </w:r>
      <w:r>
        <w:t xml:space="preserve"> requereu, não a constrição liminar do patrimônio alheio.</w:t>
      </w:r>
      <w:r>
        <w:rPr>
          <w:rStyle w:val="Refdenotaderodap"/>
        </w:rPr>
        <w:footnoteReference w:id="1"/>
      </w:r>
    </w:p>
    <w:p w14:paraId="466744DE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4.4. A quitação do preço consta do próprio instrumento</w:t>
      </w:r>
    </w:p>
    <w:p w14:paraId="02C9D4AA" w14:textId="77777777" w:rsidR="00516F31" w:rsidRDefault="00000000">
      <w:pPr>
        <w:spacing w:after="160" w:line="360" w:lineRule="auto"/>
        <w:ind w:firstLine="2268"/>
        <w:jc w:val="both"/>
      </w:pPr>
      <w:r>
        <w:t>A cláusula segunda do contrato dá quitação expressa do preço de R$ 800.000,00. Não se presume, em cognição sumária, a inexistência do pagamento para dela extrair verossimilhança. Adimplemento se discute em instrução, não em bloqueio.</w:t>
      </w:r>
    </w:p>
    <w:p w14:paraId="13F03356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4.5. O procedimento foi o mais público possível, e a autora não o impugnou</w:t>
      </w:r>
    </w:p>
    <w:p w14:paraId="00EE18DB" w14:textId="77777777" w:rsidR="00516F31" w:rsidRDefault="00000000">
      <w:pPr>
        <w:spacing w:after="160" w:line="360" w:lineRule="auto"/>
        <w:ind w:firstLine="2268"/>
        <w:jc w:val="both"/>
      </w:pPr>
      <w:r>
        <w:t xml:space="preserve">O reconhecimento seguiu o rito do art. 216-A da Lei nº 6.015/73: ata notarial com originais conferidos, planta e memorial georreferenciados com ART, notificação de confrontantes, edital a terceiros e ciência aos entes públicos. A única impugnação foi a do Estado, superada por renúncia à área pública. A autora, que litiga pela mesma área desde 2022 e mantém procedimento na SECT desde 2023, não impugnou </w:t>
      </w:r>
      <w:proofErr w:type="gramStart"/>
      <w:r>
        <w:t>o usucapião</w:t>
      </w:r>
      <w:proofErr w:type="gramEnd"/>
      <w:r>
        <w:t xml:space="preserve"> quando podia. Sua inércia, agora convertida em alegação de fraude, não se sobrepõe à fé pública dos atos notariais e registrais (art. 405 do CPC).</w:t>
      </w:r>
    </w:p>
    <w:p w14:paraId="493C2CED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4.6. A posse alegada não tem origem coerente nem alcança quarenta anos</w:t>
      </w:r>
    </w:p>
    <w:p w14:paraId="24944FC0" w14:textId="77777777" w:rsidR="00516F31" w:rsidRDefault="00000000">
      <w:pPr>
        <w:spacing w:after="160" w:line="360" w:lineRule="auto"/>
        <w:ind w:firstLine="2268"/>
        <w:jc w:val="both"/>
      </w:pPr>
      <w:r>
        <w:t xml:space="preserve">O </w:t>
      </w:r>
      <w:r>
        <w:rPr>
          <w:i/>
          <w:iCs/>
        </w:rPr>
        <w:t>fumus</w:t>
      </w:r>
      <w:r>
        <w:t xml:space="preserve"> reconhecido na decisão repousa em posse da autora por mais de quatro décadas. Seus próprios documentos a desmentem, narrando três origens incompatíveis: (i) compra direta de Camilo e </w:t>
      </w:r>
      <w:proofErr w:type="spellStart"/>
      <w:r>
        <w:t>Braulino</w:t>
      </w:r>
      <w:proofErr w:type="spellEnd"/>
      <w:r>
        <w:t xml:space="preserve"> em 1985; (</w:t>
      </w:r>
      <w:proofErr w:type="spellStart"/>
      <w:r>
        <w:t>ii</w:t>
      </w:r>
      <w:proofErr w:type="spellEnd"/>
      <w:r>
        <w:t>) compra, em 1985, por Edis Pontes Lima, ex-marido da autora, com doação a ela apenas em 2020; e (</w:t>
      </w:r>
      <w:proofErr w:type="spellStart"/>
      <w:r>
        <w:t>iii</w:t>
      </w:r>
      <w:proofErr w:type="spellEnd"/>
      <w:r>
        <w:t>) escritura de 1982, que ela diz falsa e que descreve imóvel diverso. Se vale a segunda versão, a posse própria da autora começa em 2020, há cerca de cinco anos. Nenhuma das aquisições foi registrada na matrícula nº 7.879. A premissa da liminar, portanto, não se confirma.</w:t>
      </w:r>
    </w:p>
    <w:p w14:paraId="68C43AE9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4.7. A autora não reside no imóvel: a moradia alegada é falsa</w:t>
      </w:r>
    </w:p>
    <w:p w14:paraId="4B14E565" w14:textId="77777777" w:rsidR="00516F31" w:rsidRDefault="00000000">
      <w:pPr>
        <w:spacing w:after="160" w:line="360" w:lineRule="auto"/>
        <w:ind w:firstLine="2268"/>
        <w:jc w:val="both"/>
      </w:pPr>
      <w:r>
        <w:t xml:space="preserve">A inicial afirma que a autora reside no imóvel da Rua Peter Drucker, nº 61, há quarenta anos, de forma mansa e pacífica, fundamento que sustentou tanto o </w:t>
      </w:r>
      <w:r>
        <w:rPr>
          <w:i/>
          <w:iCs/>
        </w:rPr>
        <w:t>fumus</w:t>
      </w:r>
      <w:r>
        <w:t xml:space="preserve"> </w:t>
      </w:r>
      <w:r>
        <w:lastRenderedPageBreak/>
        <w:t xml:space="preserve">quanto o pedido de dano moral. A afirmação é desmentida pelos documentos que a própria autora produziu. A </w:t>
      </w:r>
      <w:r>
        <w:rPr>
          <w:b/>
          <w:bCs/>
        </w:rPr>
        <w:t>procuração que ela outorgou ao seu advogado</w:t>
      </w:r>
      <w:r>
        <w:t xml:space="preserve">, e que instrui esta mesma ação, qualifica-a como residente na </w:t>
      </w:r>
      <w:r>
        <w:rPr>
          <w:b/>
          <w:bCs/>
        </w:rPr>
        <w:t xml:space="preserve">Rua </w:t>
      </w:r>
      <w:proofErr w:type="spellStart"/>
      <w:r>
        <w:rPr>
          <w:b/>
          <w:bCs/>
        </w:rPr>
        <w:t>Guapirama</w:t>
      </w:r>
      <w:proofErr w:type="spellEnd"/>
      <w:r>
        <w:rPr>
          <w:b/>
          <w:bCs/>
        </w:rPr>
        <w:t>, nº 62, Cidade Nova</w:t>
      </w:r>
      <w:r>
        <w:t>. O requerimento por ela dirigido à SECT e o instrumento de doação de 2020 repetem o mesmo endereço. Nenhum deles a situa na Rua Peter Drucker. As fotografias do local, ora juntadas (doc. ___), confirmam que o imóvel não constitui sua moradia. A autora não reside onde diz residir, e a moradia inexistente não pode embasar a urgência nem o dano moral alegados.</w:t>
      </w:r>
    </w:p>
    <w:p w14:paraId="7BB12AFB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4.8. A autora vendeu, recebeu, deu quitação e silenciou: vedação ao comportamento contraditório</w:t>
      </w:r>
    </w:p>
    <w:p w14:paraId="56CAD079" w14:textId="77777777" w:rsidR="00516F31" w:rsidRDefault="00000000">
      <w:pPr>
        <w:spacing w:after="160" w:line="360" w:lineRule="auto"/>
        <w:ind w:firstLine="2268"/>
        <w:jc w:val="both"/>
      </w:pPr>
      <w:r>
        <w:t xml:space="preserve">A autora vendeu a posse à agravante em 8 de abril de 2024, com firma reconhecida e quitação expressa. Permaneceu inerte durante todo o procedimento público de usucapião, que tramitou de 2024 a 2026, sem impugná-lo. Só ajuizou esta ação em 25 de maio de 2026, </w:t>
      </w:r>
      <w:r>
        <w:rPr>
          <w:b/>
          <w:bCs/>
        </w:rPr>
        <w:t>dois meses após o registro definitivo da matrícula</w:t>
      </w:r>
      <w:r>
        <w:t xml:space="preserve">, ocorrido em 26 e 27 de março de 2026. O intervalo é eloquente. Nesse período, o imóvel, antes mera posse de área irregular e sobreposta a domínio público, foi regularizado por iniciativa e às custas exclusivas da agravante, que conduziu </w:t>
      </w:r>
      <w:proofErr w:type="gramStart"/>
      <w:r>
        <w:t>o usucapião</w:t>
      </w:r>
      <w:proofErr w:type="gramEnd"/>
      <w:r>
        <w:t>, enfrentou a impugnação do Estado, a dúvida registral e os emolumentos. Imóvel com matrícula regular vale substancialmente mais do que a posse de área irregular. A pretensão anulatória não surge de fraude, que a autora não demonstra, mas do arrependimento diante da valorização que ela não produziu. Quem vende, recebe e dá quitação não pode, depois, negar o próprio ato para reaver o bem valorizado por terceiro. É a vedação ao comportamento contraditório (</w:t>
      </w:r>
      <w:proofErr w:type="spellStart"/>
      <w:r>
        <w:rPr>
          <w:i/>
          <w:iCs/>
        </w:rPr>
        <w:t>venire</w:t>
      </w:r>
      <w:proofErr w:type="spellEnd"/>
      <w:r>
        <w:rPr>
          <w:i/>
          <w:iCs/>
        </w:rPr>
        <w:t xml:space="preserve"> contra </w:t>
      </w:r>
      <w:proofErr w:type="spellStart"/>
      <w:r>
        <w:rPr>
          <w:i/>
          <w:iCs/>
        </w:rPr>
        <w:t>factum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proprium</w:t>
      </w:r>
      <w:proofErr w:type="spellEnd"/>
      <w:r>
        <w:t>), corolário da boa-fé objetiva (art. 422 do Código Civil).</w:t>
      </w:r>
    </w:p>
    <w:p w14:paraId="3DACA45F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4.9. Quadro das contradições e a quebra da boa-fé</w:t>
      </w:r>
    </w:p>
    <w:p w14:paraId="232AB85D" w14:textId="77777777" w:rsidR="00516F31" w:rsidRDefault="00000000">
      <w:pPr>
        <w:spacing w:after="160" w:line="360" w:lineRule="auto"/>
        <w:ind w:firstLine="2268"/>
        <w:jc w:val="both"/>
      </w:pPr>
      <w:r>
        <w:t>As alegações da inicial não resistem ao cotejo com os documentos dos autos. As contradições, numeradas abaixo, não são pontuais: revelam que a narrativa de fraude foi construída contra a prova produzida pela própria autora, o que impõe seja reexaminada a verossimilhança que, em cognição sumária, sustentou a liminar.</w:t>
      </w:r>
    </w:p>
    <w:p w14:paraId="38EF982F" w14:textId="77777777" w:rsidR="00516F31" w:rsidRDefault="00516F3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55"/>
        <w:gridCol w:w="4256"/>
      </w:tblGrid>
      <w:tr w:rsidR="00516F31" w14:paraId="46D4A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AE1917" w14:textId="77777777" w:rsidR="00516F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Nº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057546" w14:textId="77777777" w:rsidR="00516F31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A autora afirma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8E8E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70EA2D" w14:textId="77777777" w:rsidR="00516F31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Os documentos provam</w:t>
            </w:r>
          </w:p>
        </w:tc>
      </w:tr>
      <w:tr w:rsidR="00516F31" w14:paraId="00054F8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127EB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753D68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Reside no imóvel da Rua Peter Drucker, nº 61, há 40 anos.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C1B337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Sua procuração, o requerimento à SECT e a doação de 2020 a declaram residente na Rua </w:t>
            </w:r>
            <w:proofErr w:type="spellStart"/>
            <w:r>
              <w:rPr>
                <w:sz w:val="21"/>
                <w:szCs w:val="21"/>
              </w:rPr>
              <w:t>Guapirama</w:t>
            </w:r>
            <w:proofErr w:type="spellEnd"/>
            <w:r>
              <w:rPr>
                <w:sz w:val="21"/>
                <w:szCs w:val="21"/>
              </w:rPr>
              <w:t>, nº 62, Cidade Nova; as fotos do local confirmam que ali não reside.</w:t>
            </w:r>
          </w:p>
        </w:tc>
      </w:tr>
      <w:tr w:rsidR="00516F31" w14:paraId="00EBE4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89BF9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14868F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Exerce posse própria há mais de 40 anos.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B0140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 doação que invoca é de 2020 e atribui a posse “há mais de 35 anos” a Edis, seu ex-marido; a posse própria não passa de cerca de 5 anos.</w:t>
            </w:r>
          </w:p>
        </w:tc>
      </w:tr>
      <w:tr w:rsidR="00516F31" w14:paraId="62D3A1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A0F3BE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B3C792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 xml:space="preserve">Comprou de Camilo e </w:t>
            </w:r>
            <w:proofErr w:type="spellStart"/>
            <w:r>
              <w:rPr>
                <w:sz w:val="21"/>
                <w:szCs w:val="21"/>
              </w:rPr>
              <w:t>Braulino</w:t>
            </w:r>
            <w:proofErr w:type="spellEnd"/>
            <w:r>
              <w:rPr>
                <w:sz w:val="21"/>
                <w:szCs w:val="21"/>
              </w:rPr>
              <w:t xml:space="preserve"> em 1985.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FC0188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As notas promissórias de 1985 foram emitidas por Edis, não por ela; e a escritura de 1982, que diz falsa, descreve imóvel diverso.</w:t>
            </w:r>
          </w:p>
        </w:tc>
      </w:tr>
      <w:tr w:rsidR="00516F31" w14:paraId="57C179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F749E0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D9F53D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Jamais vendeu ou assinou o contrato.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A1D6FD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 contrato de 08.04.2024 tem firma reconhecida por autenticidade, lançada presencialmente em cartório.</w:t>
            </w:r>
          </w:p>
        </w:tc>
      </w:tr>
      <w:tr w:rsidR="00516F31" w14:paraId="734977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67E243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5FEA53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Não recebeu o preço.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AD3EA7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 próprio instrumento contém quitação expressa de R$ 800.000,00.</w:t>
            </w:r>
          </w:p>
        </w:tc>
      </w:tr>
      <w:tr w:rsidR="00516F31" w14:paraId="7F69BBB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8C1CC3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38638B" w14:textId="77777777" w:rsidR="00516F31" w:rsidRDefault="00000000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O usucapião</w:t>
            </w:r>
            <w:proofErr w:type="gramEnd"/>
            <w:r>
              <w:rPr>
                <w:sz w:val="21"/>
                <w:szCs w:val="21"/>
              </w:rPr>
              <w:t xml:space="preserve"> foi “sorrateiro e silencioso”.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4FAB42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O procedimento foi público (edital); a única impugnação foi do Estado; houve sentença, com anuência do Estado e do MP.</w:t>
            </w:r>
          </w:p>
        </w:tc>
      </w:tr>
      <w:tr w:rsidR="00516F31" w14:paraId="6685D3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5288C3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5664C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 redução de área prova a fraude.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425A10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A redução é a exclusão judicial dos 3.973,54 m² públicos (20.569,90 menos 3.973,54 igual a aprox. 16.595,46).</w:t>
            </w:r>
          </w:p>
        </w:tc>
      </w:tr>
      <w:tr w:rsidR="00516F31" w14:paraId="653339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0559D9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54A462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Nasceu em 24.02.1950 (procuração e SECT).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33398A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Seu CPF, a doação e o B.O. registram 31.01.1957; a própria identidade oscila.</w:t>
            </w:r>
          </w:p>
        </w:tc>
      </w:tr>
      <w:tr w:rsidR="00516F31" w14:paraId="04EA147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73498" w14:textId="77777777" w:rsidR="00516F31" w:rsidRDefault="00000000">
            <w:pPr>
              <w:spacing w:line="264" w:lineRule="auto"/>
              <w:jc w:val="center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25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1992D8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Foi “surpreendida” em 15.05.2026.</w:t>
            </w:r>
          </w:p>
        </w:tc>
        <w:tc>
          <w:tcPr>
            <w:tcW w:w="425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234A67" w14:textId="77777777" w:rsidR="00516F31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Litiga pela área desde 2022, mantém processo na SECT desde 2023 e vendeu a posse em 2024.</w:t>
            </w:r>
          </w:p>
        </w:tc>
      </w:tr>
    </w:tbl>
    <w:p w14:paraId="23207BF7" w14:textId="77777777" w:rsidR="00516F31" w:rsidRDefault="00000000">
      <w:pPr>
        <w:spacing w:after="160" w:line="360" w:lineRule="auto"/>
        <w:ind w:firstLine="2268"/>
        <w:jc w:val="both"/>
      </w:pPr>
      <w:r>
        <w:t>Diante desse quadro, a presunção de boa-fé que beneficiou a autora não subsiste. A alteração da verdade dos fatos (art. 80, I e II, do CPC) é objetiva: apresentou como fraude o que decorreu de procedimento público e de sentença, cuja existência omitiu, e afirmou residir onde não reside.</w:t>
      </w:r>
    </w:p>
    <w:p w14:paraId="30407EEF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4.10. A assinatura da procuração é antiga e diverge das firmas reconhecidas: dúvida sobre a representação e necessidade de prova de vida</w:t>
      </w:r>
    </w:p>
    <w:p w14:paraId="35526640" w14:textId="77777777" w:rsidR="00516F31" w:rsidRDefault="00000000">
      <w:pPr>
        <w:spacing w:after="160" w:line="360" w:lineRule="auto"/>
        <w:ind w:firstLine="2268"/>
        <w:jc w:val="both"/>
      </w:pPr>
      <w:r>
        <w:t xml:space="preserve">A autora imputa falsidade ao contrato de 8 de abril de 2024 sob o argumento de divergência de assinatura. O argumento, porém, volta-se contra ela. A assinatura lançada na procuração que outorgou ao seu advogado, e que é o único título de representação nesta ação, </w:t>
      </w:r>
      <w:r>
        <w:rPr>
          <w:b/>
          <w:bCs/>
        </w:rPr>
        <w:t>além de antiga, é visivelmente distinta das firmas reconhecidas por autenticidade</w:t>
      </w:r>
      <w:r>
        <w:t xml:space="preserve"> no contrato e nos atos notariais </w:t>
      </w:r>
      <w:proofErr w:type="gramStart"/>
      <w:r>
        <w:t>do usucapião</w:t>
      </w:r>
      <w:proofErr w:type="gramEnd"/>
      <w:r>
        <w:t>. Instala-se, assim, um impasse que a autora não resolve: se a assinatura verdadeira é a da procuração, então ela destoa das reconhecidas em cartório; se as reconhecidas são autênticas, é a procuração que não confere. Em qualquer hipótese, a tese de falsidade documental deixa de favorecer a autora e passa a comprometer a regularidade da sua própria representação processual (</w:t>
      </w:r>
      <w:proofErr w:type="spellStart"/>
      <w:r>
        <w:t>arts</w:t>
      </w:r>
      <w:proofErr w:type="spellEnd"/>
      <w:r>
        <w:t>. 104 e 105 do CPC).</w:t>
      </w:r>
    </w:p>
    <w:p w14:paraId="35296D68" w14:textId="77777777" w:rsidR="00516F31" w:rsidRDefault="00000000">
      <w:pPr>
        <w:spacing w:after="160" w:line="360" w:lineRule="auto"/>
        <w:ind w:firstLine="2268"/>
        <w:jc w:val="both"/>
      </w:pPr>
      <w:r>
        <w:lastRenderedPageBreak/>
        <w:t xml:space="preserve">A dúvida não é isolada. Soma-se a ela que o </w:t>
      </w:r>
      <w:r>
        <w:rPr>
          <w:b/>
          <w:bCs/>
        </w:rPr>
        <w:t>Boletim de Ocorrência foi lavrado pelo próprio advogado, dois dias após o ajuizamento</w:t>
      </w:r>
      <w:r>
        <w:t xml:space="preserve">, e não pela suposta vítima; que a identidade da autora oscila, com data de nascimento ora em 1950, ora em 1957; e que o endereço declarado na inicial (Rua Peter Drucker) não coincide com o que consta da própria procuração e dos demais documentos (Rua </w:t>
      </w:r>
      <w:proofErr w:type="spellStart"/>
      <w:r>
        <w:t>Guapirama</w:t>
      </w:r>
      <w:proofErr w:type="spellEnd"/>
      <w:r>
        <w:t>). O conjunto sugere que a demanda pode estar sendo conduzida sem a efetiva ciência, vontade ou mesmo presença da autora.</w:t>
      </w:r>
    </w:p>
    <w:p w14:paraId="1157058D" w14:textId="77777777" w:rsidR="00516F31" w:rsidRDefault="00000000">
      <w:pPr>
        <w:spacing w:after="160" w:line="360" w:lineRule="auto"/>
        <w:ind w:firstLine="2268"/>
        <w:jc w:val="both"/>
      </w:pPr>
      <w:r>
        <w:t>Por isso, antes de manter qualquer constrição sobre patrimônio de terceiro de boa-fé, impõe-se medida de saneamento (</w:t>
      </w:r>
      <w:proofErr w:type="spellStart"/>
      <w:r>
        <w:t>arts</w:t>
      </w:r>
      <w:proofErr w:type="spellEnd"/>
      <w:r>
        <w:t xml:space="preserve">. 76 e 139, IX, do CPC): a </w:t>
      </w:r>
      <w:r>
        <w:rPr>
          <w:b/>
          <w:bCs/>
        </w:rPr>
        <w:t>intimação pessoal da autora</w:t>
      </w:r>
      <w:r>
        <w:t xml:space="preserve">, no endereço que efetivamente consta de seus documentos, e o seu </w:t>
      </w:r>
      <w:r>
        <w:rPr>
          <w:b/>
          <w:bCs/>
        </w:rPr>
        <w:t>comparecimento pessoal em juízo, a título de prova de vida</w:t>
      </w:r>
      <w:r>
        <w:t>, para confirmar que está viva, ciente e de acordo com a propositura desta ação. A diligência protege a própria autora e a higidez do processo, e deve preceder a discussão sobre a manutenção do bloqueio.</w:t>
      </w:r>
      <w:r>
        <w:rPr>
          <w:rStyle w:val="Refdenotaderodap"/>
        </w:rPr>
        <w:footnoteReference w:id="2"/>
      </w:r>
    </w:p>
    <w:p w14:paraId="527CB2BC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4.11. Os documentos da autora são, em boa parte, ilegíveis: imprestabilidade probatória e desentranhamento</w:t>
      </w:r>
    </w:p>
    <w:p w14:paraId="14E1BF33" w14:textId="77777777" w:rsidR="00516F31" w:rsidRDefault="00000000">
      <w:pPr>
        <w:spacing w:after="160" w:line="360" w:lineRule="auto"/>
        <w:ind w:firstLine="2268"/>
        <w:jc w:val="both"/>
      </w:pPr>
      <w:r>
        <w:t xml:space="preserve">A autora instrui a inicial e o pedido liminar com diversos documentos </w:t>
      </w:r>
      <w:r>
        <w:rPr>
          <w:b/>
          <w:bCs/>
        </w:rPr>
        <w:t>borrados, ilegíveis ou parcialmente ininteligíveis</w:t>
      </w:r>
      <w:r>
        <w:t>, dos quais não se extrai com segurança data, assinatura, partes ou conteúdo. Documento que não pode ser lido não prova, e tampouco permite o contraditório, pois a parte contrária não tem como impugnar o que não consegue ler (</w:t>
      </w:r>
      <w:proofErr w:type="spellStart"/>
      <w:r>
        <w:t>arts</w:t>
      </w:r>
      <w:proofErr w:type="spellEnd"/>
      <w:r>
        <w:t>. 9º e 369 do CPC). Como o ônus de provar os fatos constitutivos é da autora (art. 373, I, do CPC), a verossimilhança da liminar não pode repousar em peças que sequer se deixam decifrar.</w:t>
      </w:r>
    </w:p>
    <w:p w14:paraId="3370C665" w14:textId="77777777" w:rsidR="00516F31" w:rsidRDefault="00000000">
      <w:pPr>
        <w:spacing w:after="160" w:line="360" w:lineRule="auto"/>
        <w:ind w:firstLine="2268"/>
        <w:jc w:val="both"/>
      </w:pPr>
      <w:r>
        <w:t xml:space="preserve">Impõe-se, por isso, que a autora seja intimada a substituir os documentos ilegíveis por cópias legíveis, no prazo do art. 435 do CPC, sob pena de </w:t>
      </w:r>
      <w:r>
        <w:rPr>
          <w:b/>
          <w:bCs/>
        </w:rPr>
        <w:t>desentranhamento</w:t>
      </w:r>
      <w:r>
        <w:t xml:space="preserve"> daqueles que permanecerem borrados e de não os considerar para qualquer efeito. Tudo o que estiver ilegível deve ser desentranhado, não podendo servir de base à cognição sumária nem à manutenção do bloqueio.</w:t>
      </w:r>
    </w:p>
    <w:p w14:paraId="0877D362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4.12. A gratuidade da justiça foi concedida sem amparo</w:t>
      </w:r>
    </w:p>
    <w:p w14:paraId="77F4FD09" w14:textId="77777777" w:rsidR="00516F31" w:rsidRDefault="00000000">
      <w:pPr>
        <w:spacing w:after="160" w:line="360" w:lineRule="auto"/>
        <w:ind w:firstLine="2268"/>
        <w:jc w:val="both"/>
      </w:pPr>
      <w:r>
        <w:t xml:space="preserve">A presunção de hipossuficiência é relativa (art. 99, § 3º) e cede a elementos em contrário (art. 99, § 2º). A autora disputa imóvel urbano de 16.595,46 m² em </w:t>
      </w:r>
      <w:r>
        <w:lastRenderedPageBreak/>
        <w:t xml:space="preserve">Manaus e atribuiu à causa R$ 900.000,00. Quem se diz proprietária de patrimônio dessa monta não ostenta, </w:t>
      </w:r>
      <w:r>
        <w:rPr>
          <w:i/>
          <w:iCs/>
        </w:rPr>
        <w:t>prima facie</w:t>
      </w:r>
      <w:r>
        <w:t>, hipossuficiência para a gratuidade integral, ainda mais estendida a emolumentos. Impõe-se a revogação ou, ao menos, a intimação para comprovar a alegada insuficiência.</w:t>
      </w:r>
      <w:r>
        <w:rPr>
          <w:rStyle w:val="Refdenotaderodap"/>
        </w:rPr>
        <w:footnoteReference w:id="3"/>
      </w:r>
    </w:p>
    <w:p w14:paraId="0C9C4972" w14:textId="77777777" w:rsidR="00516F31" w:rsidRDefault="00000000">
      <w:pPr>
        <w:spacing w:before="200" w:after="100" w:line="360" w:lineRule="auto"/>
        <w:jc w:val="both"/>
      </w:pPr>
      <w:r>
        <w:rPr>
          <w:b/>
          <w:bCs/>
        </w:rPr>
        <w:t>4.13. O bloqueio total é desproporcional; a averbação da ação é o meio idôneo</w:t>
      </w:r>
    </w:p>
    <w:p w14:paraId="62BA419A" w14:textId="77777777" w:rsidR="00516F31" w:rsidRDefault="00000000">
      <w:pPr>
        <w:spacing w:after="160" w:line="360" w:lineRule="auto"/>
        <w:ind w:firstLine="2268"/>
        <w:jc w:val="both"/>
      </w:pPr>
      <w:r>
        <w:t xml:space="preserve">Ainda que houvesse plausibilidade, o bloqueio total, indefinido e </w:t>
      </w:r>
      <w:r>
        <w:rPr>
          <w:i/>
          <w:iCs/>
        </w:rPr>
        <w:t>inaudita altera parte</w:t>
      </w:r>
      <w:r>
        <w:t xml:space="preserve">, é desproporcional. A reversibilidade é unilateral (art. 300, § 3º): a autora nada perde com a substituição do bloqueio pela averbação da existência da ação; a agravante, titular registral de boa-fé (art. 5º, XXII, da CF; art. 1.228 do CC), suporta desde já a indisponibilidade do ativo e a perda do negócio. A publicidade da lide e a proteção de terceiros ficam asseguradas pela averbação premonitória (art. 167, I, item 21, da Lei nº 6.015/73), meio menos gravoso (art. 805 do CPC, por analogia). Falta, ademais, o </w:t>
      </w:r>
      <w:r>
        <w:rPr>
          <w:i/>
          <w:iCs/>
        </w:rPr>
        <w:t>periculum</w:t>
      </w:r>
      <w:r>
        <w:t>, pois a própria autora demorou meses, após o registro, para agir.</w:t>
      </w:r>
      <w:r>
        <w:rPr>
          <w:rStyle w:val="Refdenotaderodap"/>
        </w:rPr>
        <w:footnoteReference w:id="4"/>
      </w:r>
    </w:p>
    <w:p w14:paraId="1E738AB6" w14:textId="77777777" w:rsidR="00516F31" w:rsidRDefault="00000000">
      <w:pPr>
        <w:spacing w:before="260" w:after="120" w:line="360" w:lineRule="auto"/>
      </w:pPr>
      <w:r>
        <w:rPr>
          <w:b/>
          <w:bCs/>
        </w:rPr>
        <w:t>V. DO EFEITO SUSPENSIVO</w:t>
      </w:r>
    </w:p>
    <w:p w14:paraId="519D32D2" w14:textId="77777777" w:rsidR="00516F31" w:rsidRDefault="00000000">
      <w:pPr>
        <w:spacing w:after="160" w:line="360" w:lineRule="auto"/>
        <w:ind w:firstLine="2268"/>
        <w:jc w:val="both"/>
      </w:pPr>
      <w:r>
        <w:t>Presentes a probabilidade de provimento (itens 4.1 a 4.11) e o risco de dano grave (bloqueio total que congela o ativo e paralisa negócio em curso), requer-se a concessão de efeito suspensivo pelo Relator (art. 1.019, I, c/c art. 995, parágrafo único, do CPC), com imediata comunicação ao 3º Ofício de Registro de Imóveis.</w:t>
      </w:r>
    </w:p>
    <w:p w14:paraId="16B37FCD" w14:textId="77777777" w:rsidR="00516F31" w:rsidRDefault="00000000">
      <w:pPr>
        <w:spacing w:before="260" w:after="120" w:line="360" w:lineRule="auto"/>
      </w:pPr>
      <w:r>
        <w:rPr>
          <w:b/>
          <w:bCs/>
        </w:rPr>
        <w:t>VI. DOS PEDIDOS</w:t>
      </w:r>
    </w:p>
    <w:p w14:paraId="7F3AA952" w14:textId="77777777" w:rsidR="00516F31" w:rsidRDefault="00000000">
      <w:pPr>
        <w:spacing w:after="80" w:line="360" w:lineRule="auto"/>
        <w:ind w:firstLine="2268"/>
        <w:jc w:val="both"/>
      </w:pPr>
      <w:r>
        <w:t>Requer-se:</w:t>
      </w:r>
    </w:p>
    <w:p w14:paraId="087EA46E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a) </w:t>
      </w:r>
      <w:r>
        <w:t>o conhecimento e o provimento do agravo;</w:t>
      </w:r>
    </w:p>
    <w:p w14:paraId="7D76CA2D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b) </w:t>
      </w:r>
      <w:r>
        <w:t>a concessão de efeito suspensivo (itens 4.13 e V), sustando o bloqueio da matrícula nº 81.951, com comunicação ao 3º Ofício de Registro de Imóveis;</w:t>
      </w:r>
    </w:p>
    <w:p w14:paraId="513725B8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c) </w:t>
      </w:r>
      <w:r>
        <w:t>a abertura da janela de retratação ao Juízo de origem (art. 1.018, § 1º);</w:t>
      </w:r>
    </w:p>
    <w:p w14:paraId="4BAEE9F8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d) </w:t>
      </w:r>
      <w:r>
        <w:t>no mérito, a revogação da tutela de urgência (itens 4.1 a 4.11 e 4.13) e, subsidiariamente, sua substituição pela averbação da existência da ação (art. 167, I, item 21, da Lei nº 6.015/73);</w:t>
      </w:r>
    </w:p>
    <w:p w14:paraId="1052BF0A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lastRenderedPageBreak/>
        <w:t xml:space="preserve">e) </w:t>
      </w:r>
      <w:r>
        <w:t>a revogação da gratuidade da justiça ou, subsidiariamente, a intimação da agravada para comprová-la (item 4.12);</w:t>
      </w:r>
    </w:p>
    <w:p w14:paraId="5177A458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f) </w:t>
      </w:r>
      <w:r>
        <w:t xml:space="preserve">a intimação pessoal da agravada, no endereço constante de seus documentos, e o seu comparecimento pessoal em juízo, a título de </w:t>
      </w:r>
      <w:r>
        <w:rPr>
          <w:i/>
          <w:iCs/>
        </w:rPr>
        <w:t>prova de vida</w:t>
      </w:r>
      <w:r>
        <w:t>, para confirmar a ciência, a vontade e a regularidade da representação (itens 4.9 e 4.10);</w:t>
      </w:r>
    </w:p>
    <w:p w14:paraId="75E8A945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g) </w:t>
      </w:r>
      <w:r>
        <w:t>a intimação da agravada para substituir os documentos ilegíveis por cópias legíveis (art. 435 do CPC), sob pena de desentranhamento dos que permanecerem borrados e de não serem considerados para qualquer efeito (item 4.11);</w:t>
      </w:r>
    </w:p>
    <w:p w14:paraId="79B2AC15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h) </w:t>
      </w:r>
      <w:r>
        <w:t>o reconhecimento da litigância de má-fé (itens 4.8, 4.9 e 4.10);</w:t>
      </w:r>
    </w:p>
    <w:p w14:paraId="568090BF" w14:textId="77777777" w:rsidR="00516F31" w:rsidRDefault="00000000">
      <w:pPr>
        <w:spacing w:after="100" w:line="360" w:lineRule="auto"/>
        <w:ind w:left="2268" w:hanging="1908"/>
        <w:jc w:val="both"/>
      </w:pPr>
      <w:r>
        <w:rPr>
          <w:b/>
          <w:bCs/>
        </w:rPr>
        <w:t xml:space="preserve">i) </w:t>
      </w:r>
      <w:r>
        <w:t>a juntada dos documentos que instruem o recurso (art. 1.017 do CPC).</w:t>
      </w:r>
    </w:p>
    <w:p w14:paraId="1D3DD79D" w14:textId="77777777" w:rsidR="00516F31" w:rsidRDefault="00000000">
      <w:pPr>
        <w:spacing w:after="200" w:line="360" w:lineRule="auto"/>
        <w:ind w:firstLine="2268"/>
        <w:jc w:val="both"/>
      </w:pPr>
      <w:r>
        <w:t>Termos em que pede deferimento.</w:t>
      </w:r>
    </w:p>
    <w:p w14:paraId="68856EE9" w14:textId="77777777" w:rsidR="00516F31" w:rsidRDefault="00000000">
      <w:pPr>
        <w:spacing w:after="220" w:line="360" w:lineRule="auto"/>
        <w:jc w:val="both"/>
      </w:pPr>
      <w:r>
        <w:t>Manaus, [data].</w:t>
      </w:r>
    </w:p>
    <w:p w14:paraId="61FCC86B" w14:textId="77777777" w:rsidR="00516F31" w:rsidRDefault="00000000">
      <w:pPr>
        <w:spacing w:after="40" w:line="360" w:lineRule="auto"/>
        <w:jc w:val="both"/>
      </w:pPr>
      <w:r>
        <w:t>___________________________________</w:t>
      </w:r>
    </w:p>
    <w:p w14:paraId="39A1A0AA" w14:textId="77777777" w:rsidR="00516F31" w:rsidRDefault="00000000">
      <w:pPr>
        <w:spacing w:line="360" w:lineRule="auto"/>
        <w:jc w:val="both"/>
      </w:pPr>
      <w:r>
        <w:t>[Nome do(a) advogado(a)]</w:t>
      </w:r>
    </w:p>
    <w:p w14:paraId="089D73E6" w14:textId="77777777" w:rsidR="00516F31" w:rsidRDefault="00000000">
      <w:pPr>
        <w:spacing w:line="360" w:lineRule="auto"/>
        <w:jc w:val="both"/>
      </w:pPr>
      <w:r>
        <w:t>OAB/AM [nº]</w:t>
      </w:r>
    </w:p>
    <w:sectPr w:rsidR="00516F3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EA9DB" w14:textId="77777777" w:rsidR="00807B95" w:rsidRDefault="00807B95">
      <w:r>
        <w:separator/>
      </w:r>
    </w:p>
  </w:endnote>
  <w:endnote w:type="continuationSeparator" w:id="0">
    <w:p w14:paraId="1CF528EB" w14:textId="77777777" w:rsidR="00807B95" w:rsidRDefault="0080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D049" w14:textId="77777777" w:rsidR="00516F31" w:rsidRDefault="00000000">
    <w:pPr>
      <w:tabs>
        <w:tab w:val="right" w:pos="9071"/>
      </w:tabs>
    </w:pPr>
    <w:r>
      <w:rPr>
        <w:color w:val="808080"/>
        <w:sz w:val="18"/>
        <w:szCs w:val="18"/>
      </w:rPr>
      <w:t xml:space="preserve">Agravo de </w:t>
    </w:r>
    <w:proofErr w:type="gramStart"/>
    <w:r>
      <w:rPr>
        <w:color w:val="808080"/>
        <w:sz w:val="18"/>
        <w:szCs w:val="18"/>
      </w:rPr>
      <w:t>Instrumento  |</w:t>
    </w:r>
    <w:proofErr w:type="gramEnd"/>
    <w:r>
      <w:rPr>
        <w:color w:val="808080"/>
        <w:sz w:val="18"/>
        <w:szCs w:val="18"/>
      </w:rPr>
      <w:t xml:space="preserve">  Autos de origem nº 0150438-52.2026.8.04.1000</w:t>
    </w:r>
    <w:r>
      <w:rPr>
        <w:color w:val="808080"/>
        <w:sz w:val="18"/>
        <w:szCs w:val="18"/>
      </w:rPr>
      <w:tab/>
      <w:t xml:space="preserve">Pág.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2673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FE4B6" w14:textId="77777777" w:rsidR="00807B95" w:rsidRDefault="00807B95">
      <w:r>
        <w:separator/>
      </w:r>
    </w:p>
  </w:footnote>
  <w:footnote w:type="continuationSeparator" w:id="0">
    <w:p w14:paraId="0AD579B2" w14:textId="77777777" w:rsidR="00807B95" w:rsidRDefault="00807B95">
      <w:r>
        <w:continuationSeparator/>
      </w:r>
    </w:p>
  </w:footnote>
  <w:footnote w:id="1">
    <w:p w14:paraId="344330F3" w14:textId="77777777" w:rsidR="00516F31" w:rsidRDefault="00000000">
      <w:r>
        <w:rPr>
          <w:rStyle w:val="Refdenotaderodap"/>
        </w:rPr>
        <w:footnoteRef/>
      </w:r>
      <w:r>
        <w:rPr>
          <w:sz w:val="18"/>
          <w:szCs w:val="18"/>
        </w:rPr>
        <w:t>Inserir 1 precedente (STJ ou TJAM) sobre o ônus da prova da falsidade documental recair sobre quem a alega (art. 429, I, do CPC), transcrevendo apenas o trecho do ratio decidendi.</w:t>
      </w:r>
    </w:p>
  </w:footnote>
  <w:footnote w:id="2">
    <w:p w14:paraId="10B9AD27" w14:textId="77777777" w:rsidR="00516F31" w:rsidRDefault="00000000">
      <w:r>
        <w:rPr>
          <w:rStyle w:val="Refdenotaderodap"/>
        </w:rPr>
        <w:footnoteRef/>
      </w:r>
      <w:r>
        <w:rPr>
          <w:sz w:val="18"/>
          <w:szCs w:val="18"/>
        </w:rPr>
        <w:t>Fundamento no dever de saneamento e na regularização da representação (arts. 76, 104, 105 e 139, IX, do CPC). Caso se localize, inserir precedente sobre determinação de comparecimento pessoal da parte diante de dúvida sobre a autenticidade do mandato.</w:t>
      </w:r>
    </w:p>
  </w:footnote>
  <w:footnote w:id="3">
    <w:p w14:paraId="3E346099" w14:textId="77777777" w:rsidR="00516F31" w:rsidRDefault="00000000">
      <w:r>
        <w:rPr>
          <w:rStyle w:val="Refdenotaderodap"/>
        </w:rPr>
        <w:footnoteRef/>
      </w:r>
      <w:r>
        <w:rPr>
          <w:sz w:val="18"/>
          <w:szCs w:val="18"/>
        </w:rPr>
        <w:t>Inserir 1 precedente sobre a presunção relativa de hipossuficiência e a possibilidade de indeferir a gratuidade, ou exigir comprovação, diante de indícios de capacidade econômica (art. 99, § 2º, do CPC).</w:t>
      </w:r>
    </w:p>
  </w:footnote>
  <w:footnote w:id="4">
    <w:p w14:paraId="7A6AA698" w14:textId="77777777" w:rsidR="00516F31" w:rsidRDefault="00000000">
      <w:r>
        <w:rPr>
          <w:rStyle w:val="Refdenotaderodap"/>
        </w:rPr>
        <w:footnoteRef/>
      </w:r>
      <w:r>
        <w:rPr>
          <w:sz w:val="18"/>
          <w:szCs w:val="18"/>
        </w:rPr>
        <w:t>Inserir 1 precedente sobre a averbação premonitória (art. 167, I, item 21, da Lei nº 6.015/73) como medida adequada e menos gravosa que o bloqueio ou a indisponibilidade da matrícula.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B40A0"/>
    <w:multiLevelType w:val="hybridMultilevel"/>
    <w:tmpl w:val="DE1EAB7E"/>
    <w:lvl w:ilvl="0" w:tplc="9EFCA9C2">
      <w:start w:val="1"/>
      <w:numFmt w:val="bullet"/>
      <w:lvlText w:val="●"/>
      <w:lvlJc w:val="left"/>
      <w:pPr>
        <w:ind w:left="720" w:hanging="360"/>
      </w:pPr>
    </w:lvl>
    <w:lvl w:ilvl="1" w:tplc="0098168C">
      <w:start w:val="1"/>
      <w:numFmt w:val="bullet"/>
      <w:lvlText w:val="○"/>
      <w:lvlJc w:val="left"/>
      <w:pPr>
        <w:ind w:left="1440" w:hanging="360"/>
      </w:pPr>
    </w:lvl>
    <w:lvl w:ilvl="2" w:tplc="381A8A0C">
      <w:start w:val="1"/>
      <w:numFmt w:val="bullet"/>
      <w:lvlText w:val="■"/>
      <w:lvlJc w:val="left"/>
      <w:pPr>
        <w:ind w:left="2160" w:hanging="360"/>
      </w:pPr>
    </w:lvl>
    <w:lvl w:ilvl="3" w:tplc="710C38D2">
      <w:start w:val="1"/>
      <w:numFmt w:val="bullet"/>
      <w:lvlText w:val="●"/>
      <w:lvlJc w:val="left"/>
      <w:pPr>
        <w:ind w:left="2880" w:hanging="360"/>
      </w:pPr>
    </w:lvl>
    <w:lvl w:ilvl="4" w:tplc="3B2C50BE">
      <w:start w:val="1"/>
      <w:numFmt w:val="bullet"/>
      <w:lvlText w:val="○"/>
      <w:lvlJc w:val="left"/>
      <w:pPr>
        <w:ind w:left="3600" w:hanging="360"/>
      </w:pPr>
    </w:lvl>
    <w:lvl w:ilvl="5" w:tplc="1CD0D2C8">
      <w:start w:val="1"/>
      <w:numFmt w:val="bullet"/>
      <w:lvlText w:val="■"/>
      <w:lvlJc w:val="left"/>
      <w:pPr>
        <w:ind w:left="4320" w:hanging="360"/>
      </w:pPr>
    </w:lvl>
    <w:lvl w:ilvl="6" w:tplc="EF705CD4">
      <w:start w:val="1"/>
      <w:numFmt w:val="bullet"/>
      <w:lvlText w:val="●"/>
      <w:lvlJc w:val="left"/>
      <w:pPr>
        <w:ind w:left="5040" w:hanging="360"/>
      </w:pPr>
    </w:lvl>
    <w:lvl w:ilvl="7" w:tplc="C82CE0CE">
      <w:start w:val="1"/>
      <w:numFmt w:val="bullet"/>
      <w:lvlText w:val="●"/>
      <w:lvlJc w:val="left"/>
      <w:pPr>
        <w:ind w:left="5760" w:hanging="360"/>
      </w:pPr>
    </w:lvl>
    <w:lvl w:ilvl="8" w:tplc="CEDEA692">
      <w:start w:val="1"/>
      <w:numFmt w:val="bullet"/>
      <w:lvlText w:val="●"/>
      <w:lvlJc w:val="left"/>
      <w:pPr>
        <w:ind w:left="6480" w:hanging="360"/>
      </w:pPr>
    </w:lvl>
  </w:abstractNum>
  <w:num w:numId="1" w16cid:durableId="536940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31"/>
    <w:rsid w:val="00516F31"/>
    <w:rsid w:val="00807B95"/>
    <w:rsid w:val="00D2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E4E59"/>
  <w15:docId w15:val="{2C006770-00A6-6D4A-BE1C-1B488FBF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2917</Words>
  <Characters>15753</Characters>
  <Application>Microsoft Office Word</Application>
  <DocSecurity>0</DocSecurity>
  <Lines>131</Lines>
  <Paragraphs>37</Paragraphs>
  <ScaleCrop>false</ScaleCrop>
  <Company/>
  <LinksUpToDate>false</LinksUpToDate>
  <CharactersWithSpaces>18633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Thais chalub</cp:lastModifiedBy>
  <cp:revision>2</cp:revision>
  <dcterms:created xsi:type="dcterms:W3CDTF">2026-06-22T14:30:00Z</dcterms:created>
  <dcterms:modified xsi:type="dcterms:W3CDTF">2026-06-22T14:30:00Z</dcterms:modified>
</cp:coreProperties>
</file>