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/>
        <w:jc w:val="both"/>
      </w:pPr>
      <w:r>
        <w:rPr>
          <w:b/>
          <w:bCs/>
        </w:rPr>
        <w:t xml:space="preserve">EXCELENTÍSSIMO SENHOR DOUTOR DESEMBARGADOR PRESIDENTE DA SEÇÃO CÍVEL DO EGRÉGIO TRIBUNAL DE JUSTIÇA DO ESTADO DO AMAZONAS — RELATOR A QUEM FOR DISTRIBUÍDO O PRESENTE RECURSO</w:t>
      </w:r>
    </w:p>
    <w:p>
      <w:pPr>
        <w:spacing w:after="80" w:line="360"/>
        <w:jc w:val="right"/>
      </w:pPr>
      <w:r>
        <w:rPr>
          <w:b/>
          <w:bCs/>
        </w:rPr>
        <w:t xml:space="preserve">Autos de origem nº 0150438-52.2026.8.04.1000</w:t>
      </w:r>
    </w:p>
    <w:p>
      <w:pPr>
        <w:spacing w:after="360" w:line="360"/>
        <w:jc w:val="right"/>
      </w:pPr>
      <w:r>
        <w:t xml:space="preserve">15ª Vara Cível e de Acidentes de Trabalho da Comarca de Manaus/AM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3V HOLDING PARTICIPAÇÕES LTDA.</w:t>
      </w:r>
      <w:r>
        <w:t xml:space="preserve">, pessoa jurídica de direito privado, inscrita no CNPJ sob o nº 37.578.132/0001-05, com sede na Rua Madrid, nº 15, Quadra 7, Conjunto Dourado, bairro Dom Pedro, Manaus/AM, CEP 69057-780, e </w:t>
      </w:r>
      <w:r>
        <w:rPr>
          <w:b/>
          <w:bCs/>
        </w:rPr>
        <w:t xml:space="preserve">PAULO VITOR VIEIRA VALENÇA</w:t>
      </w:r>
      <w:r>
        <w:t xml:space="preserve">, brasileiro, empresário, portador do RG nº 255144682 SSP/AM, inscrito no CPF sob o nº 816.550.702-00, residente e domiciliado no mesmo endereço, ora </w:t>
      </w:r>
      <w:r>
        <w:rPr>
          <w:b/>
          <w:bCs/>
        </w:rPr>
        <w:t xml:space="preserve">AGRAVANTES</w:t>
      </w:r>
      <w:r>
        <w:t xml:space="preserve">, por seus advogados que esta subscrevem (procuração já encartada nos autos de origem), vêm, respeitosamente, à presença de Vossa Excelência, com fundamento no art. 1.015, inciso I, e no art. 1.019, inciso I, ambos do Código de Processo Civil, interpor o presente</w:t>
      </w:r>
    </w:p>
    <w:p>
      <w:pPr>
        <w:spacing w:after="200" w:line="360"/>
        <w:ind w:firstLine="709"/>
        <w:jc w:val="center"/>
      </w:pPr>
      <w:r>
        <w:rPr>
          <w:b/>
          <w:bCs/>
        </w:rPr>
        <w:t xml:space="preserve">AGRAVO DE INSTRUMENTO, COM PEDIDO DE EFEITO SUSPENSIVO</w:t>
      </w:r>
    </w:p>
    <w:p>
      <w:pPr>
        <w:spacing w:after="200" w:line="360"/>
        <w:ind w:firstLine="709"/>
        <w:jc w:val="both"/>
      </w:pPr>
      <w:r>
        <w:t xml:space="preserve">em face da r. decisão interlocutória de mov. 7.1, proferida em 18 de junho de 2026 pelo MM. Juízo da 15ª Vara Cível e de Acidentes de Trabalho da Comarca de Manaus/AM, nos autos da </w:t>
      </w:r>
      <w:r>
        <w:rPr>
          <w:i/>
          <w:iCs/>
        </w:rPr>
        <w:t xml:space="preserve">Ação Declaratória de Nulidade de Negócio Jurídico c/c Cancelamento de Registro Imobiliário, Danos Morais e Pedido de Tutela de Urgência Cautelar</w:t>
      </w:r>
      <w:r>
        <w:t xml:space="preserve"> que lhes move </w:t>
      </w:r>
      <w:r>
        <w:rPr>
          <w:b/>
          <w:bCs/>
        </w:rPr>
        <w:t xml:space="preserve">MARILENE COELHO FONTINELLI</w:t>
      </w:r>
      <w:r>
        <w:t xml:space="preserve">, já qualificada nos autos de origem, ora </w:t>
      </w:r>
      <w:r>
        <w:rPr>
          <w:b/>
          <w:bCs/>
        </w:rPr>
        <w:t xml:space="preserve">AGRAVADA</w:t>
      </w:r>
      <w:r>
        <w:t xml:space="preserve">, pelas razões de fato e de direito a seguir expostas, requerendo, desde já, o recebimento e o processamento do recurso, com a urgente concessão de efeito suspensivo, nos termos a seguir delineados.</w:t>
      </w:r>
    </w:p>
    <w:p>
      <w:pPr>
        <w:spacing w:after="160"/>
      </w:pPr>
      <w:r>
        <w:t xml:space="preserve"/>
      </w:r>
    </w:p>
    <w:p>
      <w:pPr>
        <w:spacing w:after="80" w:line="360"/>
        <w:jc w:val="both"/>
      </w:pPr>
      <w:r>
        <w:t xml:space="preserve">Termos em que, pede deferimento.</w:t>
      </w:r>
    </w:p>
    <w:p>
      <w:pPr>
        <w:spacing w:after="320" w:line="360"/>
        <w:jc w:val="both"/>
      </w:pPr>
      <w:r>
        <w:t xml:space="preserve">Manaus/AM, [•] de junho de 2026.</w:t>
      </w:r>
    </w:p>
    <w:p>
      <w:pPr>
        <w:spacing w:after="0" w:line="360"/>
        <w:jc w:val="center"/>
      </w:pPr>
      <w:r>
        <w:rPr>
          <w:b/>
          <w:bCs/>
        </w:rPr>
        <w:t xml:space="preserve">FELIPE BENCHAYA MARINHO PASCARELLI LOPES</w:t>
      </w:r>
    </w:p>
    <w:p>
      <w:pPr>
        <w:spacing w:after="200" w:line="360"/>
        <w:jc w:val="center"/>
      </w:pPr>
      <w:r>
        <w:t xml:space="preserve">OAB/AM 19.500</w:t>
      </w:r>
    </w:p>
    <w:p>
      <w:pPr>
        <w:spacing w:after="0" w:line="360"/>
        <w:jc w:val="center"/>
      </w:pPr>
      <w:r>
        <w:rPr>
          <w:b/>
          <w:bCs/>
        </w:rPr>
        <w:t xml:space="preserve">THAÍS COHEN CHALUB</w:t>
      </w:r>
    </w:p>
    <w:p>
      <w:pPr>
        <w:spacing w:after="200" w:line="360"/>
        <w:jc w:val="center"/>
      </w:pPr>
      <w:r>
        <w:t xml:space="preserve">OAB/AM 14.501</w:t>
      </w:r>
    </w:p>
    <w:p>
      <w:pPr>
        <w:pageBreakBefore/>
        <w:spacing w:after="240"/>
        <w:jc w:val="center"/>
      </w:pPr>
      <w:r>
        <w:rPr>
          <w:b/>
          <w:bCs/>
          <w:caps/>
        </w:rPr>
        <w:t xml:space="preserve">RAZÕES DO AGRAVO DE INSTRUMENTO</w:t>
      </w:r>
    </w:p>
    <w:p>
      <w:pPr>
        <w:spacing w:after="120" w:line="360"/>
        <w:jc w:val="both"/>
      </w:pPr>
      <w:r>
        <w:t xml:space="preserve">Egrégio Tribunal,</w:t>
      </w:r>
    </w:p>
    <w:p>
      <w:pPr>
        <w:spacing w:after="120" w:line="360"/>
        <w:jc w:val="both"/>
      </w:pPr>
      <w:r>
        <w:t xml:space="preserve">Colenda Câmara,</w:t>
      </w:r>
    </w:p>
    <w:p>
      <w:pPr>
        <w:spacing w:after="240" w:line="360"/>
        <w:jc w:val="both"/>
      </w:pPr>
      <w:r>
        <w:t xml:space="preserve">Ínclito Relator,</w:t>
      </w:r>
    </w:p>
    <w:p>
      <w:pPr>
        <w:keepNext/>
        <w:spacing w:after="220" w:before="320" w:line="360"/>
        <w:jc w:val="center"/>
      </w:pPr>
      <w:r>
        <w:rPr>
          <w:b/>
          <w:bCs/>
          <w:caps/>
        </w:rPr>
        <w:t xml:space="preserve">I — DA TEMPESTIVIDADE, DO CABIMENTO E DO PREPARO</w:t>
      </w:r>
    </w:p>
    <w:p>
      <w:pPr>
        <w:spacing w:after="200" w:line="360"/>
        <w:ind w:firstLine="709"/>
        <w:jc w:val="both"/>
      </w:pPr>
      <w:r>
        <w:t xml:space="preserve">A decisão agravada foi disponibilizada/dada a conhecer aos Agravantes em [•]/06/2026, de modo que o presente recurso é </w:t>
      </w:r>
      <w:r>
        <w:rPr>
          <w:b/>
          <w:bCs/>
        </w:rPr>
        <w:t xml:space="preserve">tempestivo</w:t>
      </w:r>
      <w:r>
        <w:t xml:space="preserve">, porquanto interposto dentro do prazo de 15 (quinze) dias úteis previsto no art. 1.003, § 5º, c/c o art. 1.070 do Código de Processo Civil. Registre-se que os Agravantes </w:t>
      </w:r>
      <w:r>
        <w:rPr>
          <w:b/>
          <w:bCs/>
        </w:rPr>
        <w:t xml:space="preserve">ainda não foram formalmente citados</w:t>
      </w:r>
      <w:r>
        <w:t xml:space="preserve"> — a citação foi determinada apenas após o cumprimento da liminar —, tendo tomado ciência do decisum por meio diverso; a impugnação imediata se impõe diante da urgência do gravame, sem prejuízo do regular prazo de defesa, que sequer teve início.</w:t>
      </w:r>
    </w:p>
    <w:p>
      <w:pPr>
        <w:spacing w:after="200" w:line="360"/>
        <w:ind w:firstLine="709"/>
        <w:jc w:val="both"/>
      </w:pPr>
      <w:r>
        <w:t xml:space="preserve">O recurso é </w:t>
      </w:r>
      <w:r>
        <w:rPr>
          <w:b/>
          <w:bCs/>
        </w:rPr>
        <w:t xml:space="preserve">cabível</w:t>
      </w:r>
      <w:r>
        <w:t xml:space="preserve">, uma vez que a decisão de mov. 7.1 versa sobre </w:t>
      </w:r>
      <w:r>
        <w:rPr>
          <w:b/>
          <w:bCs/>
        </w:rPr>
        <w:t xml:space="preserve">tutela provisória</w:t>
      </w:r>
      <w:r>
        <w:t xml:space="preserve"> — concessão de tutela de urgência de natureza cautelar —, hipótese expressamente prevista no art. 1.015, inciso I, do CPC.</w:t>
      </w:r>
    </w:p>
    <w:p>
      <w:pPr>
        <w:spacing w:after="200" w:line="360"/>
        <w:ind w:firstLine="709"/>
        <w:jc w:val="both"/>
      </w:pPr>
      <w:r>
        <w:t xml:space="preserve">Quanto ao </w:t>
      </w:r>
      <w:r>
        <w:rPr>
          <w:b/>
          <w:bCs/>
        </w:rPr>
        <w:t xml:space="preserve">preparo</w:t>
      </w:r>
      <w:r>
        <w:t xml:space="preserve">, comprova-se o recolhimento das custas recursais pela guia anexa, na forma do art. 1.017, § 1º, do CPC. (Caso subsistente qualquer pendência, requer-se a aplicação do art. 1.007, § 2º, do CPC.)</w:t>
      </w:r>
    </w:p>
    <w:p>
      <w:pPr>
        <w:keepNext/>
        <w:spacing w:after="160" w:before="240" w:line="360"/>
        <w:jc w:val="left"/>
      </w:pPr>
      <w:r>
        <w:rPr>
          <w:b/>
          <w:bCs/>
        </w:rPr>
        <w:t xml:space="preserve">Das peças que instruem o agravo (art. 1.017, I e § 3º, do CPC)</w:t>
      </w:r>
    </w:p>
    <w:p>
      <w:pPr>
        <w:spacing w:after="200" w:line="360"/>
        <w:ind w:firstLine="709"/>
        <w:jc w:val="both"/>
      </w:pPr>
      <w:r>
        <w:t xml:space="preserve">Instruem o presente instrumento, dentre outras, as seguintes peças obrigatórias e necessárias: (i) cópia da decisão agravada (mov. 7.1); (ii) cópia da petição inicial e dos documentos que a acompanham; (iii) procuração outorgada aos subscritores. Tendo em vista que os Agravantes ainda não foram citados, </w:t>
      </w:r>
      <w:r>
        <w:rPr>
          <w:b/>
          <w:bCs/>
        </w:rPr>
        <w:t xml:space="preserve">declara-se, para os fins do art. 1.017, § 3º, do CPC, a inexistência de certidão de intimação</w:t>
      </w:r>
      <w:r>
        <w:t xml:space="preserve">, suprida pela presente declaração quanto à data de ciência.</w:t>
      </w:r>
    </w:p>
    <w:p>
      <w:pPr>
        <w:keepNext/>
        <w:spacing w:after="220" w:before="320" w:line="360"/>
        <w:jc w:val="center"/>
      </w:pPr>
      <w:r>
        <w:rPr>
          <w:b/>
          <w:bCs/>
          <w:caps/>
        </w:rPr>
        <w:t xml:space="preserve">II — DA SÍNTESE DA DEMANDA E DA DECISÃO AGRAVADA</w:t>
      </w:r>
    </w:p>
    <w:p>
      <w:pPr>
        <w:spacing w:after="200" w:line="360"/>
        <w:ind w:firstLine="709"/>
        <w:jc w:val="both"/>
      </w:pPr>
      <w:r>
        <w:t xml:space="preserve">A Agravada ajuizou ação pretendendo a declaração de nulidade do negócio jurídico que deu origem à aquisição, pelos Agravantes, da propriedade objeto da </w:t>
      </w:r>
      <w:r>
        <w:rPr>
          <w:b/>
          <w:bCs/>
        </w:rPr>
        <w:t xml:space="preserve">Matrícula nº 81.951 do 3º Ofício de Registro de Imóveis de Manaus/AM</w:t>
      </w:r>
      <w:r>
        <w:t xml:space="preserve">, o cancelamento desse registro e indenização por danos morais, sob a alegação central de que jamais teria firmado o “Contrato Particular de Compra e Venda e Cessão de Posse” nem recebido a quantia de R$ 800.000,00 nele consignada, reputando fraudulento todo o procedimento de usucapião extrajudicial.</w:t>
      </w:r>
    </w:p>
    <w:p>
      <w:pPr>
        <w:spacing w:after="200" w:line="360"/>
        <w:ind w:firstLine="709"/>
        <w:jc w:val="both"/>
      </w:pPr>
      <w:r>
        <w:t xml:space="preserve">Em cognição sumária, e ancorada exclusivamente na narrativa unilateral da inicial, a r. decisão agravada (mov. 7.1) </w:t>
      </w:r>
      <w:r>
        <w:rPr>
          <w:b/>
          <w:bCs/>
        </w:rPr>
        <w:t xml:space="preserve">deferiu a tutela de urgência cautelar</w:t>
      </w:r>
      <w:r>
        <w:t xml:space="preserve"> para: (a) determinar o </w:t>
      </w:r>
      <w:r>
        <w:rPr>
          <w:b/>
          <w:bCs/>
        </w:rPr>
        <w:t xml:space="preserve">bloqueio total</w:t>
      </w:r>
      <w:r>
        <w:t xml:space="preserve"> da Matrícula nº 81.951, obstando quaisquer atos de alienação, transferência, oneração ou averbação; e (b) determinar a anotação de impedimento/suspensão de novo ato de averbação na matrícula-mãe nº 7.879, ambas do 3º Ofício.</w:t>
      </w:r>
    </w:p>
    <w:p>
      <w:pPr>
        <w:spacing w:after="200" w:line="360"/>
        <w:ind w:firstLine="709"/>
        <w:jc w:val="both"/>
      </w:pPr>
      <w:r>
        <w:t xml:space="preserve">Data maxima venia, a decisão merece reforma. Como se demonstrará, </w:t>
      </w:r>
      <w:r>
        <w:rPr>
          <w:b/>
          <w:bCs/>
        </w:rPr>
        <w:t xml:space="preserve">não há fumus boni iuris em favor da Agravada</w:t>
      </w:r>
      <w:r>
        <w:t xml:space="preserve"> — o título dos Agravantes não nasceu de fraude “sorrateira e silenciosa”, mas de procedimento público, escrutinado pelo Registro de Imóveis, pelo Estado do Amazonas, pelo Ministério Público e </w:t>
      </w:r>
      <w:r>
        <w:rPr>
          <w:b/>
          <w:bCs/>
        </w:rPr>
        <w:t xml:space="preserve">já chancelado por sentença judicial anterior</w:t>
      </w:r>
      <w:r>
        <w:t xml:space="preserve"> — e tampouco há </w:t>
      </w:r>
      <w:r>
        <w:rPr>
          <w:b/>
          <w:bCs/>
        </w:rPr>
        <w:t xml:space="preserve">periculum in mora</w:t>
      </w:r>
      <w:r>
        <w:t xml:space="preserve"> apto a justificar a medida, cuja própria premissa fática (a de que a Agravada residiria no imóvel) é desmentida por documento por ela mesma produzido.</w:t>
      </w:r>
    </w:p>
    <w:p>
      <w:pPr>
        <w:keepNext/>
        <w:spacing w:after="220" w:before="320" w:line="360"/>
        <w:jc w:val="center"/>
      </w:pPr>
      <w:r>
        <w:rPr>
          <w:b/>
          <w:bCs/>
          <w:caps/>
        </w:rPr>
        <w:t xml:space="preserve">III — DO CABIMENTO E DA NECESSIDADE DE CONCESSÃO DO EFEITO SUSPENSIVO (ART. 1.019, I, DO CPC)</w:t>
      </w:r>
    </w:p>
    <w:p>
      <w:pPr>
        <w:spacing w:after="200" w:line="360"/>
        <w:ind w:firstLine="709"/>
        <w:jc w:val="both"/>
      </w:pPr>
      <w:r>
        <w:t xml:space="preserve">O art. 1.019, inciso I, do CPC autoriza o Relator a atribuir efeito suspensivo ao agravo de instrumento quando presentes a </w:t>
      </w:r>
      <w:r>
        <w:rPr>
          <w:b/>
          <w:bCs/>
        </w:rPr>
        <w:t xml:space="preserve">probabilidade de provimento do recurso</w:t>
      </w:r>
      <w:r>
        <w:t xml:space="preserve"> e o </w:t>
      </w:r>
      <w:r>
        <w:rPr>
          <w:b/>
          <w:bCs/>
        </w:rPr>
        <w:t xml:space="preserve">risco de dano grave, de difícil ou impossível reparação</w:t>
      </w:r>
      <w:r>
        <w:t xml:space="preserve"> decorrente do imediato cumprimento da decisão. Ambos os requisitos se fazem inequivocamente presentes.</w:t>
      </w:r>
    </w:p>
    <w:p>
      <w:pPr>
        <w:spacing w:after="200" w:line="360"/>
        <w:ind w:firstLine="709"/>
        <w:jc w:val="both"/>
      </w:pPr>
      <w:r>
        <w:t xml:space="preserve">A </w:t>
      </w:r>
      <w:r>
        <w:rPr>
          <w:b/>
          <w:bCs/>
        </w:rPr>
        <w:t xml:space="preserve">probabilidade de provimento</w:t>
      </w:r>
      <w:r>
        <w:t xml:space="preserve"> resulta da robustez dos fundamentos expostos no mérito recursal (item IV), os quais evidenciam a inexistência dos requisitos do art. 300 do CPC em favor da Agravada.</w:t>
      </w:r>
    </w:p>
    <w:p>
      <w:pPr>
        <w:spacing w:after="200" w:line="360"/>
        <w:ind w:firstLine="709"/>
        <w:jc w:val="both"/>
      </w:pPr>
      <w:r>
        <w:t xml:space="preserve">O </w:t>
      </w:r>
      <w:r>
        <w:rPr>
          <w:b/>
          <w:bCs/>
        </w:rPr>
        <w:t xml:space="preserve">perigo de dano</w:t>
      </w:r>
      <w:r>
        <w:t xml:space="preserve"> é concreto e atual: o bloqueio total e por prazo indeterminado paralisa </w:t>
      </w:r>
      <w:r>
        <w:rPr>
          <w:b/>
          <w:bCs/>
        </w:rPr>
        <w:t xml:space="preserve">negócio jurídico de compra e venda legítimo e em curso</w:t>
      </w:r>
      <w:r>
        <w:t xml:space="preserve">, imobilizando ativo de titular registral de boa-fé e congelando o direito de propriedade (art. 5º, XXII, da CF; art. 1.228 do CC) com base em mera cognição sumária e em alegações unilaterais ainda não submetidas ao contraditório. O dano à parte que sofre a constrição é imediato e de difícil reparação, ao passo que a Agravada — como se verá — já se encontra suficientemente resguardada por meio menos gravoso.</w:t>
      </w:r>
    </w:p>
    <w:p>
      <w:pPr>
        <w:spacing w:after="200" w:line="360"/>
        <w:ind w:firstLine="709"/>
        <w:jc w:val="both"/>
      </w:pPr>
      <w:r>
        <w:t xml:space="preserve">Presentes os pressupostos, requer-se a </w:t>
      </w:r>
      <w:r>
        <w:rPr>
          <w:b/>
          <w:bCs/>
        </w:rPr>
        <w:t xml:space="preserve">imediata concessão de efeito suspensivo</w:t>
      </w:r>
      <w:r>
        <w:t xml:space="preserve">, a fim de sustar a eficácia da decisão agravada (itens “a” e “b” de seu dispositivo) até o julgamento final deste recurso.</w:t>
      </w:r>
    </w:p>
    <w:p>
      <w:pPr>
        <w:keepNext/>
        <w:spacing w:after="220" w:before="320" w:line="360"/>
        <w:jc w:val="center"/>
      </w:pPr>
      <w:r>
        <w:rPr>
          <w:b/>
          <w:bCs/>
          <w:caps/>
        </w:rPr>
        <w:t xml:space="preserve">IV — DO MÉRITO RECURSAL</w:t>
      </w:r>
    </w:p>
    <w:p>
      <w:pPr>
        <w:keepNext/>
        <w:spacing w:after="160" w:before="240" w:line="360"/>
        <w:jc w:val="left"/>
      </w:pPr>
      <w:r>
        <w:rPr>
          <w:b/>
          <w:bCs/>
        </w:rPr>
        <w:t xml:space="preserve">IV.1 — Da ausência de fumus boni iuris da Agravada: o título dos Agravantes decorre de procedimento público e já chancelado por decisão judicial</w:t>
      </w:r>
    </w:p>
    <w:p>
      <w:pPr>
        <w:spacing w:after="200" w:line="360"/>
        <w:ind w:firstLine="709"/>
        <w:jc w:val="both"/>
      </w:pPr>
      <w:r>
        <w:t xml:space="preserve">A r. decisão agravada extraiu a “probabilidade do direito” de um “conjunto robusto de alegações e indícios” e da gravidade da imputação de falsidade. Ocorre que, confrontada a narrativa com os documentos que instruem os próprios autos (e os autos do procedimento extrajudicial), revela-se exatamente o oposto: </w:t>
      </w:r>
      <w:r>
        <w:rPr>
          <w:b/>
          <w:bCs/>
        </w:rPr>
        <w:t xml:space="preserve">o registro dos Agravantes é fruto do procedimento mais público e escrutinado que o ordenamento prevê.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a) Procedimento público, com edital e ciência aos entes públicos.</w:t>
      </w:r>
    </w:p>
    <w:p>
      <w:pPr>
        <w:spacing w:after="200" w:line="360"/>
        <w:ind w:firstLine="709"/>
        <w:jc w:val="both"/>
      </w:pPr>
      <w:r>
        <w:t xml:space="preserve">O reconhecimento extrajudicial da usucapião (art. 216-A da Lei nº 6.015/73), autuado sob a Prenotação nº 144.008, foi instruído com </w:t>
      </w:r>
      <w:r>
        <w:rPr>
          <w:b/>
          <w:bCs/>
        </w:rPr>
        <w:t xml:space="preserve">ata notarial</w:t>
      </w:r>
      <w:r>
        <w:t xml:space="preserve"> lavrada pelo 9º Tabelionato de Notas (Livro T-0355, fls. 142/147) — na qual a própria Tabeliã consignou que os documentos lhe foram apresentados em seus originais, </w:t>
      </w:r>
      <w:r>
        <w:rPr>
          <w:b/>
          <w:bCs/>
        </w:rPr>
        <w:t xml:space="preserve">circunstância expressamente admitida pela Agravada em sua inicial</w:t>
      </w:r>
      <w:r>
        <w:t xml:space="preserve"> —, </w:t>
      </w:r>
      <w:r>
        <w:t xml:space="preserve">planta e memorial descritivo georreferenciados</w:t>
      </w:r>
      <w:r>
        <w:t xml:space="preserve"> com Anotação de Responsabilidade Técnica, certidões, e a regular </w:t>
      </w:r>
      <w:r>
        <w:rPr>
          <w:b/>
          <w:bCs/>
        </w:rPr>
        <w:t xml:space="preserve">publicação de edital para ciência de terceiros eventualmente interessados</w:t>
      </w:r>
      <w:r>
        <w:t xml:space="preserve"> (art. 16 do Provimento CNJ nº 65/2017 e art. 216-A, § 4º, da LRP), </w:t>
      </w:r>
      <w:r>
        <w:rPr>
          <w:b/>
          <w:bCs/>
        </w:rPr>
        <w:t xml:space="preserve">sem que tenha havido qualquer impugnação no prazo legal</w:t>
      </w:r>
      <w:r>
        <w:t xml:space="preserve">. Houve, ainda, ciência aos entes públicos, na forma do § 3º do art. 216-A. Não há, portanto, nada de “sorrateiro” ou “silencioso”: o iter foi dotado de ampla publicidade.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b) Chancela judicial anterior: a controvérsia registral já foi decidida em favor dos Agravantes pela Vara especializada.</w:t>
      </w:r>
    </w:p>
    <w:p>
      <w:pPr>
        <w:spacing w:after="200" w:line="360"/>
        <w:ind w:firstLine="709"/>
        <w:jc w:val="both"/>
      </w:pPr>
      <w:r>
        <w:t xml:space="preserve">Mais do que público, o procedimento foi </w:t>
      </w:r>
      <w:r>
        <w:rPr>
          <w:b/>
          <w:bCs/>
        </w:rPr>
        <w:t xml:space="preserve">judicializado e decidido</w:t>
      </w:r>
      <w:r>
        <w:t xml:space="preserve">. Diante de manifestação de interesse do Estado do Amazonas (Ofício nº 00210/2025-PGE/PPIF, apontando suposta sobreposição com a matrícula nº 29.068), instaurou-se a </w:t>
      </w:r>
      <w:r>
        <w:rPr>
          <w:b/>
          <w:bCs/>
        </w:rPr>
        <w:t xml:space="preserve">suscitação de dúvida (autos nº 0090145-53.2025.8.04.1000)</w:t>
      </w:r>
      <w:r>
        <w:t xml:space="preserve"> perante a Vara de Registros Públicos da Comarca de Manaus. No curso do feito, os Agravantes </w:t>
      </w:r>
      <w:r>
        <w:rPr>
          <w:b/>
          <w:bCs/>
        </w:rPr>
        <w:t xml:space="preserve">renunciaram expressamente à parcela sobreposta ao domínio público</w:t>
      </w:r>
      <w:r>
        <w:t xml:space="preserve">, limitando a pretensão à área remanescente de domínio particular.</w:t>
      </w:r>
    </w:p>
    <w:p>
      <w:pPr>
        <w:spacing w:after="200" w:line="360"/>
        <w:ind w:firstLine="709"/>
        <w:jc w:val="both"/>
      </w:pPr>
      <w:r>
        <w:t xml:space="preserve">Ao cabo, sobreveio </w:t>
      </w:r>
      <w:r>
        <w:rPr>
          <w:b/>
          <w:bCs/>
        </w:rPr>
        <w:t xml:space="preserve">SENTENÇA proferida em 09/02/2026 (mov. 52.1)</w:t>
      </w:r>
      <w:r>
        <w:t xml:space="preserve"> que, “em consonância com o parecer do Ministério Público” e diante da </w:t>
      </w:r>
      <w:r>
        <w:rPr>
          <w:b/>
          <w:bCs/>
        </w:rPr>
        <w:t xml:space="preserve">anuência expressa do Estado do Amazonas</w:t>
      </w:r>
      <w:r>
        <w:t xml:space="preserve"> ao prosseguimento do registro da área privada, </w:t>
      </w:r>
      <w:r>
        <w:rPr>
          <w:b/>
          <w:bCs/>
        </w:rPr>
        <w:t xml:space="preserve">JULGOU IMPROCEDENTE a dúvida suscitada</w:t>
      </w:r>
      <w:r>
        <w:t xml:space="preserve">, reconhecendo superado o óbice e determinando a restituição dos autos ao Cartório “para o regular prosseguimento do procedimento de usucapião extrajudicial”. Foi sob essa chancela — e somente após a exclusão da área pública — que se procedeu à abertura da Matrícula nº 81.951.</w:t>
      </w:r>
    </w:p>
    <w:p>
      <w:pPr>
        <w:spacing w:after="200" w:line="360"/>
        <w:ind w:firstLine="709"/>
        <w:jc w:val="both"/>
      </w:pPr>
      <w:r>
        <w:t xml:space="preserve">Disso decorre conclusão de extrema gravidade para o exame da liminar: </w:t>
      </w:r>
      <w:r>
        <w:rPr>
          <w:b/>
          <w:bCs/>
        </w:rPr>
        <w:t xml:space="preserve">a decisão agravada, em cognição sumária e perante juízo cível comum, conferiu plausibilidade a uma tese de “fraude” que colide frontalmente com decisão judicial anterior, proferida pela Vara especializada em Registros Públicos, com participação do Ministério Público e anuência do Estado, a respeito da mesmíssima inscrição.</w:t>
      </w:r>
      <w:r>
        <w:t xml:space="preserve"> A “probabilidade do direito” da Agravada, nesse cenário, é tudo menos evidente.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c) Firma reconhecida: o ônus de provar a falsidade é da Agravada (art. 429, I, do CPC).</w:t>
      </w:r>
    </w:p>
    <w:p>
      <w:pPr>
        <w:spacing w:after="200" w:line="360"/>
        <w:ind w:firstLine="709"/>
        <w:jc w:val="both"/>
      </w:pPr>
      <w:r>
        <w:t xml:space="preserve">O “Contrato Particular de Compra e Venda e Cessão de Posse” que a Agravada reputa falso </w:t>
      </w:r>
      <w:r>
        <w:rPr>
          <w:b/>
          <w:bCs/>
        </w:rPr>
        <w:t xml:space="preserve">ostenta firma reconhecida</w:t>
      </w:r>
      <w:r>
        <w:t xml:space="preserve">. Por força do art. 429, inciso I, do CPC, </w:t>
      </w:r>
      <w:r>
        <w:rPr>
          <w:b/>
          <w:bCs/>
        </w:rPr>
        <w:t xml:space="preserve">alegada a falsidade de documento cuja assinatura é reconhecida, o ônus da prova incumbe à parte que a arguiu</w:t>
      </w:r>
      <w:r>
        <w:t xml:space="preserve"> — no caso, a Agravada. O documento particular cuja autoria é reconhecida presume-se verdadeiro até que se prove o contrário, em regular dilação probatória (arts. 408, 411, inciso II, e 427 do CPC).</w:t>
      </w:r>
    </w:p>
    <w:p>
      <w:pPr>
        <w:spacing w:after="200" w:before="80" w:line="276"/>
        <w:ind w:left="1985"/>
        <w:jc w:val="both"/>
      </w:pPr>
      <w:r>
        <w:rPr>
          <w:i/>
          <w:iCs/>
          <w:sz w:val="22"/>
          <w:szCs w:val="22"/>
        </w:rPr>
        <w:t xml:space="preserve">Art. 429. Incumbe o ônus da prova quando: I — se tratar de falsidade de documento ou de preenchimento abusivo, à parte que a arguir; (...)</w:t>
      </w:r>
    </w:p>
    <w:p>
      <w:pPr>
        <w:spacing w:after="200" w:line="360"/>
        <w:ind w:firstLine="709"/>
        <w:jc w:val="both"/>
      </w:pPr>
      <w:r>
        <w:t xml:space="preserve">A r. decisão agravada, todavia, </w:t>
      </w:r>
      <w:r>
        <w:rPr>
          <w:b/>
          <w:bCs/>
        </w:rPr>
        <w:t xml:space="preserve">inverteu indevidamente esse ônus</w:t>
      </w:r>
      <w:r>
        <w:t xml:space="preserve">: extraiu fumus boni iuris da simples afirmação unilateral de que a assinatura seria falsa, sem qualquer começo de prova pericial, como se à parte que produziu e registrou o título coubesse, em sede liminar, demonstrar a sua autenticidade. A falsidade documental não se presume; deve ser demonstrada — e o foro próprio para tanto é a perícia grafotécnica que a própria Agravada requereu, e não a constrição liminar.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d) Da prova do pagamento: a quitação consta do próprio instrumento.</w:t>
      </w:r>
    </w:p>
    <w:p>
      <w:pPr>
        <w:spacing w:after="200" w:line="360"/>
        <w:ind w:firstLine="709"/>
        <w:jc w:val="both"/>
      </w:pPr>
      <w:r>
        <w:t xml:space="preserve">A alegação de que “jamais recebeu” o preço não infirma o negócio em sede de cognição sumária. O </w:t>
      </w:r>
      <w:r>
        <w:rPr>
          <w:b/>
          <w:bCs/>
        </w:rPr>
        <w:t xml:space="preserve">instrumento contratual contém cláusula de quitação</w:t>
      </w:r>
      <w:r>
        <w:t xml:space="preserve">, da qual decorre a prova da satisfação do preço entre as partes contratantes; não é lícito, em juízo perfunctório, presumir a inexistência do pagamento — e, a partir dessa presunção, extrair plausibilidade à tese autoral — quando o próprio título documenta a quitação. A controvérsia sobre o efetivo adimplemento, se houver, demanda instrução, não constrição.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e) As retificações de área são sinal de rigor, não de fraude.</w:t>
      </w:r>
    </w:p>
    <w:p>
      <w:pPr>
        <w:spacing w:after="200" w:line="360"/>
        <w:ind w:firstLine="709"/>
        <w:jc w:val="both"/>
      </w:pPr>
      <w:r>
        <w:t xml:space="preserve">A inicial aponta como “plasticidade” fraudulenta o fato de a área pretendida ter sido sucessivamente reduzida. A realidade documental é o inverso: </w:t>
      </w:r>
      <w:r>
        <w:rPr>
          <w:b/>
          <w:bCs/>
        </w:rPr>
        <w:t xml:space="preserve">a área foi reduzida precisamente para excluir a sobreposição com terras públicas</w:t>
      </w:r>
      <w:r>
        <w:t xml:space="preserve">, por exigência do Estado do Amazonas e por determinação do Juízo registral, conforme o Parecer Técnico Fundiário nº 3.126/2025-SECT. As retificações evidenciam </w:t>
      </w:r>
      <w:r>
        <w:rPr>
          <w:b/>
          <w:bCs/>
        </w:rPr>
        <w:t xml:space="preserve">escrutínio e controle de legalidade</w:t>
      </w:r>
      <w:r>
        <w:t xml:space="preserve">, não engenharia fraudulenta.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f) Autocontradição: os documentos juntados pela própria Agravada reconhecem a origem particular legítima da matrícula-mãe.</w:t>
      </w:r>
    </w:p>
    <w:p>
      <w:pPr>
        <w:spacing w:after="200" w:line="360"/>
        <w:ind w:firstLine="709"/>
        <w:jc w:val="both"/>
      </w:pPr>
      <w:r>
        <w:t xml:space="preserve">A tese de “usurpação” é desmentida pelos próprios anexos da Agravada. O Parecer Técnico da SECT por ela encartado (mov. 1.11 dos autos de origem) afirma textualmente: </w:t>
      </w:r>
      <w:r>
        <w:rPr>
          <w:b/>
          <w:bCs/>
          <w:i/>
          <w:iCs/>
        </w:rPr>
        <w:t xml:space="preserve">“reconhece-se a origem particular legítima da matrícula nº 7.879”</w:t>
      </w:r>
      <w:r>
        <w:t xml:space="preserve">, esclarecendo que sua cadeia dominial remonta a Título Definitivo regularmente outorgado. Ora, sendo </w:t>
      </w:r>
      <w:r>
        <w:rPr>
          <w:b/>
          <w:bCs/>
        </w:rPr>
        <w:t xml:space="preserve">legítima a origem particular da matrícula-mãe</w:t>
      </w:r>
      <w:r>
        <w:t xml:space="preserve"> — da qual derivou a Matrícula nº 81.951 —, ruem os alicerces da narrativa de fraude na cadeia de domínio.</w:t>
      </w:r>
    </w:p>
    <w:p>
      <w:pPr>
        <w:keepNext/>
        <w:spacing w:after="160" w:before="240" w:line="360"/>
        <w:jc w:val="left"/>
      </w:pPr>
      <w:r>
        <w:rPr>
          <w:b/>
          <w:bCs/>
        </w:rPr>
        <w:t xml:space="preserve">IV.2 — Da ausência de periculum in mora em favor da Agravada e da falsidade da premissa fática da urgência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a) A própria procuração da Agravada desmente que ela resida no imóvel.</w:t>
      </w:r>
    </w:p>
    <w:p>
      <w:pPr>
        <w:spacing w:after="200" w:line="360"/>
        <w:ind w:firstLine="709"/>
        <w:jc w:val="both"/>
      </w:pPr>
      <w:r>
        <w:t xml:space="preserve">A decisão agravada assentou o periculum, em boa medida, na figura da “pessoa idosa que reside no local”, sujeita ao “risco de ser turbada em sua posse”. Sucede que </w:t>
      </w:r>
      <w:r>
        <w:rPr>
          <w:b/>
          <w:bCs/>
        </w:rPr>
        <w:t xml:space="preserve">a procuração outorgada pela própria Agravada nos autos de origem declara que ela é residente e domiciliada na Rua Guapirama, nº 62, Cidade Nova, Manaus/AM</w:t>
      </w:r>
      <w:r>
        <w:t xml:space="preserve"> — e não na Rua Peter Drucker, nº 61, objeto da lide. A premissa fática que sustenta a urgência (moradia no imóvel ameaçada de despejo iminente) é, portanto, </w:t>
      </w:r>
      <w:r>
        <w:rPr>
          <w:b/>
          <w:bCs/>
        </w:rPr>
        <w:t xml:space="preserve">contrariada por documento produzido pela própria parte</w:t>
      </w:r>
      <w:r>
        <w:t xml:space="preserve">. Sem essa premissa, esvazia-se o periculum reconhecido.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b) A alegada “surpresa” é inverossímil e o Boletim de Ocorrência é posterior ao ajuizamento.</w:t>
      </w:r>
    </w:p>
    <w:p>
      <w:pPr>
        <w:spacing w:after="200" w:line="360"/>
        <w:ind w:firstLine="709"/>
        <w:jc w:val="both"/>
      </w:pPr>
      <w:r>
        <w:t xml:space="preserve">A inicial narra que a Agravada teria sido “surpreendida” em 15/05/2026 por corretores. A verossimilhança da surpresa, contudo, não resiste ao cotejo cronológico: (i) a própria Agravada afirma litigar sobre a área desde 2022 (ação nº 0671415-37.2022.8.04.0001) e manter procedimento administrativo na SECT desde 2025; (ii) o procedimento de usucapião teve </w:t>
      </w:r>
      <w:r>
        <w:rPr>
          <w:b/>
          <w:bCs/>
        </w:rPr>
        <w:t xml:space="preserve">edital público</w:t>
      </w:r>
      <w:r>
        <w:t xml:space="preserve"> a terceiros, sem impugnação; (iii) a </w:t>
      </w:r>
      <w:r>
        <w:rPr>
          <w:b/>
          <w:bCs/>
        </w:rPr>
        <w:t xml:space="preserve">sentença que superou a dúvida foi publicada no Diário da Justiça Eletrônico em 16/02/2026</w:t>
      </w:r>
      <w:r>
        <w:t xml:space="preserve">; e (iv) o </w:t>
      </w:r>
      <w:r>
        <w:rPr>
          <w:b/>
          <w:bCs/>
        </w:rPr>
        <w:t xml:space="preserve">Boletim de Ocorrência nº 00161667/2026 foi registrado em 27/05/2026 — isto é, dois dias após o ajuizamento da ação (25/05/2026)</w:t>
      </w:r>
      <w:r>
        <w:t xml:space="preserve"> — e por iniciativa do próprio advogado, limitando-se a repetir as alegações da inicial. Não há, pois, o fato-surpresa novo e urgente que ampararia a tutela de urgência.</w:t>
      </w:r>
    </w:p>
    <w:p>
      <w:pPr>
        <w:spacing w:after="200" w:line="360"/>
        <w:ind w:firstLine="709"/>
        <w:jc w:val="both"/>
      </w:pPr>
      <w:r>
        <w:rPr>
          <w:b/>
          <w:bCs/>
        </w:rPr>
        <w:t xml:space="preserve">c) Existe medida menos gravosa e plenamente idônea: a averbação da existência da ação.</w:t>
      </w:r>
    </w:p>
    <w:p>
      <w:pPr>
        <w:spacing w:after="200" w:line="360"/>
        <w:ind w:firstLine="709"/>
        <w:jc w:val="both"/>
      </w:pPr>
      <w:r>
        <w:t xml:space="preserve">Ainda que se admitisse, por hipótese, algum interesse acautelatório da Agravada — o que se afirma apenas argumentando —, </w:t>
      </w:r>
      <w:r>
        <w:rPr>
          <w:b/>
          <w:bCs/>
        </w:rPr>
        <w:t xml:space="preserve">o legítimo objetivo de impedir a alienação a terceiros de boa-fé é integralmente alcançado por meio menos gravoso</w:t>
      </w:r>
      <w:r>
        <w:t xml:space="preserve">: a </w:t>
      </w:r>
      <w:r>
        <w:rPr>
          <w:b/>
          <w:bCs/>
        </w:rPr>
        <w:t xml:space="preserve">averbação da existência desta ação na matrícula</w:t>
      </w:r>
      <w:r>
        <w:t xml:space="preserve">, nos termos do art. 167, inciso I, item “21”, da Lei nº 6.015/73. Tal averbação confere publicidade à litigiosidade e </w:t>
      </w:r>
      <w:r>
        <w:rPr>
          <w:b/>
          <w:bCs/>
        </w:rPr>
        <w:t xml:space="preserve">retira a boa-fé de qualquer eventual adquirente</w:t>
      </w:r>
      <w:r>
        <w:t xml:space="preserve">, resguardando o resultado útil do processo </w:t>
      </w:r>
      <w:r>
        <w:rPr>
          <w:b/>
          <w:bCs/>
        </w:rPr>
        <w:t xml:space="preserve">sem imobilizar o bem nem aniquilar os poderes dominiais do titular registral</w:t>
      </w:r>
      <w:r>
        <w:t xml:space="preserve">. O bloqueio total e por tempo indeterminado é, assim, desproporcional e desnecessário, devendo prevalecer, dentre os meios idôneos, o menos oneroso (art. 300, § 1º, e, por analogia, art. 805, ambos do CPC).</w:t>
      </w:r>
    </w:p>
    <w:p>
      <w:pPr>
        <w:keepNext/>
        <w:spacing w:after="160" w:before="240" w:line="360"/>
        <w:jc w:val="left"/>
      </w:pPr>
      <w:r>
        <w:rPr>
          <w:b/>
          <w:bCs/>
        </w:rPr>
        <w:t xml:space="preserve">IV.3 — Do dano grave e de difícil reparação imposto aos Agravantes (reforço do efeito suspensivo)</w:t>
      </w:r>
    </w:p>
    <w:p>
      <w:pPr>
        <w:spacing w:after="200" w:line="360"/>
        <w:ind w:firstLine="709"/>
        <w:jc w:val="both"/>
      </w:pPr>
      <w:r>
        <w:t xml:space="preserve">Os Agravantes são </w:t>
      </w:r>
      <w:r>
        <w:rPr>
          <w:b/>
          <w:bCs/>
        </w:rPr>
        <w:t xml:space="preserve">titulares registrais de boa-fé</w:t>
      </w:r>
      <w:r>
        <w:t xml:space="preserve">, investidos na propriedade após procedimento público e chancela judicial. O bloqueio total, indefinido e deferido inaudita altera pars sobre cognição sumária </w:t>
      </w:r>
      <w:r>
        <w:rPr>
          <w:b/>
          <w:bCs/>
        </w:rPr>
        <w:t xml:space="preserve">paralisa negócio de compra e venda em andamento</w:t>
      </w:r>
      <w:r>
        <w:t xml:space="preserve">, com prejuízo imediato e de incerta reparação. A “reversibilidade” invocada pela decisão é, na prática, </w:t>
      </w:r>
      <w:r>
        <w:rPr>
          <w:b/>
          <w:bCs/>
        </w:rPr>
        <w:t xml:space="preserve">unilateral</w:t>
      </w:r>
      <w:r>
        <w:t xml:space="preserve">: enquanto a Agravada nada perde com a substituição do bloqueio por simples averbação, os Agravantes suportam, desde já, a perda do negócio e a indisponibilidade do ativo. O equilíbrio entre os interesses em jogo (art. 300, § 3º, do CPC) recomenda, no mínimo, a substituição da medida — e, em rigor, a sua revogação.</w:t>
      </w:r>
    </w:p>
    <w:p>
      <w:pPr>
        <w:keepNext/>
        <w:spacing w:after="220" w:before="320" w:line="360"/>
        <w:jc w:val="center"/>
      </w:pPr>
      <w:r>
        <w:rPr>
          <w:b/>
          <w:bCs/>
          <w:caps/>
        </w:rPr>
        <w:t xml:space="preserve">V — DOS PEDIDOS</w:t>
      </w:r>
    </w:p>
    <w:p>
      <w:pPr>
        <w:spacing w:after="160" w:line="360"/>
        <w:ind w:firstLine="709"/>
        <w:jc w:val="both"/>
      </w:pPr>
      <w:r>
        <w:t xml:space="preserve">Ante o exposto, requerem os Agravantes:</w:t>
      </w:r>
    </w:p>
    <w:p>
      <w:pPr>
        <w:pStyle w:val="ListParagraph"/>
        <w:numPr>
          <w:ilvl w:val="0"/>
          <w:numId w:val="2"/>
        </w:numPr>
        <w:spacing w:after="140" w:line="360"/>
        <w:jc w:val="both"/>
      </w:pPr>
      <w:r>
        <w:t xml:space="preserve">O </w:t>
      </w:r>
      <w:r>
        <w:rPr>
          <w:b/>
          <w:bCs/>
        </w:rPr>
        <w:t xml:space="preserve">recebimento e o processamento</w:t>
      </w:r>
      <w:r>
        <w:t xml:space="preserve"> do presente Agravo de Instrumento, por tempestivo e regularmente instruído (arts. 1.015, I, e 1.017 do CPC);</w:t>
      </w:r>
    </w:p>
    <w:p>
      <w:pPr>
        <w:pStyle w:val="ListParagraph"/>
        <w:numPr>
          <w:ilvl w:val="0"/>
          <w:numId w:val="2"/>
        </w:numPr>
        <w:spacing w:after="140" w:line="360"/>
        <w:jc w:val="both"/>
      </w:pPr>
      <w:r>
        <w:t xml:space="preserve">A </w:t>
      </w:r>
      <w:r>
        <w:rPr>
          <w:b/>
          <w:bCs/>
        </w:rPr>
        <w:t xml:space="preserve">imediata concessão de EFEITO SUSPENSIVO</w:t>
      </w:r>
      <w:r>
        <w:t xml:space="preserve">, nos termos do art. 1.019, inciso I, do CPC, para sustar a eficácia da decisão agravada (itens “a” e “b” de seu dispositivo), </w:t>
      </w:r>
      <w:r>
        <w:rPr>
          <w:b/>
          <w:bCs/>
        </w:rPr>
        <w:t xml:space="preserve">liberando-se o bloqueio da Matrícula nº 81.951</w:t>
      </w:r>
      <w:r>
        <w:t xml:space="preserve"> e a anotação de impedimento na matrícula-mãe nº 7.879, ambas do 3º Ofício de Registro de Imóveis de Manaus/AM;</w:t>
      </w:r>
    </w:p>
    <w:p>
      <w:pPr>
        <w:pStyle w:val="ListParagraph"/>
        <w:numPr>
          <w:ilvl w:val="0"/>
          <w:numId w:val="2"/>
        </w:numPr>
        <w:spacing w:after="140" w:line="360"/>
        <w:jc w:val="both"/>
      </w:pPr>
      <w:r>
        <w:rPr>
          <w:b/>
          <w:bCs/>
        </w:rPr>
        <w:t xml:space="preserve">Subsidiariamente</w:t>
      </w:r>
      <w:r>
        <w:t xml:space="preserve">, caso se entenda por preservar alguma cautela, a </w:t>
      </w:r>
      <w:r>
        <w:rPr>
          <w:b/>
          <w:bCs/>
        </w:rPr>
        <w:t xml:space="preserve">substituição do bloqueio total pela mera averbação da existência desta ação</w:t>
      </w:r>
      <w:r>
        <w:t xml:space="preserve"> na Matrícula nº 81.951 (art. 167, I, item “21”, da Lei nº 6.015/73), medida menos gravosa e suficiente à proteção pretendida;</w:t>
      </w:r>
    </w:p>
    <w:p>
      <w:pPr>
        <w:pStyle w:val="ListParagraph"/>
        <w:numPr>
          <w:ilvl w:val="0"/>
          <w:numId w:val="2"/>
        </w:numPr>
        <w:spacing w:after="140" w:line="360"/>
        <w:jc w:val="both"/>
      </w:pPr>
      <w:r>
        <w:t xml:space="preserve">A </w:t>
      </w:r>
      <w:r>
        <w:rPr>
          <w:b/>
          <w:bCs/>
        </w:rPr>
        <w:t xml:space="preserve">intimação da parte agravada</w:t>
      </w:r>
      <w:r>
        <w:t xml:space="preserve"> para, querendo, oferecer contraminuta no prazo legal (art. 1.019, II, do CPC);</w:t>
      </w:r>
    </w:p>
    <w:p>
      <w:pPr>
        <w:pStyle w:val="ListParagraph"/>
        <w:numPr>
          <w:ilvl w:val="0"/>
          <w:numId w:val="2"/>
        </w:numPr>
        <w:spacing w:after="140" w:line="360"/>
        <w:jc w:val="both"/>
      </w:pPr>
      <w:r>
        <w:t xml:space="preserve">A </w:t>
      </w:r>
      <w:r>
        <w:rPr>
          <w:b/>
          <w:bCs/>
        </w:rPr>
        <w:t xml:space="preserve">comunicação ao MM. Juízo a quo</w:t>
      </w:r>
      <w:r>
        <w:t xml:space="preserve"> acerca da interposição deste recurso (art. 1.018 do CPC), facultando-se-lhe o exercício do juízo de retratação (art. 1.018, § 1º, do CPC);</w:t>
      </w:r>
    </w:p>
    <w:p>
      <w:pPr>
        <w:pStyle w:val="ListParagraph"/>
        <w:numPr>
          <w:ilvl w:val="0"/>
          <w:numId w:val="2"/>
        </w:numPr>
        <w:spacing w:after="140" w:line="360"/>
        <w:jc w:val="both"/>
      </w:pPr>
      <w:r>
        <w:t xml:space="preserve">Que, em caso de retratação do Juízo de origem ou de provimento por esta Corte, seja </w:t>
      </w:r>
      <w:r>
        <w:rPr>
          <w:b/>
          <w:bCs/>
        </w:rPr>
        <w:t xml:space="preserve">expedido, com urgência, ofício ao 3º Ofício de Registro de Imóveis</w:t>
      </w:r>
      <w:r>
        <w:t xml:space="preserve"> para a efetiva baixa do bloqueio e do impedimento;</w:t>
      </w:r>
    </w:p>
    <w:p>
      <w:pPr>
        <w:pStyle w:val="ListParagraph"/>
        <w:numPr>
          <w:ilvl w:val="0"/>
          <w:numId w:val="2"/>
        </w:numPr>
        <w:spacing w:after="140" w:line="360"/>
        <w:jc w:val="both"/>
      </w:pPr>
      <w:r>
        <w:t xml:space="preserve">No mérito, o </w:t>
      </w:r>
      <w:r>
        <w:rPr>
          <w:b/>
          <w:bCs/>
        </w:rPr>
        <w:t xml:space="preserve">PROVIMENTO do recurso</w:t>
      </w:r>
      <w:r>
        <w:t xml:space="preserve">, para reformar integralmente a decisão agravada e revogar a tutela de urgência concedida, por ausência dos requisitos do art. 300 do CPC.</w:t>
      </w:r>
    </w:p>
    <w:p>
      <w:pPr>
        <w:spacing w:after="120"/>
      </w:pPr>
      <w:r>
        <w:t xml:space="preserve"/>
      </w:r>
    </w:p>
    <w:p>
      <w:pPr>
        <w:spacing w:after="200" w:line="360"/>
        <w:ind w:firstLine="709"/>
        <w:jc w:val="both"/>
      </w:pPr>
      <w:r>
        <w:t xml:space="preserve">Requer-se, por fim, que todas as intimações e publicações relativas ao presente recurso sejam feitas exclusivamente em nome dos advogados subscritores, </w:t>
      </w:r>
      <w:r>
        <w:rPr>
          <w:b/>
          <w:bCs/>
        </w:rPr>
        <w:t xml:space="preserve">FELIPE BENCHAYA MARINHO PASCARELLI LOPES (OAB/AM 19.500)</w:t>
      </w:r>
      <w:r>
        <w:t xml:space="preserve"> e </w:t>
      </w:r>
      <w:r>
        <w:rPr>
          <w:b/>
          <w:bCs/>
        </w:rPr>
        <w:t xml:space="preserve">THAÍS COHEN CHALUB (OAB/AM 14.501)</w:t>
      </w:r>
      <w:r>
        <w:t xml:space="preserve">, sob pena de nulidade.</w:t>
      </w:r>
    </w:p>
    <w:p>
      <w:pPr>
        <w:spacing w:after="160"/>
      </w:pPr>
      <w:r>
        <w:t xml:space="preserve"/>
      </w:r>
    </w:p>
    <w:p>
      <w:pPr>
        <w:spacing w:after="60" w:line="360"/>
        <w:jc w:val="both"/>
      </w:pPr>
      <w:r>
        <w:t xml:space="preserve">Nestes termos,</w:t>
      </w:r>
    </w:p>
    <w:p>
      <w:pPr>
        <w:spacing w:after="260" w:line="360"/>
        <w:jc w:val="both"/>
      </w:pPr>
      <w:r>
        <w:t xml:space="preserve">Pede deferimento.</w:t>
      </w:r>
    </w:p>
    <w:p>
      <w:pPr>
        <w:spacing w:after="360" w:line="360"/>
        <w:jc w:val="center"/>
      </w:pPr>
      <w:r>
        <w:t xml:space="preserve">Manaus/AM, [•] de junho de 2026.</w:t>
      </w:r>
    </w:p>
    <w:p>
      <w:pPr>
        <w:spacing w:after="0" w:line="360"/>
        <w:jc w:val="center"/>
      </w:pPr>
      <w:r>
        <w:rPr>
          <w:b/>
          <w:bCs/>
        </w:rPr>
        <w:t xml:space="preserve">FELIPE BENCHAYA MARINHO PASCARELLI LOPES</w:t>
      </w:r>
    </w:p>
    <w:p>
      <w:pPr>
        <w:spacing w:after="200" w:line="360"/>
        <w:jc w:val="center"/>
      </w:pPr>
      <w:r>
        <w:t xml:space="preserve">OAB/AM 19.500</w:t>
      </w:r>
    </w:p>
    <w:p>
      <w:pPr>
        <w:spacing w:after="0" w:line="360"/>
        <w:jc w:val="center"/>
      </w:pPr>
      <w:r>
        <w:rPr>
          <w:b/>
          <w:bCs/>
        </w:rPr>
        <w:t xml:space="preserve">THAÍS COHEN CHALUB</w:t>
      </w:r>
    </w:p>
    <w:p>
      <w:pPr>
        <w:spacing w:after="0" w:line="360"/>
        <w:jc w:val="center"/>
      </w:pPr>
      <w:r>
        <w:t xml:space="preserve">OAB/AM 14.501</w:t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2"/>
      </w:pBdr>
      <w:jc w:val="center"/>
    </w:pPr>
    <w:r>
      <w:rPr>
        <w:color w:val="555555"/>
        <w:sz w:val="16"/>
        <w:szCs w:val="16"/>
      </w:rPr>
      <w:t xml:space="preserve">Agravo de Instrumento — Autos de origem nº 0150438-52.2026.8.04.1000 — fls.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spacing w:after="40"/>
      <w:jc w:val="center"/>
    </w:pPr>
    <w:r>
      <w:rPr>
        <w:b/>
        <w:bCs/>
        <w:color w:val="555555"/>
        <w:sz w:val="16"/>
        <w:szCs w:val="16"/>
      </w:rPr>
      <w:t xml:space="preserve">COHEN CHALUB SOCIEDADE INDIVIDUAL DE ADVOCACIA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Agravo de Instrumento - 0150438-52.2026.8.04.1000</dc:title>
  <dc:creator>Cohen Chalub Sociedade Individual de Advocacia</dc:creator>
  <cp:lastModifiedBy>Un-named</cp:lastModifiedBy>
  <cp:revision>1</cp:revision>
  <dcterms:created xsi:type="dcterms:W3CDTF">2026-06-22T01:06:15.153Z</dcterms:created>
  <dcterms:modified xsi:type="dcterms:W3CDTF">2026-06-22T01:06:15.153Z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