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200"/>
        <w:jc w:val="center"/>
        <w:rPr/>
      </w:pPr>
      <w:r>
        <w:rPr>
          <w:b/>
          <w:i w:val="false"/>
          <w:sz w:val="26"/>
        </w:rPr>
        <w:t>INSTITUTO FEDERAL DE EDUCAÇÃO, CIÊNCIA E TECNOLOGIA DO CEARÁ</w:t>
      </w:r>
    </w:p>
    <w:p>
      <w:pPr>
        <w:pStyle w:val="Normal"/>
        <w:jc w:val="center"/>
        <w:rPr/>
      </w:pPr>
      <w:r>
        <w:rPr>
          <w:b w:val="false"/>
          <w:i w:val="false"/>
          <w:sz w:val="24"/>
        </w:rPr>
        <w:t>Curso de Ciência da Computação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i w:val="false"/>
          <w:color w:val="1F497D"/>
          <w:sz w:val="32"/>
        </w:rPr>
        <w:t>RELATÓRIO TÉCNICO</w:t>
      </w:r>
    </w:p>
    <w:p>
      <w:pPr>
        <w:pStyle w:val="Normal"/>
        <w:jc w:val="center"/>
        <w:rPr/>
      </w:pPr>
      <w:r>
        <w:rPr>
          <w:b/>
          <w:i w:val="false"/>
          <w:sz w:val="28"/>
        </w:rPr>
        <w:t>Sistema Bibliotecário com Arquitetura de Microsserviços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 w:val="false"/>
          <w:i w:val="false"/>
          <w:sz w:val="24"/>
        </w:rPr>
        <w:t>Disciplina: Tópicos de Java para Web</w:t>
      </w:r>
    </w:p>
    <w:p>
      <w:pPr>
        <w:pStyle w:val="Normal"/>
        <w:jc w:val="center"/>
        <w:rPr/>
      </w:pPr>
      <w:r>
        <w:rPr>
          <w:b w:val="false"/>
          <w:i w:val="false"/>
          <w:sz w:val="24"/>
        </w:rPr>
        <w:t xml:space="preserve">Discente: Felipe </w:t>
      </w:r>
      <w:r>
        <w:rPr>
          <w:b w:val="false"/>
          <w:i w:val="false"/>
          <w:sz w:val="24"/>
        </w:rPr>
        <w:t xml:space="preserve">de Sousa </w:t>
      </w:r>
      <w:r>
        <w:rPr>
          <w:b w:val="false"/>
          <w:i w:val="false"/>
          <w:sz w:val="24"/>
        </w:rPr>
        <w:t xml:space="preserve">Portugal </w:t>
      </w:r>
      <w:r>
        <w:rPr>
          <w:b w:val="false"/>
          <w:i w:val="false"/>
          <w:sz w:val="24"/>
        </w:rPr>
        <w:t>de Carvalho</w:t>
      </w:r>
    </w:p>
    <w:p>
      <w:pPr>
        <w:pStyle w:val="Normal"/>
        <w:jc w:val="center"/>
        <w:rPr/>
      </w:pPr>
      <w:r>
        <w:rPr>
          <w:b w:val="false"/>
          <w:i w:val="false"/>
          <w:sz w:val="24"/>
        </w:rPr>
        <w:t>Data: 30 de junho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360"/>
        <w:jc w:val="center"/>
        <w:rPr/>
      </w:pPr>
      <w:r>
        <w:rPr>
          <w:b/>
          <w:i w:val="false"/>
          <w:color w:val="1F497D"/>
          <w:sz w:val="28"/>
        </w:rPr>
        <w:t>SUMÁRIO</w:t>
      </w:r>
    </w:p>
    <w:p>
      <w:pPr>
        <w:pStyle w:val="Normal"/>
        <w:spacing w:before="0" w:after="60"/>
        <w:jc w:val="left"/>
        <w:rPr/>
      </w:pPr>
      <w:r>
        <w:rPr>
          <w:b/>
          <w:i w:val="false"/>
          <w:sz w:val="24"/>
        </w:rPr>
        <w:t>1  Introdução</w:t>
      </w:r>
    </w:p>
    <w:p>
      <w:pPr>
        <w:pStyle w:val="Normal"/>
        <w:spacing w:before="0" w:after="60"/>
        <w:jc w:val="left"/>
        <w:rPr/>
      </w:pPr>
      <w:r>
        <w:rPr>
          <w:b/>
          <w:i w:val="false"/>
          <w:sz w:val="24"/>
        </w:rPr>
        <w:t>2  Tecnologias Utilizadas</w:t>
      </w:r>
    </w:p>
    <w:p>
      <w:pPr>
        <w:pStyle w:val="Normal"/>
        <w:spacing w:before="0" w:after="60"/>
        <w:jc w:val="left"/>
        <w:rPr/>
      </w:pPr>
      <w:r>
        <w:rPr>
          <w:b/>
          <w:i w:val="false"/>
          <w:sz w:val="24"/>
        </w:rPr>
        <w:t>3  Arquitetura do Sistema</w:t>
      </w:r>
    </w:p>
    <w:p>
      <w:pPr>
        <w:pStyle w:val="Normal"/>
        <w:spacing w:before="0" w:after="60"/>
        <w:ind w:left="425"/>
        <w:jc w:val="left"/>
        <w:rPr/>
      </w:pPr>
      <w:r>
        <w:rPr>
          <w:b w:val="false"/>
          <w:i w:val="false"/>
          <w:sz w:val="24"/>
        </w:rPr>
        <w:t>3.1  Visão Geral dos Microsserviços</w:t>
      </w:r>
    </w:p>
    <w:p>
      <w:pPr>
        <w:pStyle w:val="Normal"/>
        <w:spacing w:before="0" w:after="60"/>
        <w:ind w:left="425"/>
        <w:jc w:val="left"/>
        <w:rPr/>
      </w:pPr>
      <w:r>
        <w:rPr>
          <w:b w:val="false"/>
          <w:i w:val="false"/>
          <w:sz w:val="24"/>
        </w:rPr>
        <w:t>3.2  Rede e Orquestração</w:t>
      </w:r>
    </w:p>
    <w:p>
      <w:pPr>
        <w:pStyle w:val="Normal"/>
        <w:spacing w:before="0" w:after="60"/>
        <w:jc w:val="left"/>
        <w:rPr/>
      </w:pPr>
      <w:r>
        <w:rPr>
          <w:b/>
          <w:i w:val="false"/>
          <w:sz w:val="24"/>
        </w:rPr>
        <w:t>4  Modelagem de Dados</w:t>
      </w:r>
    </w:p>
    <w:p>
      <w:pPr>
        <w:pStyle w:val="Normal"/>
        <w:spacing w:before="0" w:after="60"/>
        <w:jc w:val="left"/>
        <w:rPr/>
      </w:pPr>
      <w:r>
        <w:rPr>
          <w:b/>
          <w:i w:val="false"/>
          <w:sz w:val="24"/>
        </w:rPr>
        <w:t>5  Camada de Serviços REST</w:t>
      </w:r>
    </w:p>
    <w:p>
      <w:pPr>
        <w:pStyle w:val="Normal"/>
        <w:spacing w:before="0" w:after="60"/>
        <w:ind w:left="425"/>
        <w:jc w:val="left"/>
        <w:rPr/>
      </w:pPr>
      <w:r>
        <w:rPr>
          <w:b w:val="false"/>
          <w:i w:val="false"/>
          <w:sz w:val="24"/>
        </w:rPr>
        <w:t>5.1  Microsserviço de Autores (autor-ms)</w:t>
      </w:r>
    </w:p>
    <w:p>
      <w:pPr>
        <w:pStyle w:val="Normal"/>
        <w:spacing w:before="0" w:after="60"/>
        <w:ind w:left="425"/>
        <w:jc w:val="left"/>
        <w:rPr/>
      </w:pPr>
      <w:r>
        <w:rPr>
          <w:b w:val="false"/>
          <w:i w:val="false"/>
          <w:sz w:val="24"/>
        </w:rPr>
        <w:t>5.2  Microsserviço de Livros (livro-ms)</w:t>
      </w:r>
    </w:p>
    <w:p>
      <w:pPr>
        <w:pStyle w:val="Normal"/>
        <w:spacing w:before="0" w:after="60"/>
        <w:jc w:val="left"/>
        <w:rPr/>
      </w:pPr>
      <w:r>
        <w:rPr>
          <w:b/>
          <w:i w:val="false"/>
          <w:sz w:val="24"/>
        </w:rPr>
        <w:t>6  Camada de Apresentação (front-ms)</w:t>
      </w:r>
    </w:p>
    <w:p>
      <w:pPr>
        <w:pStyle w:val="Normal"/>
        <w:spacing w:before="0" w:after="60"/>
        <w:jc w:val="left"/>
        <w:rPr/>
      </w:pPr>
      <w:r>
        <w:rPr>
          <w:b/>
          <w:i w:val="false"/>
          <w:sz w:val="24"/>
        </w:rPr>
        <w:t>7  Tratamento de Erros e Resiliência</w:t>
      </w:r>
    </w:p>
    <w:p>
      <w:pPr>
        <w:pStyle w:val="Normal"/>
        <w:spacing w:before="0" w:after="60"/>
        <w:jc w:val="left"/>
        <w:rPr/>
      </w:pPr>
      <w:r>
        <w:rPr>
          <w:b/>
          <w:i w:val="false"/>
          <w:sz w:val="24"/>
        </w:rPr>
        <w:t>8  Containerização com Docker</w:t>
      </w:r>
    </w:p>
    <w:p>
      <w:pPr>
        <w:pStyle w:val="Normal"/>
        <w:spacing w:before="0" w:after="60"/>
        <w:jc w:val="left"/>
        <w:rPr/>
      </w:pPr>
      <w:r>
        <w:rPr>
          <w:b/>
          <w:i w:val="false"/>
          <w:sz w:val="24"/>
        </w:rPr>
        <w:t>9  Decisões de Design e Trade-offs</w:t>
      </w:r>
    </w:p>
    <w:p>
      <w:pPr>
        <w:pStyle w:val="Normal"/>
        <w:spacing w:before="0" w:after="60"/>
        <w:ind w:left="425"/>
        <w:jc w:val="left"/>
        <w:rPr/>
      </w:pPr>
      <w:r>
        <w:rPr>
          <w:b w:val="false"/>
          <w:i w:val="false"/>
          <w:sz w:val="24"/>
        </w:rPr>
        <w:t>10  Conclusão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left"/>
        <w:rPr/>
      </w:pPr>
      <w:r>
        <w:rPr>
          <w:b/>
          <w:i w:val="false"/>
          <w:color w:val="1F497D"/>
          <w:sz w:val="28"/>
        </w:rPr>
        <w:t>1  Introdução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O presente relatório descreve o desenvolvimento do Sistema Bibliotecário, trabalho final da disciplina Tópicos de Java para Web do curso de Ciência da Computação do Instituto Federal de Educação, Ciência e Tecnologia do Ceará (IFCE). O sistema foi concebido para gerenciar o acervo de uma biblioteca, permitindo o cadastro, a consulta, a edição e a exclusão de livros e de autores por meio de uma interface web amigável.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A principal diretriz arquitetural adotada foi a separação em microsserviços independentes, cada qual responsável por um domínio de negócio bem delimitado. Essa abordagem contrasta com o modelo monolítico clássico e introduz conceitos fundamentais do desenvolvimento de sistemas distribuídos: isolamento de banco de dados por serviço, comunicação via HTTP/REST, gateway centralizado e tolerância a falhas parciais.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O sistema é executado inteiramente em contêineres Docker e orquestrado pelo Docker Compose, tornando a instalação e a execução completamente reproduzíveis em qualquer ambiente que possua o Docker instalado. O acesso ao usuário final ocorre pela porta 80, roteado por um proxy reverso Nginx que centraliza o CORS e o roteamento de requisições.</w:t>
      </w:r>
    </w:p>
    <w:p>
      <w:pPr>
        <w:pStyle w:val="Normal"/>
        <w:spacing w:before="360" w:after="120"/>
        <w:jc w:val="left"/>
        <w:rPr/>
      </w:pPr>
      <w:r>
        <w:rPr>
          <w:b/>
          <w:i w:val="false"/>
          <w:color w:val="1F497D"/>
          <w:sz w:val="28"/>
        </w:rPr>
        <w:t>2  Tecnologias Utilizadas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A escolha das tecnologias priorizou o ecossistema Java/Spring, que é o foco da disciplina, complementado por ferramentas amplamente adotadas na indústria para containerização e banco de dados relacional.</w:t>
      </w:r>
    </w:p>
    <w:tbl>
      <w:tblPr>
        <w:tblStyle w:val="TableGrid"/>
        <w:tblW w:w="94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3150"/>
        <w:gridCol w:w="3735"/>
      </w:tblGrid>
      <w:tr>
        <w:trPr/>
        <w:tc>
          <w:tcPr>
            <w:tcW w:w="2520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Tecnologia</w:t>
            </w:r>
          </w:p>
        </w:tc>
        <w:tc>
          <w:tcPr>
            <w:tcW w:w="3150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Versão</w:t>
            </w:r>
          </w:p>
        </w:tc>
        <w:tc>
          <w:tcPr>
            <w:tcW w:w="3735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Papel no Sistema</w:t>
            </w:r>
          </w:p>
        </w:tc>
      </w:tr>
      <w:tr>
        <w:trPr/>
        <w:tc>
          <w:tcPr>
            <w:tcW w:w="252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Java</w:t>
            </w:r>
          </w:p>
        </w:tc>
        <w:tc>
          <w:tcPr>
            <w:tcW w:w="31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21 (LTS)</w:t>
            </w:r>
          </w:p>
        </w:tc>
        <w:tc>
          <w:tcPr>
            <w:tcW w:w="37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Linguagem de programação principal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Spring Boot</w:t>
            </w:r>
          </w:p>
        </w:tc>
        <w:tc>
          <w:tcPr>
            <w:tcW w:w="3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4.1.0</w:t>
            </w:r>
          </w:p>
        </w:tc>
        <w:tc>
          <w:tcPr>
            <w:tcW w:w="37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Framework base de todos os microsserviços</w:t>
            </w:r>
          </w:p>
        </w:tc>
      </w:tr>
      <w:tr>
        <w:trPr/>
        <w:tc>
          <w:tcPr>
            <w:tcW w:w="252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Spring Web MVC</w:t>
            </w:r>
          </w:p>
        </w:tc>
        <w:tc>
          <w:tcPr>
            <w:tcW w:w="31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4.1.0</w:t>
            </w:r>
          </w:p>
        </w:tc>
        <w:tc>
          <w:tcPr>
            <w:tcW w:w="37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Controladores REST e web (front)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Spring Data JPA</w:t>
            </w:r>
          </w:p>
        </w:tc>
        <w:tc>
          <w:tcPr>
            <w:tcW w:w="3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4.1.0</w:t>
            </w:r>
          </w:p>
        </w:tc>
        <w:tc>
          <w:tcPr>
            <w:tcW w:w="37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Mapeamento objeto-relacional e acesso ao banco</w:t>
            </w:r>
          </w:p>
        </w:tc>
      </w:tr>
      <w:tr>
        <w:trPr/>
        <w:tc>
          <w:tcPr>
            <w:tcW w:w="252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Hibernate</w:t>
            </w:r>
          </w:p>
        </w:tc>
        <w:tc>
          <w:tcPr>
            <w:tcW w:w="31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gerenciado pelo Boot</w:t>
            </w:r>
          </w:p>
        </w:tc>
        <w:tc>
          <w:tcPr>
            <w:tcW w:w="37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Implementação JPA; DDL auto via update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Spring RestClient</w:t>
            </w:r>
          </w:p>
        </w:tc>
        <w:tc>
          <w:tcPr>
            <w:tcW w:w="3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4.1.0</w:t>
            </w:r>
          </w:p>
        </w:tc>
        <w:tc>
          <w:tcPr>
            <w:tcW w:w="37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Cliente HTTP síncrono para comunicação entre serviços</w:t>
            </w:r>
          </w:p>
        </w:tc>
      </w:tr>
      <w:tr>
        <w:trPr/>
        <w:tc>
          <w:tcPr>
            <w:tcW w:w="252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Thymeleaf</w:t>
            </w:r>
          </w:p>
        </w:tc>
        <w:tc>
          <w:tcPr>
            <w:tcW w:w="31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4.1.0</w:t>
            </w:r>
          </w:p>
        </w:tc>
        <w:tc>
          <w:tcPr>
            <w:tcW w:w="37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Motor de templates server-side para o front-ms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Bean Validation</w:t>
            </w:r>
          </w:p>
        </w:tc>
        <w:tc>
          <w:tcPr>
            <w:tcW w:w="3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3.x (Jakarta)</w:t>
            </w:r>
          </w:p>
        </w:tc>
        <w:tc>
          <w:tcPr>
            <w:tcW w:w="37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Validação declarativa de DTOs</w:t>
            </w:r>
          </w:p>
        </w:tc>
      </w:tr>
      <w:tr>
        <w:trPr/>
        <w:tc>
          <w:tcPr>
            <w:tcW w:w="252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Lombok</w:t>
            </w:r>
          </w:p>
        </w:tc>
        <w:tc>
          <w:tcPr>
            <w:tcW w:w="31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gerenciado pelo Boot</w:t>
            </w:r>
          </w:p>
        </w:tc>
        <w:tc>
          <w:tcPr>
            <w:tcW w:w="37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Geração de código boilerplate (getters, construtores)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PostgreSQL</w:t>
            </w:r>
          </w:p>
        </w:tc>
        <w:tc>
          <w:tcPr>
            <w:tcW w:w="3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16-alpine</w:t>
            </w:r>
          </w:p>
        </w:tc>
        <w:tc>
          <w:tcPr>
            <w:tcW w:w="37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Banco de dados relacional de cada microsserviço</w:t>
            </w:r>
          </w:p>
        </w:tc>
      </w:tr>
      <w:tr>
        <w:trPr/>
        <w:tc>
          <w:tcPr>
            <w:tcW w:w="252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Nginx</w:t>
            </w:r>
          </w:p>
        </w:tc>
        <w:tc>
          <w:tcPr>
            <w:tcW w:w="31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alpine</w:t>
            </w:r>
          </w:p>
        </w:tc>
        <w:tc>
          <w:tcPr>
            <w:tcW w:w="37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Proxy reverso, gateway e gerenciamento de CORS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Docker</w:t>
            </w:r>
          </w:p>
        </w:tc>
        <w:tc>
          <w:tcPr>
            <w:tcW w:w="3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27+</w:t>
            </w:r>
          </w:p>
        </w:tc>
        <w:tc>
          <w:tcPr>
            <w:tcW w:w="37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Containerização dos serviços</w:t>
            </w:r>
          </w:p>
        </w:tc>
      </w:tr>
      <w:tr>
        <w:trPr/>
        <w:tc>
          <w:tcPr>
            <w:tcW w:w="252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Docker Compose</w:t>
            </w:r>
          </w:p>
        </w:tc>
        <w:tc>
          <w:tcPr>
            <w:tcW w:w="31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v2</w:t>
            </w:r>
          </w:p>
        </w:tc>
        <w:tc>
          <w:tcPr>
            <w:tcW w:w="37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Orquestração local dos contêineres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Maven</w:t>
            </w:r>
          </w:p>
        </w:tc>
        <w:tc>
          <w:tcPr>
            <w:tcW w:w="31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3.9+</w:t>
            </w:r>
          </w:p>
        </w:tc>
        <w:tc>
          <w:tcPr>
            <w:tcW w:w="37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Gerenciamento de dependências e build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360" w:after="120"/>
        <w:jc w:val="left"/>
        <w:rPr/>
      </w:pPr>
      <w:r>
        <w:rPr>
          <w:b/>
          <w:i w:val="false"/>
          <w:color w:val="1F497D"/>
          <w:sz w:val="28"/>
        </w:rPr>
        <w:t>3  Arquitetura do Sistema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O sistema segue o padrão de arquitetura de microsserviços (Microservices Architecture Pattern), no qual cada funcionalidade de negócio é implementada como um processo independente, com seu próprio banco de dados, ciclo de build e Dockerfile. A comunicação entre serviços ocorre exclusivamente via HTTP/REST sobre uma rede Docker interna.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Ao todo, seis contêineres colaboram para entregar a aplicação ao usuário final: dois bancos de dados PostgreSQL (um para autores e outro para livros), três microsserviços Spring Boot (autor-ms, livro-ms e front-ms) e um proxy reverso Nginx.</w:t>
      </w:r>
    </w:p>
    <w:p>
      <w:pPr>
        <w:pStyle w:val="Normal"/>
        <w:spacing w:before="240" w:after="120"/>
        <w:jc w:val="left"/>
        <w:rPr/>
      </w:pPr>
      <w:r>
        <w:rPr>
          <w:b/>
          <w:i w:val="false"/>
          <w:sz w:val="24"/>
        </w:rPr>
        <w:t>3.1  Visão Geral dos Microsserviços</w:t>
      </w:r>
    </w:p>
    <w:tbl>
      <w:tblPr>
        <w:tblStyle w:val="TableGrid"/>
        <w:tblW w:w="94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Serviço</w:t>
            </w:r>
          </w:p>
        </w:tc>
        <w:tc>
          <w:tcPr>
            <w:tcW w:w="3135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Porta interna</w:t>
            </w:r>
          </w:p>
        </w:tc>
        <w:tc>
          <w:tcPr>
            <w:tcW w:w="3135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Responsabilidade</w:t>
            </w:r>
          </w:p>
        </w:tc>
      </w:tr>
      <w:tr>
        <w:trPr/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nginx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80 (exposta)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Gateway único: roteia /api/livros → livro-ms, /api/autores → autor-ms, / → front-ms. Centraliza CORS.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front-ms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8080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Interface web Thymeleaf. Consome autor-ms e livro-ms via RestClient e renderiza HTML.</w:t>
            </w:r>
          </w:p>
        </w:tc>
      </w:tr>
      <w:tr>
        <w:trPr/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livro-ms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8081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CRUD REST de livros. Persiste título, gênero, ano de publicação, disponibilidade e autorId.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autor-ms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8082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CRUD REST de autores. Persiste nome, nacionalidade e ano de nascimento.</w:t>
            </w:r>
          </w:p>
        </w:tc>
      </w:tr>
      <w:tr>
        <w:trPr/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db-livros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5432 (interno)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PostgreSQL exclusivo do livro-ms. Volume nomeado livro-db-data.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db-autores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5432 (interno)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PostgreSQL exclusivo do autor-ms. Volume nomeado autor-db-data.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jc w:val="left"/>
        <w:rPr/>
      </w:pPr>
      <w:r>
        <w:rPr>
          <w:b/>
          <w:i w:val="false"/>
          <w:sz w:val="24"/>
        </w:rPr>
        <w:t>3.2  Rede e Orquestração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Todos os contêineres pertencem à rede Docker denominada biblioteca-net, criada automaticamente pelo Docker Compose com driver bridge. Dentro dessa rede, a resolução de nomes é feita pelo DNS interno do Docker, de modo que autor-ms, livro-ms e front-ms são resolvíveis pelo nome do serviço declarado no docker-compose.yml.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As dependências de inicialização são declaradas com depends_on e healthcheck: autor-ms só sobe após db-autores reportar pg_isready; livro-ms, após db-livros. O front-ms depende dos dois microsserviços de backend, e o nginx depende dos três.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Os dados dos bancos são persistidos em volumes nomeados (autor-db-data e livro-db-data), garantindo que um docker compose down não apague os registros. A remoção explícita requer docker compose down -v.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left"/>
        <w:rPr/>
      </w:pPr>
      <w:r>
        <w:rPr>
          <w:b/>
          <w:i w:val="false"/>
          <w:color w:val="1F497D"/>
          <w:sz w:val="28"/>
        </w:rPr>
        <w:t>4  Modelagem de Dados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Cada microsserviço possui seu próprio schema de banco, criado automaticamente pelo Hibernate com a propriedade spring.jpa.hibernate.ddl-auto=update. Não há foreign key entre os dois bancos — esta é uma decisão arquitetural deliberada, descrita na Seção 9.</w:t>
      </w:r>
    </w:p>
    <w:p>
      <w:pPr>
        <w:pStyle w:val="Normal"/>
        <w:spacing w:before="240" w:after="120"/>
        <w:jc w:val="left"/>
        <w:rPr/>
      </w:pPr>
      <w:r>
        <w:rPr>
          <w:b/>
          <w:i w:val="false"/>
          <w:sz w:val="24"/>
        </w:rPr>
        <w:t>Entidade Autor (banco db_autores, tabela autor)</w:t>
      </w:r>
    </w:p>
    <w:tbl>
      <w:tblPr>
        <w:tblStyle w:val="TableGrid"/>
        <w:tblW w:w="94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351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Tipo Java</w:t>
            </w:r>
          </w:p>
        </w:tc>
        <w:tc>
          <w:tcPr>
            <w:tcW w:w="2351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Coluna SQL</w:t>
            </w:r>
          </w:p>
        </w:tc>
        <w:tc>
          <w:tcPr>
            <w:tcW w:w="2350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Restrições</w:t>
            </w:r>
          </w:p>
        </w:tc>
      </w:tr>
      <w:tr>
        <w:trPr/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Long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id BIGSERIAL</w:t>
            </w:r>
          </w:p>
        </w:tc>
        <w:tc>
          <w:tcPr>
            <w:tcW w:w="23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PK, gerado por identidade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nome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nome VARCHAR(100)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NOT NULL, @NotBlank</w:t>
            </w:r>
          </w:p>
        </w:tc>
      </w:tr>
      <w:tr>
        <w:trPr/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nacionalidade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nacionalidade VARCHAR(80)</w:t>
            </w:r>
          </w:p>
        </w:tc>
        <w:tc>
          <w:tcPr>
            <w:tcW w:w="23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NOT NULL, @NotBlank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anoNascimento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ano_nascimento INTEGER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NOT NULL, @Positive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jc w:val="left"/>
        <w:rPr/>
      </w:pPr>
      <w:r>
        <w:rPr>
          <w:b/>
          <w:i w:val="false"/>
          <w:sz w:val="24"/>
        </w:rPr>
        <w:t>Entidade Livro (banco db_livros, tabela livro)</w:t>
      </w:r>
    </w:p>
    <w:tbl>
      <w:tblPr>
        <w:tblStyle w:val="TableGrid"/>
        <w:tblW w:w="94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351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Tipo Java</w:t>
            </w:r>
          </w:p>
        </w:tc>
        <w:tc>
          <w:tcPr>
            <w:tcW w:w="2351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Coluna SQL</w:t>
            </w:r>
          </w:p>
        </w:tc>
        <w:tc>
          <w:tcPr>
            <w:tcW w:w="2350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Restrições</w:t>
            </w:r>
          </w:p>
        </w:tc>
      </w:tr>
      <w:tr>
        <w:trPr/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Long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id BIGSERIAL</w:t>
            </w:r>
          </w:p>
        </w:tc>
        <w:tc>
          <w:tcPr>
            <w:tcW w:w="23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PK, gerado por identidade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titulo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titulo VARCHAR(150)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NOT NULL, @NotBlank, max 150</w:t>
            </w:r>
          </w:p>
        </w:tc>
      </w:tr>
      <w:tr>
        <w:trPr/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genero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genero VARCHAR(60)</w:t>
            </w:r>
          </w:p>
        </w:tc>
        <w:tc>
          <w:tcPr>
            <w:tcW w:w="23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NOT NULL, @NotBlank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anoPublicacao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Integer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ano_publicacao INTEGER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NOT NULL, @Positive</w:t>
            </w:r>
          </w:p>
        </w:tc>
      </w:tr>
      <w:tr>
        <w:trPr/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disponivel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disponivel BOOLEAN</w:t>
            </w:r>
          </w:p>
        </w:tc>
        <w:tc>
          <w:tcPr>
            <w:tcW w:w="23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NOT NULL, padrão true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autorId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Long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autor_id BIGINT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NOT NULL; referência lógica, sem FK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O campo autorId na tabela livro armazena o identificador do autor sem criar uma foreign key de banco de dados. A integridade referencial é mantida pela aplicação: o front-ms só exibe autores existentes no formulário de cadastro de livros, e o campo "Autor" na listagem exibe "Autor removido" quando o autor-ms não encontra o id correspondente.</w:t>
      </w:r>
    </w:p>
    <w:p>
      <w:pPr>
        <w:pStyle w:val="Normal"/>
        <w:spacing w:before="0" w:after="120"/>
        <w:ind w:firstLine="709"/>
        <w:jc w:val="both"/>
        <w:rPr>
          <w:rFonts w:ascii="Times New Roman" w:hAnsi="Times New Roman"/>
          <w:b w:val="false"/>
          <w:i w:val="false"/>
          <w:i w:val="false"/>
          <w:sz w:val="24"/>
        </w:rPr>
      </w:pPr>
      <w:r>
        <w:rPr/>
      </w:r>
    </w:p>
    <w:p>
      <w:pPr>
        <w:pStyle w:val="Normal"/>
        <w:spacing w:before="360" w:after="120"/>
        <w:jc w:val="left"/>
        <w:rPr/>
      </w:pPr>
      <w:r>
        <w:rPr>
          <w:b/>
          <w:i w:val="false"/>
          <w:color w:val="1F497D"/>
          <w:sz w:val="28"/>
        </w:rPr>
        <w:t>5  Camada de Serviços REST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Os microsserviços autor-ms e livro-ms expõem APIs RESTful seguindo as convenções HTTP semânticas: GET para consulta, POST para criação (retorna 201 Created), PUT para atualização completa e DELETE para remoção (retorna 204 No Content). Respostas de erro são padronizadas em JSON.</w:t>
      </w:r>
    </w:p>
    <w:p>
      <w:pPr>
        <w:pStyle w:val="Normal"/>
        <w:spacing w:before="240" w:after="120"/>
        <w:jc w:val="left"/>
        <w:rPr/>
      </w:pPr>
      <w:r>
        <w:rPr>
          <w:b/>
          <w:i w:val="false"/>
          <w:sz w:val="24"/>
        </w:rPr>
        <w:t>5.1  Microsserviço de Autores (autor-ms)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O autor-ms é um projeto Spring Boot independente que escuta na porta 8082. Sua estrutura segue a arquitetura em camadas: Controller → Service → Repository.</w:t>
      </w:r>
    </w:p>
    <w:tbl>
      <w:tblPr>
        <w:tblStyle w:val="TableGrid"/>
        <w:tblW w:w="94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Método HTTP</w:t>
            </w:r>
          </w:p>
        </w:tc>
        <w:tc>
          <w:tcPr>
            <w:tcW w:w="2351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Rota</w:t>
            </w:r>
          </w:p>
        </w:tc>
        <w:tc>
          <w:tcPr>
            <w:tcW w:w="2351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Descrição</w:t>
            </w:r>
          </w:p>
        </w:tc>
        <w:tc>
          <w:tcPr>
            <w:tcW w:w="2350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Status de sucesso</w:t>
            </w:r>
          </w:p>
        </w:tc>
      </w:tr>
      <w:tr>
        <w:trPr/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/api/autores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Lista todos os autores (array vazio se não há registros)</w:t>
            </w:r>
          </w:p>
        </w:tc>
        <w:tc>
          <w:tcPr>
            <w:tcW w:w="23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200 OK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/api/autores/{id}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Retorna o autor pelo id; 404 se inexistente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200 OK</w:t>
            </w:r>
          </w:p>
        </w:tc>
      </w:tr>
      <w:tr>
        <w:trPr/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/api/autores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Cria um novo autor com os dados do corpo JSON</w:t>
            </w:r>
          </w:p>
        </w:tc>
        <w:tc>
          <w:tcPr>
            <w:tcW w:w="23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201 Created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PUT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/api/autores/{id}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Substitui completamente os dados do autor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200 OK</w:t>
            </w:r>
          </w:p>
        </w:tc>
      </w:tr>
      <w:tr>
        <w:trPr/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/api/autores/{id}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Remove o autor; 204 sem corpo de resposta</w:t>
            </w:r>
          </w:p>
        </w:tc>
        <w:tc>
          <w:tcPr>
            <w:tcW w:w="23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204 No Content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A validação dos dados de entrada é realizada pelas anotações Bean Validation (@NotBlank, @NotNull, @Positive) aplicadas ao AutorRequestDto. Quando a validação falha, o GlobalExceptionHandler intercepta a exceção MethodArgumentNotValidException e retorna HTTP 400 com o mapa de campos e mensagens de erro.</w:t>
      </w:r>
    </w:p>
    <w:p>
      <w:pPr>
        <w:pStyle w:val="Normal"/>
        <w:spacing w:before="240" w:after="120"/>
        <w:jc w:val="left"/>
        <w:rPr/>
      </w:pPr>
      <w:r>
        <w:rPr>
          <w:b/>
          <w:i w:val="false"/>
          <w:sz w:val="24"/>
        </w:rPr>
        <w:t>5.2  Microsserviço de Livros (livro-ms)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O livro-ms segue a mesma estrutura do autor-ms e escuta na porta 8081. Oferece adicionalmente um filtro de disponibilidade na listagem via query parameter.</w:t>
      </w:r>
    </w:p>
    <w:tbl>
      <w:tblPr>
        <w:tblStyle w:val="TableGrid"/>
        <w:tblW w:w="94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Método HTTP</w:t>
            </w:r>
          </w:p>
        </w:tc>
        <w:tc>
          <w:tcPr>
            <w:tcW w:w="2351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Rota</w:t>
            </w:r>
          </w:p>
        </w:tc>
        <w:tc>
          <w:tcPr>
            <w:tcW w:w="2351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Descrição</w:t>
            </w:r>
          </w:p>
        </w:tc>
        <w:tc>
          <w:tcPr>
            <w:tcW w:w="2350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Status de sucesso</w:t>
            </w:r>
          </w:p>
        </w:tc>
      </w:tr>
      <w:tr>
        <w:trPr/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/api/livros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Lista livros; aceita ?disponivel=true|false</w:t>
            </w:r>
          </w:p>
        </w:tc>
        <w:tc>
          <w:tcPr>
            <w:tcW w:w="23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200 OK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/api/livros/{id}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Retorna livro pelo id; 404 se inexistente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200 OK</w:t>
            </w:r>
          </w:p>
        </w:tc>
      </w:tr>
      <w:tr>
        <w:trPr/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/api/livros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Cria novo livro com os dados do corpo JSON</w:t>
            </w:r>
          </w:p>
        </w:tc>
        <w:tc>
          <w:tcPr>
            <w:tcW w:w="23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201 Created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PUT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/api/livros/{id}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Atualiza completamente os dados do livro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200 OK</w:t>
            </w:r>
          </w:p>
        </w:tc>
      </w:tr>
      <w:tr>
        <w:trPr/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/api/livros/{id}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Remove o livro; 204 sem corpo</w:t>
            </w:r>
          </w:p>
        </w:tc>
        <w:tc>
          <w:tcPr>
            <w:tcW w:w="23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204 No Content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left"/>
        <w:rPr/>
      </w:pPr>
      <w:r>
        <w:rPr>
          <w:b/>
          <w:i w:val="false"/>
          <w:color w:val="1F497D"/>
          <w:sz w:val="28"/>
        </w:rPr>
        <w:t>6  Camada de Apresentação (front-ms)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O front-ms é um microsserviço Spring Boot que não possui banco de dados próprio. Sua função é exclusivamente orquestrar chamadas aos serviços de backend e renderizar a interface HTML usando o motor de templates Thymeleaf.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A comunicação com autor-ms e livro-ms é realizada pelo Spring RestClient, configurado na classe RestClientConfig com as URLs base injetadas pelas variáveis de ambiente AUTOR_MS_URL e LIVRO_MS_URL. As classes AutorClient e LivroClient encapsulam todas as chamadas HTTP, traduzindo exceções do RestClient em exceções de domínio da aplicação.</w:t>
      </w:r>
    </w:p>
    <w:p>
      <w:pPr>
        <w:pStyle w:val="Normal"/>
        <w:spacing w:before="240" w:after="120"/>
        <w:jc w:val="left"/>
        <w:rPr/>
      </w:pPr>
      <w:r>
        <w:rPr>
          <w:b/>
          <w:i w:val="false"/>
          <w:sz w:val="24"/>
        </w:rPr>
        <w:t>Rotas da Interface Web</w:t>
      </w:r>
    </w:p>
    <w:tbl>
      <w:tblPr>
        <w:tblStyle w:val="TableGrid"/>
        <w:tblW w:w="94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3135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Rota</w:t>
            </w:r>
          </w:p>
        </w:tc>
        <w:tc>
          <w:tcPr>
            <w:tcW w:w="3135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/autores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Lista todos os autores; suporta busca por id via query param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/autores/novo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Exibe formulário de cadastro de autor</w:t>
            </w:r>
          </w:p>
        </w:tc>
      </w:tr>
      <w:tr>
        <w:trPr/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/autores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Processa criação de autor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/autores/{id}/editar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Exibe formulário preenchido para edição</w:t>
            </w:r>
          </w:p>
        </w:tc>
      </w:tr>
      <w:tr>
        <w:trPr/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/autores/{id}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Processa atualização de autor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/autores/{id}/excluir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Remove autor e redireciona com flash message</w:t>
            </w:r>
          </w:p>
        </w:tc>
      </w:tr>
      <w:tr>
        <w:trPr/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/livros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Lista livros; suporta filtro de disponibilidade e busca por id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/livros/novo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Exibe formulário de cadastro de livro (com lista de autores)</w:t>
            </w:r>
          </w:p>
        </w:tc>
      </w:tr>
      <w:tr>
        <w:trPr/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/livros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Processa criação de livro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/livros/{id}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Exibe página de detalhe do livro</w:t>
            </w:r>
          </w:p>
        </w:tc>
      </w:tr>
      <w:tr>
        <w:trPr/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GET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/livros/{id}/editar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Exibe formulário preenchido para edição de livro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/livros/{id}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Processa atualização de livro</w:t>
            </w:r>
          </w:p>
        </w:tc>
      </w:tr>
      <w:tr>
        <w:trPr/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/livros/{id}/excluir</w:t>
            </w:r>
          </w:p>
        </w:tc>
        <w:tc>
          <w:tcPr>
            <w:tcW w:w="3135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Remove livro e redireciona com flash message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Os formulários Thymeleaf utilizam POST/Redirect/GET (PRG pattern) para evitar reenvios acidentais de formulário ao recarregar a página. Mensagens de sucesso e de erro são passadas via RedirectAttributes como flash attributes, desaparecendo após uma única exibição.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A resolução do nome do autor em cada livro listado é feita pelo método paraView() do LivroWebController, que consulta o autor-ms individualmente para cada livro (padrão N+1). Caso o autor-ms esteja indisponível, o campo exibe "Indisponível"; caso o autor tenha sido excluído, exibe "Autor removido".</w:t>
      </w:r>
    </w:p>
    <w:p>
      <w:pPr>
        <w:pStyle w:val="Normal"/>
        <w:spacing w:before="0" w:after="120"/>
        <w:ind w:firstLine="709"/>
        <w:jc w:val="both"/>
        <w:rPr>
          <w:rFonts w:ascii="Times New Roman" w:hAnsi="Times New Roman"/>
          <w:b w:val="false"/>
          <w:i w:val="false"/>
          <w:i w:val="false"/>
          <w:sz w:val="24"/>
        </w:rPr>
      </w:pPr>
      <w:r>
        <w:rPr/>
      </w:r>
    </w:p>
    <w:p>
      <w:pPr>
        <w:pStyle w:val="Normal"/>
        <w:spacing w:before="0" w:after="120"/>
        <w:ind w:firstLine="709"/>
        <w:jc w:val="both"/>
        <w:rPr>
          <w:rFonts w:ascii="Times New Roman" w:hAnsi="Times New Roman"/>
          <w:b w:val="false"/>
          <w:i w:val="false"/>
          <w:i w:val="false"/>
          <w:sz w:val="24"/>
        </w:rPr>
      </w:pPr>
      <w:r>
        <w:rPr/>
      </w:r>
    </w:p>
    <w:p>
      <w:pPr>
        <w:pStyle w:val="Normal"/>
        <w:spacing w:before="360" w:after="120"/>
        <w:jc w:val="left"/>
        <w:rPr/>
      </w:pPr>
      <w:r>
        <w:rPr>
          <w:b/>
          <w:i w:val="false"/>
          <w:color w:val="1F497D"/>
          <w:sz w:val="28"/>
        </w:rPr>
        <w:t>7  Tratamento de Erros e Resiliência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A estratégia de tratamento de erros é implementada em duas camadas distintas, correspondendo aos dois tipos de serviços existentes: os microsserviços REST (autor-ms e livro-ms) e o serviço de apresentação (front-ms).</w:t>
      </w:r>
    </w:p>
    <w:p>
      <w:pPr>
        <w:pStyle w:val="Normal"/>
        <w:spacing w:before="240" w:after="120"/>
        <w:jc w:val="left"/>
        <w:rPr/>
      </w:pPr>
      <w:r>
        <w:rPr>
          <w:b/>
          <w:i w:val="false"/>
          <w:sz w:val="24"/>
        </w:rPr>
        <w:t>Nos microsserviços REST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Cada microsserviço de backend possui um GlobalExceptionHandler anotado com @RestControllerAdvice, que intercepta exceções e as transforma em respostas JSON padronizadas: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 w:val="false"/>
          <w:i w:val="false"/>
          <w:sz w:val="24"/>
        </w:rPr>
        <w:t>ResponseStatusException → retorna o status HTTP correspondente com corpo {"erro": "mensagem"}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 w:val="false"/>
          <w:i w:val="false"/>
          <w:sz w:val="24"/>
        </w:rPr>
        <w:t>MethodArgumentNotValidException → HTTP 400 com {"erro": "Dados inválidos", "campos": {...}}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 w:val="false"/>
          <w:i w:val="false"/>
          <w:sz w:val="24"/>
        </w:rPr>
        <w:t>Exception genérica → HTTP 500 com {"erro": "Erro interno"}</w:t>
      </w:r>
    </w:p>
    <w:p>
      <w:pPr>
        <w:pStyle w:val="Normal"/>
        <w:rPr/>
      </w:pPr>
      <w:r>
        <w:rPr/>
      </w:r>
    </w:p>
    <w:p>
      <w:pPr>
        <w:pStyle w:val="Normal"/>
        <w:spacing w:before="240" w:after="120"/>
        <w:jc w:val="left"/>
        <w:rPr/>
      </w:pPr>
      <w:r>
        <w:rPr>
          <w:b/>
          <w:i w:val="false"/>
          <w:sz w:val="24"/>
        </w:rPr>
        <w:t>No front-ms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O front-ms mapeia exceções HTTP do RestClient para exceções de domínio próprias, que são então tratadas nos controllers web: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 w:val="false"/>
          <w:i w:val="false"/>
          <w:sz w:val="24"/>
        </w:rPr>
        <w:t>ServicoIndisponivelException: lançada quando o RestClient falha por timeout ou erro de conexão. O front-ms exibe uma mensagem amigável e continua funcionando.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 w:val="false"/>
          <w:i w:val="false"/>
          <w:sz w:val="24"/>
        </w:rPr>
        <w:t>RecursoNaoEncontradoException: lançada quando o backend retorna HTTP 404. Traduzida em flash message de erro e redirecionamento.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 w:val="false"/>
          <w:i w:val="false"/>
          <w:sz w:val="24"/>
        </w:rPr>
        <w:t>ErroValidacaoException: lançada quando o backend retorna HTTP 400. Os erros de campo são re-aplicados ao BindingResult do Spring, exibindo as mensagens inline no formulário.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Esta arquitetura garante que a falha de um único microsserviço não derruba a interface inteira: o usuário recebe uma mensagem informativa e pode continuar navegando nas partes do sistema que permanecem disponíveis.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left"/>
        <w:rPr/>
      </w:pPr>
      <w:r>
        <w:rPr>
          <w:b/>
          <w:i w:val="false"/>
          <w:color w:val="1F497D"/>
          <w:sz w:val="28"/>
        </w:rPr>
        <w:t>8  Containerização com Docker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Cada microsserviço Spring Boot possui seu próprio Dockerfile multi-stage, que separa o ambiente de build (JDK completo) do ambiente de execução (JRE mínimo), reduzindo o tamanho da imagem final. O Docker Compose v2 orquestra os seis contêineres com um único arquivo docker-compose.yml.</w:t>
      </w:r>
    </w:p>
    <w:p>
      <w:pPr>
        <w:pStyle w:val="Normal"/>
        <w:spacing w:before="240" w:after="120"/>
        <w:jc w:val="left"/>
        <w:rPr/>
      </w:pPr>
      <w:r>
        <w:rPr>
          <w:b/>
          <w:i w:val="false"/>
          <w:sz w:val="24"/>
        </w:rPr>
        <w:t>Estrutura do docker-compose.yml</w:t>
      </w:r>
    </w:p>
    <w:tbl>
      <w:tblPr>
        <w:tblStyle w:val="TableGrid"/>
        <w:tblW w:w="94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Serviço</w:t>
            </w:r>
          </w:p>
        </w:tc>
        <w:tc>
          <w:tcPr>
            <w:tcW w:w="2351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Imagem/Build</w:t>
            </w:r>
          </w:p>
        </w:tc>
        <w:tc>
          <w:tcPr>
            <w:tcW w:w="2351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Depends On</w:t>
            </w:r>
          </w:p>
        </w:tc>
        <w:tc>
          <w:tcPr>
            <w:tcW w:w="2350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20"/>
                <w:szCs w:val="22"/>
                <w:lang w:val="en-US" w:eastAsia="en-US" w:bidi="ar-SA"/>
              </w:rPr>
              <w:t>Volumes / Porta</w:t>
            </w:r>
          </w:p>
        </w:tc>
      </w:tr>
      <w:tr>
        <w:trPr/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db-autores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postgres:16-alpine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3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autor-db-data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db-livros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postgres:16-alpine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livro-db-data</w:t>
            </w:r>
          </w:p>
        </w:tc>
      </w:tr>
      <w:tr>
        <w:trPr/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autor-ms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build: ./autor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db-autores (healthy)</w:t>
            </w:r>
          </w:p>
        </w:tc>
        <w:tc>
          <w:tcPr>
            <w:tcW w:w="23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livro-ms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build: ./livro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db-livros (healthy)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front-ms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build: ./front</w:t>
            </w:r>
          </w:p>
        </w:tc>
        <w:tc>
          <w:tcPr>
            <w:tcW w:w="2351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autor-ms, livro-ms</w:t>
            </w:r>
          </w:p>
        </w:tc>
        <w:tc>
          <w:tcPr>
            <w:tcW w:w="235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nginx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nginx:alpine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front-ms, livro-ms, autor-ms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80:80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Os healthchecks dos contêineres de banco de dados executam pg_isready a cada 5 segundos, com até 5 tentativas, garantindo que os microsserviços Java só iniciem após o PostgreSQL estar pronto para aceitar conexões — eliminando race conditions comuns em ambientes Docker.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O Nginx é configurado via arquivo nginx.conf versionado no repositório (./nginx/nginx.conf), montado como volume read-only no contêiner. O proxy reverso define três blocos de localização: /api/livros, /api/autores e / (front-ms). Rotas /api/ não mapeadas retornam 404 diretamente do Nginx.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Os cabeçalhos CORS (Access-Control-Allow-Origin: *, Allow-Methods, Allow-Headers) são adicionados pelo Nginx para todos os endpoints de API, centralizando essa responsabilidade e evitando configuração duplicada nos microsserviços. Requisições OPTIONS (preflight) recebem resposta 204 imediatamente.</w:t>
      </w:r>
    </w:p>
    <w:p>
      <w:pPr>
        <w:pStyle w:val="Normal"/>
        <w:spacing w:before="360" w:after="120"/>
        <w:jc w:val="left"/>
        <w:rPr/>
      </w:pPr>
      <w:r>
        <w:rPr>
          <w:b/>
          <w:i w:val="false"/>
          <w:color w:val="1F497D"/>
          <w:sz w:val="28"/>
        </w:rPr>
        <w:t>9  Decisões de Design e Trade-offs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Esta seção documenta as principais decisões arquiteturais e técnicas tomadas durante o desenvolvimento, com a justificativa de cada escolha e seus trade-offs.</w:t>
      </w:r>
    </w:p>
    <w:p>
      <w:pPr>
        <w:pStyle w:val="Normal"/>
        <w:spacing w:before="160" w:after="200"/>
        <w:rPr/>
      </w:pPr>
      <w:r>
        <w:rPr>
          <w:b/>
          <w:i w:val="false"/>
          <w:sz w:val="22"/>
        </w:rPr>
        <w:t xml:space="preserve">  </w:t>
      </w:r>
      <w:r>
        <w:rPr>
          <w:b/>
          <w:i w:val="false"/>
          <w:sz w:val="22"/>
        </w:rPr>
        <w:t>Banco de dados por serviço, sem FK entre livro e autor</w:t>
      </w:r>
    </w:p>
    <w:p>
      <w:pPr>
        <w:pStyle w:val="Normal"/>
        <w:spacing w:before="0" w:after="60"/>
        <w:ind w:left="567"/>
        <w:jc w:val="both"/>
        <w:rPr/>
      </w:pPr>
      <w:r>
        <w:rPr>
          <w:b w:val="false"/>
          <w:i w:val="false"/>
          <w:sz w:val="22"/>
        </w:rPr>
        <w:t>Justificativa: Em uma arquitetura de microsserviços, cada serviço deve ser autônomo — inclusive em relação ao seu banco. Uma FK cruzando bancos de diferentes serviços criaria acoplamento no nível de infraestrutura, impossibilitando deploys independentes e dificultando a escalabilidade. A integridade referencial passa a ser responsabilidade da camada de aplicação (front-ms).</w:t>
      </w:r>
    </w:p>
    <w:p>
      <w:pPr>
        <w:pStyle w:val="Normal"/>
        <w:spacing w:before="0" w:after="120"/>
        <w:ind w:left="567"/>
        <w:jc w:val="both"/>
        <w:rPr/>
      </w:pPr>
      <w:r>
        <w:rPr>
          <w:b w:val="false"/>
          <w:i/>
          <w:sz w:val="22"/>
        </w:rPr>
        <w:t>Trade-off: A ausência de FK real permite exclusão de autores sem verificar livros vinculados. Optou-se por aceitar isso no escopo acadêmico.</w:t>
      </w:r>
    </w:p>
    <w:p>
      <w:pPr>
        <w:pStyle w:val="Normal"/>
        <w:spacing w:before="160" w:after="200"/>
        <w:rPr/>
      </w:pPr>
      <w:r>
        <w:rPr>
          <w:b/>
          <w:i w:val="false"/>
          <w:sz w:val="22"/>
        </w:rPr>
        <w:t xml:space="preserve">  </w:t>
      </w:r>
      <w:r>
        <w:rPr>
          <w:b/>
          <w:i w:val="false"/>
          <w:sz w:val="22"/>
        </w:rPr>
        <w:t>DDL automático via Hibernate (ddl-auto=update)</w:t>
      </w:r>
    </w:p>
    <w:p>
      <w:pPr>
        <w:pStyle w:val="Normal"/>
        <w:spacing w:before="0" w:after="60"/>
        <w:ind w:left="567"/>
        <w:jc w:val="both"/>
        <w:rPr/>
      </w:pPr>
      <w:r>
        <w:rPr>
          <w:b w:val="false"/>
          <w:i w:val="false"/>
          <w:sz w:val="22"/>
        </w:rPr>
        <w:t>Justificativa: Elimina a necessidade de scripts SQL manuais ou ferramentas de migração (Flyway, Liquibase) para o escopo deste trabalho. O schema é criado/atualizado automaticamente a partir das entidades JPA na primeira inicialização.</w:t>
      </w:r>
    </w:p>
    <w:p>
      <w:pPr>
        <w:pStyle w:val="Normal"/>
        <w:spacing w:before="0" w:after="120"/>
        <w:ind w:left="567"/>
        <w:jc w:val="both"/>
        <w:rPr/>
      </w:pPr>
      <w:r>
        <w:rPr>
          <w:b w:val="false"/>
          <w:i/>
          <w:sz w:val="22"/>
        </w:rPr>
        <w:t>Trade-off: Em produção, ddl-auto=update pode ser perigoso (coluna removida da entidade não é dropada). Para o ambiente acadêmico e de desenvolvimento, é suficiente e prático.</w:t>
      </w:r>
    </w:p>
    <w:p>
      <w:pPr>
        <w:pStyle w:val="Normal"/>
        <w:spacing w:before="160" w:after="200"/>
        <w:rPr/>
      </w:pPr>
      <w:r>
        <w:rPr>
          <w:b/>
          <w:i w:val="false"/>
          <w:sz w:val="22"/>
        </w:rPr>
        <w:t xml:space="preserve">  </w:t>
      </w:r>
      <w:r>
        <w:rPr>
          <w:b/>
          <w:i w:val="false"/>
          <w:sz w:val="22"/>
        </w:rPr>
        <w:t>Resolução de nome de autor com N+1 queries</w:t>
      </w:r>
    </w:p>
    <w:p>
      <w:pPr>
        <w:pStyle w:val="Normal"/>
        <w:spacing w:before="0" w:after="60"/>
        <w:ind w:left="567"/>
        <w:jc w:val="both"/>
        <w:rPr/>
      </w:pPr>
      <w:r>
        <w:rPr>
          <w:b w:val="false"/>
          <w:i w:val="false"/>
          <w:sz w:val="22"/>
        </w:rPr>
        <w:t>Justificativa: A listagem de livros no front-ms realiza uma chamada HTTP ao autor-ms para cada livro exibido. Isso simplifica o código e é transparente dada a natureza de microsserviços (não há JOIN entre bancos diferentes).</w:t>
      </w:r>
    </w:p>
    <w:p>
      <w:pPr>
        <w:pStyle w:val="Normal"/>
        <w:spacing w:before="0" w:after="120"/>
        <w:ind w:left="567"/>
        <w:jc w:val="both"/>
        <w:rPr/>
      </w:pPr>
      <w:r>
        <w:rPr>
          <w:b w:val="false"/>
          <w:i/>
          <w:sz w:val="22"/>
        </w:rPr>
        <w:t>Trade-off: Para volumes grandes de dados, esse padrão degrada o desempenho. Mitigações possíveis: cache local de autores, endpoint batch no autor-ms, ou GraphQL.</w:t>
      </w:r>
    </w:p>
    <w:p>
      <w:pPr>
        <w:pStyle w:val="Normal"/>
        <w:spacing w:before="160" w:after="200"/>
        <w:rPr/>
      </w:pPr>
      <w:r>
        <w:rPr>
          <w:b/>
          <w:i w:val="false"/>
          <w:sz w:val="22"/>
        </w:rPr>
        <w:t xml:space="preserve">  </w:t>
      </w:r>
      <w:r>
        <w:rPr>
          <w:b/>
          <w:i w:val="false"/>
          <w:sz w:val="22"/>
        </w:rPr>
        <w:t>POST/Redirect/GET no front-ms</w:t>
      </w:r>
    </w:p>
    <w:p>
      <w:pPr>
        <w:pStyle w:val="Normal"/>
        <w:spacing w:before="0" w:after="60"/>
        <w:ind w:left="567"/>
        <w:jc w:val="both"/>
        <w:rPr/>
      </w:pPr>
      <w:r>
        <w:rPr>
          <w:b w:val="false"/>
          <w:i w:val="false"/>
          <w:sz w:val="22"/>
        </w:rPr>
        <w:t>Justificativa: O padrão PRG evita que o recarregamento da página após o envio de um formulário reenvie os dados, prevenindo duplicação de registros. Flash attributes (RedirectAttributes) carregam mensagens de sucesso/erro através do redirecionamento.</w:t>
      </w:r>
    </w:p>
    <w:p>
      <w:pPr>
        <w:pStyle w:val="Normal"/>
        <w:spacing w:before="0" w:after="120"/>
        <w:ind w:left="567"/>
        <w:jc w:val="both"/>
        <w:rPr/>
      </w:pPr>
      <w:r>
        <w:rPr>
          <w:b w:val="false"/>
          <w:i/>
          <w:sz w:val="22"/>
        </w:rPr>
        <w:t>Trade-off: Nenhum trade-off significativo; é uma boa prática consolidada para formulários web.</w:t>
      </w:r>
    </w:p>
    <w:p>
      <w:pPr>
        <w:pStyle w:val="Normal"/>
        <w:spacing w:before="160" w:after="200"/>
        <w:rPr/>
      </w:pPr>
      <w:r>
        <w:rPr>
          <w:b/>
          <w:i w:val="false"/>
          <w:sz w:val="22"/>
        </w:rPr>
        <w:t xml:space="preserve">  </w:t>
      </w:r>
      <w:r>
        <w:rPr>
          <w:b/>
          <w:i w:val="false"/>
          <w:sz w:val="22"/>
        </w:rPr>
        <w:t>Spring RestClient (síncrono) ao invés de WebClient (reativo)</w:t>
      </w:r>
    </w:p>
    <w:p>
      <w:pPr>
        <w:pStyle w:val="Normal"/>
        <w:spacing w:before="0" w:after="60"/>
        <w:ind w:left="567"/>
        <w:jc w:val="both"/>
        <w:rPr/>
      </w:pPr>
      <w:r>
        <w:rPr>
          <w:b w:val="false"/>
          <w:i w:val="false"/>
          <w:sz w:val="22"/>
        </w:rPr>
        <w:t>Justificativa: O RestClient, introduzido no Spring 6.1, é o cliente HTTP síncrono moderno do Spring, mais simples que o WebClient para uso em contextos não reativos. Como o front-ms usa Spring MVC (servlet stack), o RestClient é a escolha mais coerente.</w:t>
      </w:r>
    </w:p>
    <w:p>
      <w:pPr>
        <w:pStyle w:val="Normal"/>
        <w:spacing w:before="0" w:after="120"/>
        <w:ind w:left="567"/>
        <w:jc w:val="both"/>
        <w:rPr/>
      </w:pPr>
      <w:r>
        <w:rPr>
          <w:b w:val="false"/>
          <w:i/>
          <w:sz w:val="22"/>
        </w:rPr>
        <w:t>Trade-off: WebClient possibilitaria chamadas assíncronas e melhor aproveitamento de threads, mas exigiria Spring WebFlux e um modelo de programação reativo mais complexo.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left"/>
        <w:rPr/>
      </w:pPr>
      <w:r>
        <w:rPr>
          <w:b/>
          <w:i w:val="false"/>
          <w:color w:val="1F497D"/>
          <w:sz w:val="28"/>
        </w:rPr>
        <w:t>10  Conclusão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O Sistema Bibliotecário atingiu todos os objetivos propostos: implementa operações CRUD completas para livros e autores, expõe APIs RESTful documentadas, possui interface web funcional construída com Spring MVC e Thymeleaf, e é executável com um único comando (docker compose up --build).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Do ponto de vista didático, o projeto consolidou o conhecimento em diversas tecnologias relevantes para o desenvolvimento web com Java: o ciclo de vida de beans Spring, mapeamento objeto-relacional com JPA/Hibernate, validação declarativa com Bean Validation, controle de fluxo MVC com Thymeleaf, comunicação entre serviços com RestClient, e containerização com Docker.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A adoção da arquitetura de microsserviços, embora adicione complexidade operacional em relação a um monólito, proporcionou aprendizado sobre isolamento de domínios, comunicação assíncrona, tolerância a falhas parciais e orquestração de contêineres — competências cada vez mais exigidas no mercado de desenvolvimento de software.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Como trabalhos futuros, identificam-se as seguintes possibilidades de evolução: implementação de autenticação e autorização com Spring Security e JWT; adição de cache distribuído (Redis) para mitigar o problema N+1 na listagem de livros; versionamento de schema de banco com Flyway; circuit breaker com Resilience4j para maior resiliência nas chamadas entre microsserviços; e implantação em ambiente de nuvem com Kubernetes.</w:t>
      </w:r>
    </w:p>
    <w:p>
      <w:pPr>
        <w:pStyle w:val="Normal"/>
        <w:spacing w:before="0" w:after="120"/>
        <w:ind w:firstLine="709"/>
        <w:jc w:val="both"/>
        <w:rPr/>
      </w:pPr>
      <w:r>
        <w:rPr>
          <w:b w:val="false"/>
          <w:i w:val="false"/>
          <w:sz w:val="24"/>
        </w:rPr>
        <w:t>O código-fonte completo encontra-se disponível no repositório Git do projeto, com histórico de commits organizado por funcionalidade, documentação no README.md e diagrama de arquitetura incluso.</w:t>
      </w:r>
    </w:p>
    <w:p>
      <w:pPr>
        <w:pStyle w:val="Normal"/>
        <w:spacing w:before="360" w:after="120"/>
        <w:jc w:val="left"/>
        <w:rPr/>
      </w:pPr>
      <w:r>
        <w:rPr>
          <w:b/>
          <w:i w:val="false"/>
          <w:color w:val="1F497D"/>
          <w:sz w:val="28"/>
        </w:rPr>
        <w:t>Referências</w:t>
      </w:r>
    </w:p>
    <w:p>
      <w:pPr>
        <w:pStyle w:val="Normal"/>
        <w:spacing w:before="0" w:after="120"/>
        <w:ind w:hanging="709" w:left="709"/>
        <w:jc w:val="both"/>
        <w:rPr/>
      </w:pPr>
      <w:r>
        <w:rPr>
          <w:b w:val="false"/>
          <w:i w:val="false"/>
          <w:sz w:val="22"/>
        </w:rPr>
        <w:t>SPRING FRAMEWORK. Spring Boot Reference Documentation. Versão 4.1. Disponível em: https://docs.spring.io/spring-boot/. Acesso em: jun. 2026.</w:t>
      </w:r>
    </w:p>
    <w:p>
      <w:pPr>
        <w:pStyle w:val="Normal"/>
        <w:spacing w:before="0" w:after="120"/>
        <w:ind w:hanging="709" w:left="709"/>
        <w:jc w:val="both"/>
        <w:rPr/>
      </w:pPr>
      <w:r>
        <w:rPr>
          <w:b w:val="false"/>
          <w:i w:val="false"/>
          <w:sz w:val="22"/>
        </w:rPr>
        <w:t>SPRING FRAMEWORK. Spring Data JPA Reference Documentation. Disponível em: https://docs.spring.io/spring-data/jpa/. Acesso em: jun. 2026.</w:t>
      </w:r>
    </w:p>
    <w:p>
      <w:pPr>
        <w:pStyle w:val="Normal"/>
        <w:spacing w:before="0" w:after="120"/>
        <w:ind w:hanging="709" w:left="709"/>
        <w:jc w:val="both"/>
        <w:rPr/>
      </w:pPr>
      <w:r>
        <w:rPr>
          <w:b w:val="false"/>
          <w:i w:val="false"/>
          <w:sz w:val="22"/>
        </w:rPr>
        <w:t>NGINX. NGINX Documentation. Disponível em: https://nginx.org/en/docs/. Acesso em: jun. 2026.</w:t>
      </w:r>
    </w:p>
    <w:p>
      <w:pPr>
        <w:pStyle w:val="Normal"/>
        <w:spacing w:before="0" w:after="120"/>
        <w:ind w:hanging="709" w:left="709"/>
        <w:jc w:val="both"/>
        <w:rPr/>
      </w:pPr>
      <w:r>
        <w:rPr>
          <w:b w:val="false"/>
          <w:i w:val="false"/>
          <w:sz w:val="22"/>
        </w:rPr>
        <w:t>DOCKER INC. Docker Compose Documentation. Disponível em: https://docs.docker.com/compose/. Acesso em: jun. 2026.</w:t>
      </w:r>
    </w:p>
    <w:p>
      <w:pPr>
        <w:pStyle w:val="Normal"/>
        <w:spacing w:before="0" w:after="120"/>
        <w:ind w:hanging="709" w:left="709"/>
        <w:jc w:val="both"/>
        <w:rPr/>
      </w:pPr>
      <w:r>
        <w:rPr>
          <w:b w:val="false"/>
          <w:i w:val="false"/>
          <w:sz w:val="22"/>
        </w:rPr>
        <w:t>NEWMAN, Sam. Building Microservices: Designing Fine-Grained Systems. 2. ed. Sebastopol: O'Reilly Media, 2021.</w:t>
      </w:r>
    </w:p>
    <w:p>
      <w:pPr>
        <w:pStyle w:val="Normal"/>
        <w:spacing w:before="0" w:after="120"/>
        <w:ind w:hanging="709" w:left="709"/>
        <w:jc w:val="both"/>
        <w:rPr/>
      </w:pPr>
      <w:r>
        <w:rPr>
          <w:b w:val="false"/>
          <w:i w:val="false"/>
          <w:sz w:val="22"/>
        </w:rPr>
        <w:t>RICHARDSON, Chris. Microservices Patterns. Greenwich: Manning Publications, 2018.</w:t>
      </w:r>
    </w:p>
    <w:p>
      <w:pPr>
        <w:pStyle w:val="Normal"/>
        <w:spacing w:before="0" w:after="120"/>
        <w:ind w:hanging="709" w:left="709"/>
        <w:jc w:val="both"/>
        <w:rPr/>
      </w:pPr>
      <w:r>
        <w:rPr>
          <w:b w:val="false"/>
          <w:i w:val="false"/>
          <w:sz w:val="22"/>
        </w:rPr>
        <w:t>POSTGRESQL GLOBAL DEVELOPMENT GROUP. PostgreSQL 16 Documentation. Disponível em: https://www.postgresql.org/docs/16/. Acesso em: jun. 2026.</w:t>
      </w:r>
    </w:p>
    <w:p>
      <w:pPr>
        <w:pStyle w:val="Normal"/>
        <w:spacing w:before="0" w:after="120"/>
        <w:ind w:hanging="709" w:left="709"/>
        <w:jc w:val="both"/>
        <w:rPr/>
      </w:pPr>
      <w:r>
        <w:rPr>
          <w:b w:val="false"/>
          <w:i w:val="false"/>
          <w:sz w:val="22"/>
        </w:rPr>
        <w:t>PROJECT LOMBOK. Lombok Documentation. Disponível em: https://projectlombok.org/features/. Acesso em: jun. 2026.</w:t>
      </w:r>
    </w:p>
    <w:p>
      <w:pPr>
        <w:pStyle w:val="Normal"/>
        <w:spacing w:before="0" w:after="120"/>
        <w:ind w:hanging="709" w:left="709"/>
        <w:jc w:val="both"/>
        <w:rPr/>
      </w:pPr>
      <w:r>
        <w:rPr>
          <w:b w:val="false"/>
          <w:i w:val="false"/>
          <w:sz w:val="22"/>
        </w:rPr>
        <w:t>THYMELEAF TEAM. Thymeleaf: Tutorial — Using Thymeleaf. Disponível em: https://www.thymeleaf.org/doc/tutorials/3.1/usingthymeleaf.html. Acesso em: jun. 2026.</w:t>
      </w:r>
    </w:p>
    <w:sectPr>
      <w:type w:val="nextPage"/>
      <w:pgSz w:w="12240" w:h="15840"/>
      <w:pgMar w:left="1701" w:right="1134" w:gutter="0" w:header="0" w:top="170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12</Pages>
  <Words>2577</Words>
  <Characters>15948</Characters>
  <CharactersWithSpaces>18228</CharactersWithSpaces>
  <Paragraphs>338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2026-07-01T12:23:15Z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