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Calibri" w:cs="Calibri" w:eastAsia="Calibri" w:hAnsi="Calibri"/>
          <w:b/>
          <w:bCs/>
          <w:color w:val="0A6ED1"/>
          <w:spacing w:val="60"/>
          <w:sz w:val="22"/>
          <w:szCs w:val="22"/>
        </w:rPr>
        <w:t xml:space="preserve">ESPECIFICACIÓN TÉCNICA</w:t>
      </w:r>
    </w:p>
    <w:p>
      <w:pPr>
        <w:pBdr>
          <w:bottom w:val="single" w:color="0A6ED1" w:sz="18" w:space="4"/>
        </w:pBdr>
        <w:spacing w:after="380" w:before="100"/>
      </w:pPr>
      <w:r>
        <w:rPr>
          <w:sz w:val="2"/>
          <w:szCs w:val="2"/>
        </w:rPr>
        <w:t xml:space="preserve"/>
      </w:r>
    </w:p>
    <w:p>
      <w:pPr>
        <w:spacing w:after="100" w:before="0"/>
      </w:pPr>
      <w:r>
        <w:rPr>
          <w:rFonts w:ascii="Calibri" w:cs="Calibri" w:eastAsia="Calibri" w:hAnsi="Calibri"/>
          <w:b/>
          <w:bCs/>
          <w:color w:val="6A6D70"/>
          <w:sz w:val="30"/>
          <w:szCs w:val="30"/>
        </w:rPr>
        <w:t xml:space="preserve">Especificación Técnica</w:t>
      </w:r>
    </w:p>
    <w:p>
      <w:pPr>
        <w:spacing w:after="220" w:before="0"/>
      </w:pPr>
      <w:r>
        <w:rPr>
          <w:rFonts w:ascii="Calibri" w:cs="Calibri" w:eastAsia="Calibri" w:hAnsi="Calibri"/>
          <w:b/>
          <w:bCs/>
          <w:color w:val="1D2D3E"/>
          <w:sz w:val="52"/>
          <w:szCs w:val="52"/>
        </w:rPr>
        <w:t xml:space="preserve">PoC: Exposición de datos de S/4HANA como API OData V4 vía BTP</w:t>
      </w:r>
    </w:p>
    <w:p>
      <w:pPr>
        <w:spacing w:after="900" w:before="0"/>
      </w:pPr>
      <w:r>
        <w:rPr>
          <w:rFonts w:ascii="Calibri" w:cs="Calibri" w:eastAsia="Calibri" w:hAnsi="Calibri"/>
          <w:b/>
          <w:bCs/>
          <w:i w:val="false"/>
          <w:iCs w:val="false"/>
          <w:color w:val="0A6ED1"/>
          <w:sz w:val="24"/>
          <w:szCs w:val="24"/>
        </w:rPr>
        <w:t xml:space="preserve">Caso piloto para la migración de interfaces PI/PO hacia APIs y SAP BTP</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367"/>
        <w:gridCol w:w="7379"/>
      </w:tblGrid>
      <w:tr>
        <w:trPr>
          <w:cantSplit/>
          <w:tblHeader/>
        </w:trPr>
        <w:tc>
          <w:tcPr>
            <w:tcW w:type="dxa" w:w="23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3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3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Identificador</w:t>
            </w:r>
          </w:p>
        </w:tc>
        <w:tc>
          <w:tcPr>
            <w:tcW w:type="dxa" w:w="73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ET-001</w:t>
            </w:r>
          </w:p>
        </w:tc>
      </w:tr>
      <w:tr>
        <w:trPr>
          <w:cantSplit/>
          <w:tblHeader w:val="false"/>
        </w:trPr>
        <w:tc>
          <w:tcPr>
            <w:tcW w:type="dxa" w:w="23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w:t>
            </w:r>
          </w:p>
        </w:tc>
        <w:tc>
          <w:tcPr>
            <w:tcW w:type="dxa" w:w="737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w:t>
            </w:r>
          </w:p>
        </w:tc>
      </w:tr>
      <w:tr>
        <w:trPr>
          <w:cantSplit/>
          <w:tblHeader w:val="false"/>
        </w:trPr>
        <w:tc>
          <w:tcPr>
            <w:tcW w:type="dxa" w:w="23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Estado</w:t>
            </w:r>
          </w:p>
        </w:tc>
        <w:tc>
          <w:tcPr>
            <w:tcW w:type="dxa" w:w="73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Borrador para revisión</w:t>
            </w:r>
          </w:p>
        </w:tc>
      </w:tr>
      <w:tr>
        <w:trPr>
          <w:cantSplit/>
          <w:tblHeader w:val="false"/>
        </w:trPr>
        <w:tc>
          <w:tcPr>
            <w:tcW w:type="dxa" w:w="23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Sistema origen</w:t>
            </w:r>
          </w:p>
        </w:tc>
        <w:tc>
          <w:tcPr>
            <w:tcW w:type="dxa" w:w="737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SAP S/4HANA 2025 (on-premise / Private Cloud Edition)</w:t>
            </w:r>
          </w:p>
        </w:tc>
      </w:tr>
      <w:tr>
        <w:trPr>
          <w:cantSplit/>
          <w:tblHeader w:val="false"/>
        </w:trPr>
        <w:tc>
          <w:tcPr>
            <w:tcW w:type="dxa" w:w="23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Repositorio</w:t>
            </w:r>
          </w:p>
        </w:tc>
        <w:tc>
          <w:tcPr>
            <w:tcW w:type="dxa" w:w="73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Oneconnect_ECC</w:t>
            </w:r>
          </w:p>
        </w:tc>
      </w:tr>
      <w:tr>
        <w:trPr>
          <w:cantSplit/>
          <w:tblHeader w:val="false"/>
        </w:trPr>
        <w:tc>
          <w:tcPr>
            <w:tcW w:type="dxa" w:w="23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 propuesto</w:t>
            </w:r>
          </w:p>
        </w:tc>
        <w:tc>
          <w:tcPr>
            <w:tcW w:type="dxa" w:w="737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r>
              <w:rPr>
                <w:rFonts w:ascii="Calibri" w:cs="Calibri" w:eastAsia="Calibri" w:hAnsi="Calibri"/>
                <w:b w:val="false"/>
                <w:bCs w:val="false"/>
                <w:i w:val="false"/>
                <w:iCs w:val="false"/>
                <w:color w:val="32363A"/>
                <w:sz w:val="17"/>
                <w:szCs w:val="17"/>
              </w:rPr>
              <w:t xml:space="preserve"> (nuevo, independiente de </w:t>
            </w:r>
            <w:r>
              <w:rPr>
                <w:rFonts w:ascii="Consolas" w:cs="Consolas" w:eastAsia="Consolas" w:hAnsi="Consolas"/>
                <w:color w:val="1D2D3E"/>
                <w:sz w:val="15"/>
                <w:szCs w:val="15"/>
                <w:shd w:fill="F4F6F8" w:val="clear"/>
              </w:rPr>
              <w:t xml:space="preserve">ZONECONNECT</w:t>
            </w: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23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interfaz</w:t>
            </w:r>
          </w:p>
        </w:tc>
        <w:tc>
          <w:tcPr>
            <w:tcW w:type="dxa" w:w="73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Síncrona, consulta (pull), solo lectura</w:t>
            </w:r>
          </w:p>
        </w:tc>
      </w:tr>
    </w:tbl>
    <w:p>
      <w:pPr>
        <w:spacing w:after="0" w:before="900"/>
      </w:pPr>
      <w:r>
        <w:rPr>
          <w:rFonts w:ascii="Calibri" w:cs="Calibri" w:eastAsia="Calibri" w:hAnsi="Calibri"/>
          <w:color w:val="6A6D70"/>
          <w:sz w:val="16"/>
          <w:szCs w:val="16"/>
        </w:rPr>
        <w:t xml:space="preserve">Repositorio: Oneconnect_ECC   ·   Rama: claude/charming-rubin-x68ig4</w:t>
      </w:r>
    </w:p>
    <w:p>
      <w:pPr>
        <w:spacing w:after="0" w:before="40"/>
      </w:pPr>
      <w:r>
        <w:rPr>
          <w:rFonts w:ascii="Calibri" w:cs="Calibri" w:eastAsia="Calibri" w:hAnsi="Calibri"/>
          <w:color w:val="6A6D70"/>
          <w:sz w:val="16"/>
          <w:szCs w:val="16"/>
        </w:rPr>
        <w:t xml:space="preserve">Documento generado a partir de docs/ET-001-PoC-CDS-RAP-BTP-Postman.md</w:t>
      </w:r>
    </w:p>
    <w:p>
      <w:pPr>
        <w:pageBreakBefore/>
        <w:spacing w:after="60" w:before="0"/>
      </w:pPr>
      <w:r>
        <w:rPr>
          <w:rFonts w:ascii="Calibri" w:cs="Calibri" w:eastAsia="Calibri" w:hAnsi="Calibri"/>
          <w:b/>
          <w:bCs/>
          <w:color w:val="1D2D3E"/>
          <w:sz w:val="40"/>
          <w:szCs w:val="40"/>
        </w:rPr>
        <w:t xml:space="preserve">Índice</w:t>
      </w:r>
    </w:p>
    <w:p>
      <w:pPr>
        <w:pBdr>
          <w:bottom w:val="single" w:color="0A6ED1" w:sz="12" w:space="4"/>
        </w:pBdr>
        <w:spacing w:after="260" w:before="0"/>
      </w:pPr>
      <w:r>
        <w:rPr>
          <w:sz w:val="2"/>
          <w:szCs w:val="2"/>
        </w:rPr>
        <w:t xml:space="preserve"/>
      </w:r>
    </w:p>
    <w:sdt>
      <w:sdtPr>
        <w:alias w:val="Índice"/>
      </w:sdtPr>
      <w:sdtContent>
        <w:p>
          <w:r>
            <w:fldChar w:fldCharType="begin" w:dirty="true"/>
            <w:instrText xml:space="preserve">TOC \h \o "1-3"</w:instrText>
            <w:fldChar w:fldCharType="separate"/>
          </w:r>
        </w:p>
        <w:p>
          <w:r>
            <w:fldChar w:fldCharType="end"/>
          </w:r>
        </w:p>
      </w:sdtContent>
    </w:sdt>
    <w:p>
      <w:pPr>
        <w:spacing w:after="0" w:before="400"/>
      </w:pPr>
      <w:r>
        <w:rPr>
          <w:rFonts w:ascii="Calibri" w:cs="Calibri" w:eastAsia="Calibri" w:hAnsi="Calibri"/>
          <w:i/>
          <w:iCs/>
          <w:color w:val="6A6D70"/>
          <w:sz w:val="16"/>
          <w:szCs w:val="16"/>
        </w:rPr>
        <w:t xml:space="preserve">Para actualizar el índice en Word: seleccionar la tabla y pulsar F9, o clic derecho → Actualizar campos → Actualizar toda la tabla.</w:t>
      </w:r>
    </w:p>
    <w:p>
      <w:pPr>
        <w:pStyle w:val="Heading1"/>
        <w:pageBreakBefore/>
      </w:pPr>
      <w:r>
        <w:rPr>
          <w:rFonts w:ascii="Calibri" w:cs="Calibri" w:eastAsia="Calibri" w:hAnsi="Calibri"/>
          <w:b/>
          <w:bCs/>
          <w:i w:val="false"/>
          <w:iCs w:val="false"/>
          <w:color w:val="1D2D3E"/>
          <w:sz w:val="34"/>
          <w:szCs w:val="34"/>
        </w:rPr>
        <w:t xml:space="preserve">1. Objetivo y alcance</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 Objetivo</w:t>
      </w:r>
    </w:p>
    <w:p>
      <w:pPr>
        <w:spacing w:after="140" w:before="60" w:line="276"/>
        <w:jc w:val="both"/>
      </w:pPr>
      <w:r>
        <w:rPr>
          <w:rFonts w:ascii="Calibri" w:cs="Calibri" w:eastAsia="Calibri" w:hAnsi="Calibri"/>
          <w:b w:val="false"/>
          <w:bCs w:val="false"/>
          <w:i w:val="false"/>
          <w:iCs w:val="false"/>
          <w:color w:val="32363A"/>
          <w:sz w:val="20"/>
          <w:szCs w:val="20"/>
        </w:rPr>
        <w:t xml:space="preserve">Construir de extremo a extremo, </w:t>
      </w:r>
      <w:r>
        <w:rPr>
          <w:rFonts w:ascii="Calibri" w:cs="Calibri" w:eastAsia="Calibri" w:hAnsi="Calibri"/>
          <w:b/>
          <w:bCs/>
          <w:i w:val="false"/>
          <w:iCs w:val="false"/>
          <w:color w:val="32363A"/>
          <w:sz w:val="20"/>
          <w:szCs w:val="20"/>
        </w:rPr>
        <w:t xml:space="preserve">desde cero y sin reutilizar ningún objeto existente</w:t>
      </w:r>
      <w:r>
        <w:rPr>
          <w:rFonts w:ascii="Calibri" w:cs="Calibri" w:eastAsia="Calibri" w:hAnsi="Calibri"/>
          <w:b w:val="false"/>
          <w:bCs w:val="false"/>
          <w:i w:val="false"/>
          <w:iCs w:val="false"/>
          <w:color w:val="32363A"/>
          <w:sz w:val="20"/>
          <w:szCs w:val="20"/>
        </w:rPr>
        <w:t xml:space="preserve">, una interfaz de consulta que exponga datos maestros de cliente desde SAP S/4HANA 2025 hacia un consumidor externo, empleando exclusivamente tecnología actual:</w:t>
      </w:r>
    </w:p>
    <w:p>
      <w:pPr>
        <w:spacing w:after="140" w:before="60" w:line="276"/>
        <w:jc w:val="both"/>
      </w:pPr>
      <w:r>
        <w:rPr>
          <w:rFonts w:ascii="Calibri" w:cs="Calibri" w:eastAsia="Calibri" w:hAnsi="Calibri"/>
          <w:b w:val="false"/>
          <w:bCs w:val="false"/>
          <w:i w:val="false"/>
          <w:iCs w:val="false"/>
          <w:color w:val="32363A"/>
          <w:sz w:val="20"/>
          <w:szCs w:val="20"/>
        </w:rPr>
        <w:t xml:space="preserve">CDS View → RAP Service → SAP Cloud Connector → SAP BTP → API Management → Postman</w:t>
      </w:r>
    </w:p>
    <w:p>
      <w:pPr>
        <w:spacing w:after="140" w:before="60" w:line="276"/>
        <w:jc w:val="both"/>
      </w:pPr>
      <w:r>
        <w:rPr>
          <w:rFonts w:ascii="Calibri" w:cs="Calibri" w:eastAsia="Calibri" w:hAnsi="Calibri"/>
          <w:b w:val="false"/>
          <w:bCs w:val="false"/>
          <w:i w:val="false"/>
          <w:iCs w:val="false"/>
          <w:color w:val="32363A"/>
          <w:sz w:val="20"/>
          <w:szCs w:val="20"/>
        </w:rPr>
        <w:t xml:space="preserve">El resultado es un </w:t>
      </w:r>
      <w:r>
        <w:rPr>
          <w:rFonts w:ascii="Calibri" w:cs="Calibri" w:eastAsia="Calibri" w:hAnsi="Calibri"/>
          <w:b/>
          <w:bCs/>
          <w:i w:val="false"/>
          <w:iCs w:val="false"/>
          <w:color w:val="32363A"/>
          <w:sz w:val="20"/>
          <w:szCs w:val="20"/>
        </w:rPr>
        <w:t xml:space="preserve">patrón de referencia replicable</w:t>
      </w:r>
      <w:r>
        <w:rPr>
          <w:rFonts w:ascii="Calibri" w:cs="Calibri" w:eastAsia="Calibri" w:hAnsi="Calibri"/>
          <w:b w:val="false"/>
          <w:bCs w:val="false"/>
          <w:i w:val="false"/>
          <w:iCs w:val="false"/>
          <w:color w:val="32363A"/>
          <w:sz w:val="20"/>
          <w:szCs w:val="20"/>
        </w:rPr>
        <w:t xml:space="preserve">: la PoC no vale por el dato que devuelve, sino por establecer la cadena de herramientas, conexiones, convenciones de nombres y controles de seguridad que se reutilizarán en la migración del resto de interfaces PI/PO.</w:t>
      </w:r>
    </w:p>
    <w:p>
      <w:pPr>
        <w:pStyle w:val="Heading2"/>
      </w:pPr>
      <w:r>
        <w:rPr>
          <w:rFonts w:ascii="Calibri" w:cs="Calibri" w:eastAsia="Calibri" w:hAnsi="Calibri"/>
          <w:b/>
          <w:bCs/>
          <w:i w:val="false"/>
          <w:iCs w:val="false"/>
          <w:color w:val="0A6ED1"/>
          <w:sz w:val="26"/>
          <w:szCs w:val="26"/>
        </w:rPr>
        <w:t xml:space="preserve">1.2 Alcance funcional</w:t>
      </w:r>
    </w:p>
    <w:p>
      <w:pPr>
        <w:spacing w:after="140" w:before="60" w:line="276"/>
        <w:jc w:val="both"/>
      </w:pPr>
      <w:r>
        <w:rPr>
          <w:rFonts w:ascii="Calibri" w:cs="Calibri" w:eastAsia="Calibri" w:hAnsi="Calibri"/>
          <w:b w:val="false"/>
          <w:bCs w:val="false"/>
          <w:i w:val="false"/>
          <w:iCs w:val="false"/>
          <w:color w:val="32363A"/>
          <w:sz w:val="20"/>
          <w:szCs w:val="20"/>
        </w:rPr>
        <w:t xml:space="preserve">Servicio OData V4 de solo lectura que devuelve, para el maestro de clientes (</w:t>
      </w:r>
      <w:r>
        <w:rPr>
          <w:rFonts w:ascii="Consolas" w:cs="Consolas" w:eastAsia="Consolas" w:hAnsi="Consolas"/>
          <w:color w:val="1D2D3E"/>
          <w:sz w:val="18"/>
          <w:szCs w:val="18"/>
          <w:shd w:fill="F4F6F8" w:val="clear"/>
        </w:rPr>
        <w:t xml:space="preserve">KNA1</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81"/>
        <w:gridCol w:w="1989"/>
        <w:gridCol w:w="2785"/>
        <w:gridCol w:w="1591"/>
      </w:tblGrid>
      <w:tr>
        <w:trPr>
          <w:cantSplit/>
          <w:tblHeader/>
        </w:trPr>
        <w:tc>
          <w:tcPr>
            <w:tcW w:type="dxa" w:w="33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Concepto</w:t>
            </w:r>
          </w:p>
        </w:tc>
        <w:tc>
          <w:tcPr>
            <w:tcW w:type="dxa" w:w="198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 </w:t>
            </w:r>
            <w:r>
              <w:rPr>
                <w:rFonts w:ascii="Consolas" w:cs="Consolas" w:eastAsia="Consolas" w:hAnsi="Consolas"/>
                <w:color w:val="1D2D3E"/>
                <w:sz w:val="15"/>
                <w:szCs w:val="15"/>
                <w:shd w:fill="F4F6F8" w:val="clear"/>
              </w:rPr>
              <w:t xml:space="preserve">KNA1</w:t>
            </w:r>
          </w:p>
        </w:tc>
        <w:tc>
          <w:tcPr>
            <w:tcW w:type="dxa" w:w="278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Alias expuesto</w:t>
            </w:r>
          </w:p>
        </w:tc>
        <w:tc>
          <w:tcPr>
            <w:tcW w:type="dxa" w:w="159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r>
      <w:tr>
        <w:trPr>
          <w:cantSplit/>
          <w:tblHeader w:val="false"/>
        </w:trPr>
        <w:tc>
          <w:tcPr>
            <w:tcW w:type="dxa" w:w="338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Número de cliente</w:t>
            </w:r>
          </w:p>
        </w:tc>
        <w:tc>
          <w:tcPr>
            <w:tcW w:type="dxa" w:w="198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c>
          <w:tcPr>
            <w:tcW w:type="dxa" w:w="159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CHAR(10)</w:t>
            </w:r>
          </w:p>
        </w:tc>
      </w:tr>
      <w:tr>
        <w:trPr>
          <w:cantSplit/>
          <w:tblHeader w:val="false"/>
        </w:trPr>
        <w:tc>
          <w:tcPr>
            <w:tcW w:type="dxa" w:w="338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Ciudad</w:t>
            </w:r>
          </w:p>
        </w:tc>
        <w:tc>
          <w:tcPr>
            <w:tcW w:type="dxa" w:w="198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ORT01</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CityName</w:t>
            </w:r>
          </w:p>
        </w:tc>
        <w:tc>
          <w:tcPr>
            <w:tcW w:type="dxa" w:w="159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CHAR(35)</w:t>
            </w:r>
          </w:p>
        </w:tc>
      </w:tr>
      <w:tr>
        <w:trPr>
          <w:cantSplit/>
          <w:tblHeader w:val="false"/>
        </w:trPr>
        <w:tc>
          <w:tcPr>
            <w:tcW w:type="dxa" w:w="338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Región / Estado</w:t>
            </w:r>
          </w:p>
        </w:tc>
        <w:tc>
          <w:tcPr>
            <w:tcW w:type="dxa" w:w="198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Region</w:t>
            </w:r>
          </w:p>
        </w:tc>
        <w:tc>
          <w:tcPr>
            <w:tcW w:type="dxa" w:w="159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CHAR(3)</w:t>
            </w:r>
          </w:p>
        </w:tc>
      </w:tr>
      <w:tr>
        <w:trPr>
          <w:cantSplit/>
          <w:tblHeader w:val="false"/>
        </w:trPr>
        <w:tc>
          <w:tcPr>
            <w:tcW w:type="dxa" w:w="338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País</w:t>
            </w:r>
          </w:p>
        </w:tc>
        <w:tc>
          <w:tcPr>
            <w:tcW w:type="dxa" w:w="198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LAND1</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Country</w:t>
            </w:r>
          </w:p>
        </w:tc>
        <w:tc>
          <w:tcPr>
            <w:tcW w:type="dxa" w:w="159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CHAR(3)</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servicio soporta las opciones de consulta estándar de OData V4: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$top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$skip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$orderby</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$count</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1.3 Fuera de alcance</w:t>
      </w:r>
    </w:p>
    <w:p>
      <w:pPr>
        <w:spacing w:after="140" w:before="60" w:line="276"/>
        <w:jc w:val="both"/>
      </w:pPr>
      <w:r>
        <w:rPr>
          <w:rFonts w:ascii="Calibri" w:cs="Calibri" w:eastAsia="Calibri" w:hAnsi="Calibri"/>
          <w:b w:val="false"/>
          <w:bCs w:val="false"/>
          <w:i w:val="false"/>
          <w:iCs w:val="false"/>
          <w:color w:val="32363A"/>
          <w:sz w:val="20"/>
          <w:szCs w:val="20"/>
        </w:rPr>
        <w:t xml:space="preserve">Se declara explícitamente para evitar que la PoC se interprete como un patrón universal: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31"/>
        <w:gridCol w:w="4915"/>
      </w:tblGrid>
      <w:tr>
        <w:trPr>
          <w:cantSplit/>
          <w:tblHeader/>
        </w:trPr>
        <w:tc>
          <w:tcPr>
            <w:tcW w:type="dxa" w:w="483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Excluido</w:t>
            </w:r>
          </w:p>
        </w:tc>
        <w:tc>
          <w:tcPr>
            <w:tcW w:type="dxa" w:w="491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 y patrón correcto</w:t>
            </w:r>
          </w:p>
        </w:tc>
      </w:tr>
      <w:tr>
        <w:trPr>
          <w:cantSplit/>
          <w:tblHeader w:val="false"/>
        </w:trPr>
        <w:tc>
          <w:tcPr>
            <w:tcW w:type="dxa" w:w="48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Operaciones de escritura (POST/PATCH/DELETE)</w:t>
            </w:r>
          </w:p>
        </w:tc>
        <w:tc>
          <w:tcPr>
            <w:tcW w:type="dxa" w:w="49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es de consulta. Ver §11 para la extensión transaccional</w:t>
            </w:r>
          </w:p>
        </w:tc>
      </w:tr>
      <w:tr>
        <w:trPr>
          <w:cantSplit/>
          <w:tblHeader w:val="false"/>
        </w:trPr>
        <w:tc>
          <w:tcPr>
            <w:tcW w:type="dxa" w:w="48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asíncronas de salida (IDoc, proxies ABAP)</w:t>
            </w:r>
          </w:p>
        </w:tc>
        <w:tc>
          <w:tcPr>
            <w:tcW w:type="dxa" w:w="49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migran a OData. Patrón correcto: RAP Business Events + SAP Event Mesh</w:t>
            </w:r>
          </w:p>
        </w:tc>
      </w:tr>
      <w:tr>
        <w:trPr>
          <w:cantSplit/>
          <w:tblHeader w:val="false"/>
        </w:trPr>
        <w:tc>
          <w:tcPr>
            <w:tcW w:type="dxa" w:w="48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de fichero (adaptador File/SFTP de PI/PO)</w:t>
            </w:r>
          </w:p>
        </w:tc>
        <w:tc>
          <w:tcPr>
            <w:tcW w:type="dxa" w:w="49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iFlow de SAP Cloud Integration</w:t>
            </w:r>
          </w:p>
        </w:tc>
      </w:tr>
      <w:tr>
        <w:trPr>
          <w:cantSplit/>
          <w:tblHeader w:val="false"/>
        </w:trPr>
        <w:tc>
          <w:tcPr>
            <w:tcW w:type="dxa" w:w="48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Mapeos y transformaciones complejas</w:t>
            </w:r>
          </w:p>
        </w:tc>
        <w:tc>
          <w:tcPr>
            <w:tcW w:type="dxa" w:w="49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SAP Cloud Integration</w:t>
            </w:r>
          </w:p>
        </w:tc>
      </w:tr>
      <w:tr>
        <w:trPr>
          <w:cantSplit/>
          <w:tblHeader w:val="false"/>
        </w:trPr>
        <w:tc>
          <w:tcPr>
            <w:tcW w:type="dxa" w:w="48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disponibilidad, sizing y dimensionamiento productivo</w:t>
            </w:r>
          </w:p>
        </w:tc>
        <w:tc>
          <w:tcPr>
            <w:tcW w:type="dxa" w:w="49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se despliega en entorno de desarrollo</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Advertencia de alcance.</w:t>
      </w:r>
      <w:r>
        <w:rPr>
          <w:rFonts w:ascii="Calibri" w:cs="Calibri" w:eastAsia="Calibri" w:hAnsi="Calibri"/>
          <w:b w:val="false"/>
          <w:bCs w:val="false"/>
          <w:i w:val="false"/>
          <w:iCs w:val="false"/>
          <w:color w:val="32363A"/>
          <w:sz w:val="19"/>
          <w:szCs w:val="19"/>
        </w:rPr>
        <w:t xml:space="preserve"> El grueso del tráfico histórico de PI/PO en un ECC es </w:t>
      </w:r>
      <w:r>
        <w:rPr>
          <w:rFonts w:ascii="Calibri" w:cs="Calibri" w:eastAsia="Calibri" w:hAnsi="Calibri"/>
          <w:b/>
          <w:bCs/>
          <w:i w:val="false"/>
          <w:iCs w:val="false"/>
          <w:color w:val="32363A"/>
          <w:sz w:val="19"/>
          <w:szCs w:val="19"/>
        </w:rPr>
        <w:t xml:space="preserve">asíncrono de tipo push</w:t>
      </w:r>
      <w:r>
        <w:rPr>
          <w:rFonts w:ascii="Calibri" w:cs="Calibri" w:eastAsia="Calibri" w:hAnsi="Calibri"/>
          <w:b w:val="false"/>
          <w:bCs w:val="false"/>
          <w:i w:val="false"/>
          <w:iCs w:val="false"/>
          <w:color w:val="32363A"/>
          <w:sz w:val="19"/>
          <w:szCs w:val="19"/>
        </w:rPr>
        <w:t xml:space="preserve">. Esta PoC demuestra únicamente el patrón </w:t>
      </w:r>
      <w:r>
        <w:rPr>
          <w:rFonts w:ascii="Calibri" w:cs="Calibri" w:eastAsia="Calibri" w:hAnsi="Calibri"/>
          <w:b/>
          <w:bCs/>
          <w:i w:val="false"/>
          <w:iCs w:val="false"/>
          <w:color w:val="32363A"/>
          <w:sz w:val="19"/>
          <w:szCs w:val="19"/>
        </w:rPr>
        <w:t xml:space="preserve">síncrono de consulta</w:t>
      </w:r>
      <w:r>
        <w:rPr>
          <w:rFonts w:ascii="Calibri" w:cs="Calibri" w:eastAsia="Calibri" w:hAnsi="Calibri"/>
          <w:b w:val="false"/>
          <w:bCs w:val="false"/>
          <w:i w:val="false"/>
          <w:iCs w:val="false"/>
          <w:color w:val="32363A"/>
          <w:sz w:val="19"/>
          <w:szCs w:val="19"/>
        </w:rPr>
        <w:t xml:space="preserve">. Antes de generalizar el patrón a todo el inventario de interfaces, es necesario clasificar cada interfaz por tipo (síncrona/asíncrona, consulta/actualización) y asignarle el patrón destino que corresponda.</w:t>
      </w:r>
    </w:p>
    <w:p>
      <w:pPr>
        <w:pStyle w:val="Heading1"/>
        <w:pageBreakBefore/>
      </w:pPr>
      <w:r>
        <w:rPr>
          <w:rFonts w:ascii="Calibri" w:cs="Calibri" w:eastAsia="Calibri" w:hAnsi="Calibri"/>
          <w:b/>
          <w:bCs/>
          <w:i w:val="false"/>
          <w:iCs w:val="false"/>
          <w:color w:val="1D2D3E"/>
          <w:sz w:val="34"/>
          <w:szCs w:val="34"/>
        </w:rPr>
        <w:t xml:space="preserve">2. Contexto: de PI/PO a APIs</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SAP Process Integration / Process Orchestration alcanza el fin de su mantenimiento estándar y la estrategia de integración de SAP se apoya ahora en </w:t>
      </w:r>
      <w:r>
        <w:rPr>
          <w:rFonts w:ascii="Calibri" w:cs="Calibri" w:eastAsia="Calibri" w:hAnsi="Calibri"/>
          <w:b/>
          <w:bCs/>
          <w:i w:val="false"/>
          <w:iCs w:val="false"/>
          <w:color w:val="32363A"/>
          <w:sz w:val="20"/>
          <w:szCs w:val="20"/>
        </w:rPr>
        <w:t xml:space="preserve">SAP Integration Suite</w:t>
      </w:r>
      <w:r>
        <w:rPr>
          <w:rFonts w:ascii="Calibri" w:cs="Calibri" w:eastAsia="Calibri" w:hAnsi="Calibri"/>
          <w:b w:val="false"/>
          <w:bCs w:val="false"/>
          <w:i w:val="false"/>
          <w:iCs w:val="false"/>
          <w:color w:val="32363A"/>
          <w:sz w:val="20"/>
          <w:szCs w:val="20"/>
        </w:rPr>
        <w:t xml:space="preserve"> sobre BTP. La migración no es un reemplazo uno a uno del middleware: cada interfaz debe reevaluarse y asignarse al patrón de integración adecuado.</w:t>
      </w:r>
    </w:p>
    <w:p>
      <w:pPr>
        <w:pStyle w:val="Heading2"/>
      </w:pPr>
      <w:r>
        <w:rPr>
          <w:rFonts w:ascii="Calibri" w:cs="Calibri" w:eastAsia="Calibri" w:hAnsi="Calibri"/>
          <w:b/>
          <w:bCs/>
          <w:i w:val="false"/>
          <w:iCs w:val="false"/>
          <w:color w:val="0A6ED1"/>
          <w:sz w:val="26"/>
          <w:szCs w:val="26"/>
        </w:rPr>
        <w:t xml:space="preserve">2.1 Matriz de reasignación de patrones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857"/>
        <w:gridCol w:w="4033"/>
        <w:gridCol w:w="2856"/>
      </w:tblGrid>
      <w:tr>
        <w:trPr>
          <w:cantSplit/>
          <w:tblHeader/>
        </w:trPr>
        <w:tc>
          <w:tcPr>
            <w:tcW w:type="dxa" w:w="28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en PI/PO</w:t>
            </w:r>
          </w:p>
        </w:tc>
        <w:tc>
          <w:tcPr>
            <w:tcW w:type="dxa" w:w="40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destino</w:t>
            </w:r>
          </w:p>
        </w:tc>
        <w:tc>
          <w:tcPr>
            <w:tcW w:type="dxa" w:w="285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Componentes</w:t>
            </w:r>
          </w:p>
        </w:tc>
      </w:tr>
      <w:tr>
        <w:trPr>
          <w:cantSplit/>
          <w:tblHeader w:val="false"/>
        </w:trPr>
        <w:tc>
          <w:tcPr>
            <w:tcW w:type="dxa" w:w="28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síncrono de consulta</w:t>
            </w:r>
          </w:p>
        </w:tc>
        <w:tc>
          <w:tcPr>
            <w:tcW w:type="dxa" w:w="40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w:t>
            </w:r>
          </w:p>
        </w:tc>
        <w:tc>
          <w:tcPr>
            <w:tcW w:type="dxa" w:w="28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 API Management</w:t>
            </w:r>
          </w:p>
        </w:tc>
      </w:tr>
      <w:tr>
        <w:trPr>
          <w:cantSplit/>
          <w:tblHeader w:val="false"/>
        </w:trPr>
        <w:tc>
          <w:tcPr>
            <w:tcW w:type="dxa" w:w="28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RFC síncrono de consulta</w:t>
            </w:r>
          </w:p>
        </w:tc>
        <w:tc>
          <w:tcPr>
            <w:tcW w:type="dxa" w:w="40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w:t>
            </w:r>
          </w:p>
        </w:tc>
        <w:tc>
          <w:tcPr>
            <w:tcW w:type="dxa" w:w="285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 API Management</w:t>
            </w:r>
          </w:p>
        </w:tc>
      </w:tr>
      <w:tr>
        <w:trPr>
          <w:cantSplit/>
          <w:tblHeader w:val="false"/>
        </w:trPr>
        <w:tc>
          <w:tcPr>
            <w:tcW w:type="dxa" w:w="28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 SOAP síncrono</w:t>
            </w:r>
          </w:p>
        </w:tc>
        <w:tc>
          <w:tcPr>
            <w:tcW w:type="dxa" w:w="40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REST/OData, o Cloud Integration si hay mapeo</w:t>
            </w:r>
          </w:p>
        </w:tc>
        <w:tc>
          <w:tcPr>
            <w:tcW w:type="dxa" w:w="28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 / Cloud Integration</w:t>
            </w:r>
          </w:p>
        </w:tc>
      </w:tr>
      <w:tr>
        <w:trPr>
          <w:cantSplit/>
          <w:tblHeader w:val="false"/>
        </w:trPr>
        <w:tc>
          <w:tcPr>
            <w:tcW w:type="dxa" w:w="28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IDoc saliente asíncrono</w:t>
            </w:r>
          </w:p>
        </w:tc>
        <w:tc>
          <w:tcPr>
            <w:tcW w:type="dxa" w:w="40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5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28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asíncrono de salida</w:t>
            </w:r>
          </w:p>
        </w:tc>
        <w:tc>
          <w:tcPr>
            <w:tcW w:type="dxa" w:w="40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28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de fichero</w:t>
            </w:r>
          </w:p>
        </w:tc>
        <w:tc>
          <w:tcPr>
            <w:tcW w:type="dxa" w:w="40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5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 + adaptador SFTP</w:t>
            </w:r>
          </w:p>
        </w:tc>
      </w:tr>
      <w:tr>
        <w:trPr>
          <w:cantSplit/>
          <w:tblHeader w:val="false"/>
        </w:trPr>
        <w:tc>
          <w:tcPr>
            <w:tcW w:type="dxa" w:w="28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con mapeo/enriquecimiento</w:t>
            </w:r>
          </w:p>
        </w:tc>
        <w:tc>
          <w:tcPr>
            <w:tcW w:type="dxa" w:w="40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Esta PoC implementa la primera fila de la matriz.</w:t>
      </w:r>
    </w:p>
    <w:p>
      <w:pPr>
        <w:pStyle w:val="Heading2"/>
      </w:pPr>
      <w:r>
        <w:rPr>
          <w:rFonts w:ascii="Calibri" w:cs="Calibri" w:eastAsia="Calibri" w:hAnsi="Calibri"/>
          <w:b/>
          <w:bCs/>
          <w:i w:val="false"/>
          <w:iCs w:val="false"/>
          <w:color w:val="0A6ED1"/>
          <w:sz w:val="26"/>
          <w:szCs w:val="26"/>
        </w:rPr>
        <w:t xml:space="preserve">2.2 Ventajas del patrón frente a PI/PO</w:t>
      </w:r>
    </w:p>
    <w:p>
      <w:pPr>
        <w:pStyle w:val="ListParagraph"/>
        <w:numPr>
          <w:ilvl w:val="0"/>
          <w:numId w:val="2"/>
        </w:numPr>
        <w:spacing w:after="20" w:before="60" w:line="268"/>
      </w:pPr>
      <w:r>
        <w:rPr>
          <w:rFonts w:ascii="Calibri" w:cs="Calibri" w:eastAsia="Calibri" w:hAnsi="Calibri"/>
          <w:b w:val="false"/>
          <w:bCs w:val="false"/>
          <w:i w:val="false"/>
          <w:iCs w:val="false"/>
          <w:color w:val="32363A"/>
          <w:sz w:val="20"/>
          <w:szCs w:val="20"/>
        </w:rPr>
        <w:t xml:space="preserve">Elimina un salto de red y un componente de middleware en escenarios de consulta simple.</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El contrato de la API se genera a partir del modelo de datos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no se mantiene manualmente.</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Las capacidades de consulta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paginación) son declarativas: el consumidor decide qué pide, sin desarrollar una variante por cada necesidad.</w:t>
      </w:r>
    </w:p>
    <w:p>
      <w:pPr>
        <w:pStyle w:val="ListParagraph"/>
        <w:numPr>
          <w:ilvl w:val="0"/>
          <w:numId w:val="2"/>
        </w:numPr>
        <w:spacing w:after="140" w:before="20" w:line="268"/>
      </w:pPr>
      <w:r>
        <w:rPr>
          <w:rFonts w:ascii="Calibri" w:cs="Calibri" w:eastAsia="Calibri" w:hAnsi="Calibri"/>
          <w:b w:val="false"/>
          <w:bCs w:val="false"/>
          <w:i w:val="false"/>
          <w:iCs w:val="false"/>
          <w:color w:val="32363A"/>
          <w:sz w:val="20"/>
          <w:szCs w:val="20"/>
        </w:rPr>
        <w:t xml:space="preserve">La seguridad, el control de tráfico y la monetización se gestionan en API Management, fuera del código ABAP.</w:t>
      </w:r>
    </w:p>
    <w:p>
      <w:pPr>
        <w:pStyle w:val="Heading1"/>
        <w:pageBreakBefore/>
      </w:pPr>
      <w:r>
        <w:rPr>
          <w:rFonts w:ascii="Calibri" w:cs="Calibri" w:eastAsia="Calibri" w:hAnsi="Calibri"/>
          <w:b/>
          <w:bCs/>
          <w:i w:val="false"/>
          <w:iCs w:val="false"/>
          <w:color w:val="1D2D3E"/>
          <w:sz w:val="34"/>
          <w:szCs w:val="34"/>
        </w:rPr>
        <w:t xml:space="preserve">3. Arquitectura de la solución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3.1 Diagrama de flujo</w:t>
      </w:r>
    </w:p>
    <w:tbl>
      <w:tblPr>
        <w:tblW w:type="dxa" w:w="7602"/>
        <w:jc w:val="center"/>
        <w:tblBorders>
          <w:top w:val="single" w:color="1D2D3E" w:sz="4"/>
          <w:left w:val="single" w:color="1D2D3E" w:sz="4"/>
          <w:bottom w:val="single" w:color="1D2D3E" w:sz="4"/>
          <w:right w:val="single" w:color="1D2D3E" w:sz="4"/>
          <w:insideH w:val="single" w:color="D9E1E8" w:sz="2"/>
          <w:insideV w:val="none" w:color="FFFFFF" w:sz="0"/>
        </w:tblBorders>
      </w:tblPr>
      <w:tblGrid>
        <w:gridCol w:w="7602"/>
      </w:tblGrid>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RED CORPORATIVA (ON-PREMISE)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KNA1</w:t>
            </w:r>
          </w:p>
          <w:p>
            <w:pPr>
              <w:spacing w:after="0" w:before="20"/>
              <w:jc w:val="center"/>
            </w:pPr>
            <w:r>
              <w:rPr>
                <w:rFonts w:ascii="Calibri" w:cs="Calibri" w:eastAsia="Calibri" w:hAnsi="Calibri"/>
                <w:color w:val="6A6D70"/>
                <w:sz w:val="15"/>
                <w:szCs w:val="15"/>
              </w:rPr>
              <w:t xml:space="preserve">Tabla — maestro de clientes</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ZR_CUSTOMERBASIC</w:t>
            </w:r>
          </w:p>
          <w:p>
            <w:pPr>
              <w:spacing w:after="0" w:before="20"/>
              <w:jc w:val="center"/>
            </w:pPr>
            <w:r>
              <w:rPr>
                <w:rFonts w:ascii="Calibri" w:cs="Calibri" w:eastAsia="Calibri" w:hAnsi="Calibri"/>
                <w:color w:val="6A6D70"/>
                <w:sz w:val="15"/>
                <w:szCs w:val="15"/>
              </w:rPr>
              <w:t xml:space="preserve">CDS View Entity (base)</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ZC_CUSTOMERBASIC</w:t>
            </w:r>
          </w:p>
          <w:p>
            <w:pPr>
              <w:spacing w:after="0" w:before="20"/>
              <w:jc w:val="center"/>
            </w:pPr>
            <w:r>
              <w:rPr>
                <w:rFonts w:ascii="Calibri" w:cs="Calibri" w:eastAsia="Calibri" w:hAnsi="Calibri"/>
                <w:color w:val="6A6D70"/>
                <w:sz w:val="15"/>
                <w:szCs w:val="15"/>
              </w:rPr>
              <w:t xml:space="preserve">Projection View</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ZAPI_CUSTOMERBASIC</w:t>
            </w:r>
          </w:p>
          <w:p>
            <w:pPr>
              <w:spacing w:after="0" w:before="20"/>
              <w:jc w:val="center"/>
            </w:pPr>
            <w:r>
              <w:rPr>
                <w:rFonts w:ascii="Calibri" w:cs="Calibri" w:eastAsia="Calibri" w:hAnsi="Calibri"/>
                <w:color w:val="6A6D70"/>
                <w:sz w:val="15"/>
                <w:szCs w:val="15"/>
              </w:rPr>
              <w:t xml:space="preserve">Service Definition</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ZAPI_CUSTOMERBASIC_O4</w:t>
            </w:r>
          </w:p>
          <w:p>
            <w:pPr>
              <w:spacing w:after="0" w:before="20"/>
              <w:jc w:val="center"/>
            </w:pPr>
            <w:r>
              <w:rPr>
                <w:rFonts w:ascii="Calibri" w:cs="Calibri" w:eastAsia="Calibri" w:hAnsi="Calibri"/>
                <w:color w:val="6A6D70"/>
                <w:sz w:val="15"/>
                <w:szCs w:val="15"/>
              </w:rPr>
              <w:t xml:space="preserve">Service Binding — OData V4 Web API</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/sap/opu/odata4</w:t>
            </w:r>
          </w:p>
          <w:p>
            <w:pPr>
              <w:spacing w:after="0" w:before="20"/>
              <w:jc w:val="center"/>
            </w:pPr>
            <w:r>
              <w:rPr>
                <w:rFonts w:ascii="Calibri" w:cs="Calibri" w:eastAsia="Calibri" w:hAnsi="Calibri"/>
                <w:color w:val="6A6D70"/>
                <w:sz w:val="15"/>
                <w:szCs w:val="15"/>
              </w:rPr>
              <w:t xml:space="preserve">Nodo ICF</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DMZ</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 Cloud Connector</w:t>
            </w:r>
          </w:p>
          <w:p>
            <w:pPr>
              <w:spacing w:after="0" w:before="20"/>
              <w:jc w:val="center"/>
            </w:pPr>
            <w:r>
              <w:rPr>
                <w:rFonts w:ascii="Calibri" w:cs="Calibri" w:eastAsia="Calibri" w:hAnsi="Calibri"/>
                <w:color w:val="6A6D70"/>
                <w:sz w:val="15"/>
                <w:szCs w:val="15"/>
              </w:rPr>
              <w:t xml:space="preserve">Host virtual: s4h-poc.virtual:44300</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SAP BTP — SUBACCOUNT</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S4H_POC_CUSTOMER</w:t>
            </w:r>
          </w:p>
          <w:p>
            <w:pPr>
              <w:spacing w:after="0" w:before="20"/>
              <w:jc w:val="center"/>
            </w:pPr>
            <w:r>
              <w:rPr>
                <w:rFonts w:ascii="Calibri" w:cs="Calibri" w:eastAsia="Calibri" w:hAnsi="Calibri"/>
                <w:color w:val="6A6D70"/>
                <w:sz w:val="15"/>
                <w:szCs w:val="15"/>
              </w:rPr>
              <w:t xml:space="preserve">Destination — ProxyType: OnPremise</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PoC_Customer_v1</w:t>
            </w:r>
          </w:p>
          <w:p>
            <w:pPr>
              <w:spacing w:after="0" w:before="20"/>
              <w:jc w:val="center"/>
            </w:pPr>
            <w:r>
              <w:rPr>
                <w:rFonts w:ascii="Calibri" w:cs="Calibri" w:eastAsia="Calibri" w:hAnsi="Calibri"/>
                <w:color w:val="6A6D70"/>
                <w:sz w:val="15"/>
                <w:szCs w:val="15"/>
              </w:rPr>
              <w:t xml:space="preserve">API Management — /poc/customer/v1</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CONSUMIDOR EXTERNO</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Postman</w:t>
            </w:r>
          </w:p>
          <w:p>
            <w:pPr>
              <w:spacing w:after="0" w:before="20"/>
              <w:jc w:val="center"/>
            </w:pPr>
            <w:r>
              <w:rPr>
                <w:rFonts w:ascii="Calibri" w:cs="Calibri" w:eastAsia="Calibri" w:hAnsi="Calibri"/>
                <w:color w:val="6A6D70"/>
                <w:sz w:val="15"/>
                <w:szCs w:val="15"/>
              </w:rPr>
              <w:t xml:space="preserve">HTTPS + API Key</w:t>
            </w:r>
          </w:p>
        </w:tc>
      </w:tr>
    </w:tbl>
    <w:p>
      <w:pPr>
        <w:spacing w:after="200" w:before="120"/>
        <w:jc w:val="center"/>
      </w:pPr>
      <w:r>
        <w:rPr>
          <w:rFonts w:ascii="Calibri" w:cs="Calibri" w:eastAsia="Calibri" w:hAnsi="Calibri"/>
          <w:i/>
          <w:iCs/>
          <w:color w:val="6A6D70"/>
          <w:sz w:val="16"/>
          <w:szCs w:val="16"/>
        </w:rPr>
        <w:t xml:space="preserve">Figura 1 — Cadena de componentes de la PoC, de la tabla origen al consumidor externo</w:t>
      </w:r>
    </w:p>
    <w:p>
      <w:pPr>
        <w:pStyle w:val="Heading2"/>
      </w:pPr>
      <w:r>
        <w:rPr>
          <w:rFonts w:ascii="Calibri" w:cs="Calibri" w:eastAsia="Calibri" w:hAnsi="Calibri"/>
          <w:b/>
          <w:bCs/>
          <w:i w:val="false"/>
          <w:iCs w:val="false"/>
          <w:color w:val="0A6ED1"/>
          <w:sz w:val="26"/>
          <w:szCs w:val="26"/>
        </w:rPr>
        <w:t xml:space="preserve">3.2 Fases de validación</w:t>
      </w:r>
    </w:p>
    <w:p>
      <w:pPr>
        <w:spacing w:after="140" w:before="60" w:line="276"/>
        <w:jc w:val="both"/>
      </w:pPr>
      <w:r>
        <w:rPr>
          <w:rFonts w:ascii="Calibri" w:cs="Calibri" w:eastAsia="Calibri" w:hAnsi="Calibri"/>
          <w:b w:val="false"/>
          <w:bCs w:val="false"/>
          <w:i w:val="false"/>
          <w:iCs w:val="false"/>
          <w:color w:val="32363A"/>
          <w:sz w:val="20"/>
          <w:szCs w:val="20"/>
        </w:rPr>
        <w:t xml:space="preserve">La cadena se valida por capas. </w:t>
      </w:r>
      <w:r>
        <w:rPr>
          <w:rFonts w:ascii="Calibri" w:cs="Calibri" w:eastAsia="Calibri" w:hAnsi="Calibri"/>
          <w:b/>
          <w:bCs/>
          <w:i w:val="false"/>
          <w:iCs w:val="false"/>
          <w:color w:val="32363A"/>
          <w:sz w:val="20"/>
          <w:szCs w:val="20"/>
        </w:rPr>
        <w:t xml:space="preserve">No se avanza a la fase siguiente sin cerrar la anterior</w:t>
      </w:r>
      <w:r>
        <w:rPr>
          <w:rFonts w:ascii="Calibri" w:cs="Calibri" w:eastAsia="Calibri" w:hAnsi="Calibri"/>
          <w:b w:val="false"/>
          <w:bCs w:val="false"/>
          <w:i w:val="false"/>
          <w:iCs w:val="false"/>
          <w:color w:val="32363A"/>
          <w:sz w:val="20"/>
          <w:szCs w:val="20"/>
        </w:rPr>
        <w:t xml:space="preserve">, porque diagnosticar un fallo con los siete componentes encadenados es inviable.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886"/>
        <w:gridCol w:w="1899"/>
        <w:gridCol w:w="6961"/>
      </w:tblGrid>
      <w:tr>
        <w:trPr>
          <w:cantSplit/>
          <w:tblHeader/>
        </w:trPr>
        <w:tc>
          <w:tcPr>
            <w:tcW w:type="dxa" w:w="8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Fase</w:t>
            </w:r>
          </w:p>
        </w:tc>
        <w:tc>
          <w:tcPr>
            <w:tcW w:type="dxa" w:w="189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Qué se valida</w:t>
            </w:r>
          </w:p>
        </w:tc>
        <w:tc>
          <w:tcPr>
            <w:tcW w:type="dxa" w:w="696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Punto de prueba</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F1</w:t>
            </w:r>
          </w:p>
        </w:tc>
        <w:tc>
          <w:tcPr>
            <w:tcW w:type="dxa" w:w="18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Modelo de datos</w:t>
            </w:r>
          </w:p>
        </w:tc>
        <w:tc>
          <w:tcPr>
            <w:tcW w:type="dxa" w:w="696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en ADT</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F2</w:t>
            </w:r>
          </w:p>
        </w:tc>
        <w:tc>
          <w:tcPr>
            <w:tcW w:type="dxa" w:w="189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 OData</w:t>
            </w:r>
          </w:p>
        </w:tc>
        <w:tc>
          <w:tcPr>
            <w:tcW w:type="dxa" w:w="696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 contra el backend, dentro de la red corporativa</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F3</w:t>
            </w:r>
          </w:p>
        </w:tc>
        <w:tc>
          <w:tcPr>
            <w:tcW w:type="dxa" w:w="18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w:t>
            </w:r>
          </w:p>
        </w:tc>
        <w:tc>
          <w:tcPr>
            <w:tcW w:type="dxa" w:w="696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Botón </w:t>
            </w:r>
            <w:r>
              <w:rPr>
                <w:rFonts w:ascii="Calibri" w:cs="Calibri" w:eastAsia="Calibri" w:hAnsi="Calibri"/>
                <w:b w:val="false"/>
                <w:bCs w:val="false"/>
                <w:i/>
                <w:iCs/>
                <w:color w:val="32363A"/>
                <w:sz w:val="17"/>
                <w:szCs w:val="17"/>
              </w:rPr>
              <w:t xml:space="preserve">Check Connection</w:t>
            </w:r>
            <w:r>
              <w:rPr>
                <w:rFonts w:ascii="Calibri" w:cs="Calibri" w:eastAsia="Calibri" w:hAnsi="Calibri"/>
                <w:b w:val="false"/>
                <w:bCs w:val="false"/>
                <w:i w:val="false"/>
                <w:iCs w:val="false"/>
                <w:color w:val="32363A"/>
                <w:sz w:val="17"/>
                <w:szCs w:val="17"/>
              </w:rPr>
              <w:t xml:space="preserve"> en la Destination de BTP</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F4</w:t>
            </w:r>
          </w:p>
        </w:tc>
        <w:tc>
          <w:tcPr>
            <w:tcW w:type="dxa" w:w="189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publicada</w:t>
            </w:r>
          </w:p>
        </w:tc>
        <w:tc>
          <w:tcPr>
            <w:tcW w:type="dxa" w:w="696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 contra el API Proxy, desde fuera de la red</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4. Inventario de herramientas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
        <w:gridCol w:w="2960"/>
        <w:gridCol w:w="1327"/>
        <w:gridCol w:w="1531"/>
        <w:gridCol w:w="918"/>
        <w:gridCol w:w="2653"/>
      </w:tblGrid>
      <w:tr>
        <w:trPr>
          <w:cantSplit/>
          <w:tblHeader/>
        </w:trPr>
        <w:tc>
          <w:tcPr>
            <w:tcW w:type="dxa" w:w="3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9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3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Versión mínima</w:t>
            </w:r>
          </w:p>
        </w:tc>
        <w:tc>
          <w:tcPr>
            <w:tcW w:type="dxa" w:w="153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se instala</w:t>
            </w:r>
          </w:p>
        </w:tc>
        <w:tc>
          <w:tcPr>
            <w:tcW w:type="dxa" w:w="9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Responsable</w:t>
            </w:r>
          </w:p>
        </w:tc>
        <w:tc>
          <w:tcPr>
            <w:tcW w:type="dxa" w:w="2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Uso en esta PoC</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Eclipse IDE for Java Developers</w:t>
            </w:r>
            <w:r>
              <w:rPr>
                <w:rFonts w:ascii="Calibri" w:cs="Calibri" w:eastAsia="Calibri" w:hAnsi="Calibri"/>
                <w:b w:val="false"/>
                <w:bCs w:val="false"/>
                <w:i w:val="false"/>
                <w:iCs w:val="false"/>
                <w:color w:val="32363A"/>
                <w:sz w:val="17"/>
                <w:szCs w:val="17"/>
              </w:rPr>
              <w:t xml:space="preserve"> + </w:t>
            </w:r>
            <w:r>
              <w:rPr>
                <w:rFonts w:ascii="Calibri" w:cs="Calibri" w:eastAsia="Calibri" w:hAnsi="Calibri"/>
                <w:b/>
                <w:bCs/>
                <w:i w:val="false"/>
                <w:iCs w:val="false"/>
                <w:color w:val="32363A"/>
                <w:sz w:val="17"/>
                <w:szCs w:val="17"/>
              </w:rPr>
              <w:t xml:space="preserve">ABAP Development Tools (ADT)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2024-09 / ADT 3.40</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ABAP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CDS, Service Definition y Service Binding (§6)</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GUI for Windows</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8.00 PL</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Basis</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SICF, SU01, PFCG, SU53, </w:t>
            </w:r>
            <w:r>
              <w:rPr>
                <w:rFonts w:ascii="Consolas" w:cs="Consolas" w:eastAsia="Consolas" w:hAnsi="Consolas"/>
                <w:color w:val="1D2D3E"/>
                <w:sz w:val="15"/>
                <w:szCs w:val="15"/>
                <w:shd w:fill="F4F6F8" w:val="clear"/>
              </w:rPr>
              <w:t xml:space="preserve">/IWFND/V4_ADMIN</w:t>
            </w:r>
            <w:r>
              <w:rPr>
                <w:rFonts w:ascii="Calibri" w:cs="Calibri" w:eastAsia="Calibri" w:hAnsi="Calibri"/>
                <w:b w:val="false"/>
                <w:bCs w:val="false"/>
                <w:i w:val="false"/>
                <w:iCs w:val="false"/>
                <w:color w:val="32363A"/>
                <w:sz w:val="17"/>
                <w:szCs w:val="17"/>
              </w:rPr>
              <w:t xml:space="preserve"> (§7)</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Cloud Connector</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2.16 o superior</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Servidor en la DMZ corporativa</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Basis / Redes</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seguro on-premise ↔ BTP (§8)</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BTP Cockpit</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entitlements, destinations (§9)</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Integration Suite — API Management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Publicar el API con endpoint alcanzable (§10)</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Postman</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11.x</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QA</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Consumo y pruebas (§11)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4.1 Nota sobre ADT</w:t>
      </w:r>
    </w:p>
    <w:p>
      <w:pPr>
        <w:spacing w:after="140" w:before="60" w:line="276"/>
        <w:jc w:val="both"/>
      </w:pPr>
      <w:r>
        <w:rPr>
          <w:rFonts w:ascii="Calibri" w:cs="Calibri" w:eastAsia="Calibri" w:hAnsi="Calibri"/>
          <w:b w:val="false"/>
          <w:bCs w:val="false"/>
          <w:i w:val="false"/>
          <w:iCs w:val="false"/>
          <w:color w:val="32363A"/>
          <w:sz w:val="20"/>
          <w:szCs w:val="20"/>
        </w:rPr>
        <w:t xml:space="preserve">ADT es </w:t>
      </w:r>
      <w:r>
        <w:rPr>
          <w:rFonts w:ascii="Calibri" w:cs="Calibri" w:eastAsia="Calibri" w:hAnsi="Calibri"/>
          <w:b/>
          <w:bCs/>
          <w:i w:val="false"/>
          <w:iCs w:val="false"/>
          <w:color w:val="32363A"/>
          <w:sz w:val="20"/>
          <w:szCs w:val="20"/>
        </w:rPr>
        <w:t xml:space="preserve">obligatorio</w:t>
      </w:r>
      <w:r>
        <w:rPr>
          <w:rFonts w:ascii="Calibri" w:cs="Calibri" w:eastAsia="Calibri" w:hAnsi="Calibri"/>
          <w:b w:val="false"/>
          <w:bCs w:val="false"/>
          <w:i w:val="false"/>
          <w:iCs w:val="false"/>
          <w:color w:val="32363A"/>
          <w:sz w:val="20"/>
          <w:szCs w:val="20"/>
        </w:rPr>
        <w:t xml:space="preserve">. Los objetos CDS, Service Definition y Service Binding no son mantenibles desde SAP GUI: no existe transacción equivalente. SE80 no los edita. La instalación se realiza desde el update site oficial de SAP para ABAP Development Tools.</w:t>
      </w:r>
    </w:p>
    <w:p>
      <w:pPr>
        <w:pStyle w:val="Heading2"/>
      </w:pPr>
      <w:r>
        <w:rPr>
          <w:rFonts w:ascii="Calibri" w:cs="Calibri" w:eastAsia="Calibri" w:hAnsi="Calibri"/>
          <w:b/>
          <w:bCs/>
          <w:i w:val="false"/>
          <w:iCs w:val="false"/>
          <w:color w:val="0A6ED1"/>
          <w:sz w:val="26"/>
          <w:szCs w:val="26"/>
        </w:rPr>
        <w:t xml:space="preserve">4.2 Nota sobre API Management</w:t>
      </w:r>
    </w:p>
    <w:p>
      <w:pPr>
        <w:spacing w:after="140" w:before="60" w:line="276"/>
        <w:jc w:val="both"/>
      </w:pPr>
      <w:r>
        <w:rPr>
          <w:rFonts w:ascii="Calibri" w:cs="Calibri" w:eastAsia="Calibri" w:hAnsi="Calibri"/>
          <w:b/>
          <w:bCs/>
          <w:i w:val="false"/>
          <w:iCs w:val="false"/>
          <w:color w:val="32363A"/>
          <w:sz w:val="20"/>
          <w:szCs w:val="20"/>
        </w:rPr>
        <w:t xml:space="preserve">API Management no es opcional en esta cadena.</w:t>
      </w:r>
      <w:r>
        <w:rPr>
          <w:rFonts w:ascii="Calibri" w:cs="Calibri" w:eastAsia="Calibri" w:hAnsi="Calibri"/>
          <w:b w:val="false"/>
          <w:bCs w:val="false"/>
          <w:i w:val="false"/>
          <w:iCs w:val="false"/>
          <w:color w:val="32363A"/>
          <w:sz w:val="20"/>
          <w:szCs w:val="20"/>
        </w:rPr>
        <w:t xml:space="preserve"> Es un error de diseño frecuente asumir que una </w:t>
      </w:r>
      <w:r>
        <w:rPr>
          <w:rFonts w:ascii="Calibri" w:cs="Calibri" w:eastAsia="Calibri" w:hAnsi="Calibri"/>
          <w:b w:val="false"/>
          <w:bCs w:val="false"/>
          <w:i/>
          <w:iCs/>
          <w:color w:val="32363A"/>
          <w:sz w:val="20"/>
          <w:szCs w:val="20"/>
        </w:rPr>
        <w:t xml:space="preserve">Destination</w:t>
      </w:r>
      <w:r>
        <w:rPr>
          <w:rFonts w:ascii="Calibri" w:cs="Calibri" w:eastAsia="Calibri" w:hAnsi="Calibri"/>
          <w:b w:val="false"/>
          <w:bCs w:val="false"/>
          <w:i w:val="false"/>
          <w:iCs w:val="false"/>
          <w:color w:val="32363A"/>
          <w:sz w:val="20"/>
          <w:szCs w:val="20"/>
        </w:rPr>
        <w:t xml:space="preserve"> de BTP publica una URL consumible desde Internet. No lo hace: una Destination es un objeto de configuración que las aplicaciones </w:t>
      </w:r>
      <w:r>
        <w:rPr>
          <w:rFonts w:ascii="Calibri" w:cs="Calibri" w:eastAsia="Calibri" w:hAnsi="Calibri"/>
          <w:b/>
          <w:bCs/>
          <w:i w:val="false"/>
          <w:iCs w:val="false"/>
          <w:color w:val="32363A"/>
          <w:sz w:val="20"/>
          <w:szCs w:val="20"/>
        </w:rPr>
        <w:t xml:space="preserve">desplegadas dentro de BTP</w:t>
      </w:r>
      <w:r>
        <w:rPr>
          <w:rFonts w:ascii="Calibri" w:cs="Calibri" w:eastAsia="Calibri" w:hAnsi="Calibri"/>
          <w:b w:val="false"/>
          <w:bCs w:val="false"/>
          <w:i w:val="false"/>
          <w:iCs w:val="false"/>
          <w:color w:val="32363A"/>
          <w:sz w:val="20"/>
          <w:szCs w:val="20"/>
        </w:rPr>
        <w:t xml:space="preserve"> leen a través del Destination Service y del Connectivity Service. No tiene endpoint propio, y por tanto </w:t>
      </w:r>
      <w:r>
        <w:rPr>
          <w:rFonts w:ascii="Calibri" w:cs="Calibri" w:eastAsia="Calibri" w:hAnsi="Calibri"/>
          <w:b/>
          <w:bCs/>
          <w:i w:val="false"/>
          <w:iCs w:val="false"/>
          <w:color w:val="32363A"/>
          <w:sz w:val="20"/>
          <w:szCs w:val="20"/>
        </w:rPr>
        <w:t xml:space="preserve">Postman no puede invocarla</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que un consumidor externo alcance el servicio hacen falta las filas 5 y 6 del inventario: un API Proxy que sí publica un endpoint HTTPS accesible. La alternativa sería desplegar un approuter en Cloud Foundry, opción descartada aquí por añadir código y ciclo de despliegue sin aportar al objetivo de la PoC.</w:t>
      </w:r>
    </w:p>
    <w:p>
      <w:pPr>
        <w:pStyle w:val="Heading1"/>
        <w:pageBreakBefore/>
      </w:pPr>
      <w:r>
        <w:rPr>
          <w:rFonts w:ascii="Calibri" w:cs="Calibri" w:eastAsia="Calibri" w:hAnsi="Calibri"/>
          <w:b/>
          <w:bCs/>
          <w:i w:val="false"/>
          <w:iCs w:val="false"/>
          <w:color w:val="1D2D3E"/>
          <w:sz w:val="34"/>
          <w:szCs w:val="34"/>
        </w:rPr>
        <w:t xml:space="preserve">5. Inventario de conexiones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93"/>
        <w:gridCol w:w="1271"/>
        <w:gridCol w:w="2203"/>
        <w:gridCol w:w="2458"/>
        <w:gridCol w:w="2034"/>
        <w:gridCol w:w="1187"/>
      </w:tblGrid>
      <w:tr>
        <w:trPr>
          <w:cantSplit/>
          <w:tblHeader/>
        </w:trPr>
        <w:tc>
          <w:tcPr>
            <w:tcW w:type="dxa" w:w="5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12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Origen</w:t>
            </w:r>
          </w:p>
        </w:tc>
        <w:tc>
          <w:tcPr>
            <w:tcW w:type="dxa" w:w="220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Destino</w:t>
            </w:r>
          </w:p>
        </w:tc>
        <w:tc>
          <w:tcPr>
            <w:tcW w:type="dxa" w:w="245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Protocolo / Puerto</w:t>
            </w:r>
          </w:p>
        </w:tc>
        <w:tc>
          <w:tcPr>
            <w:tcW w:type="dxa" w:w="20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Autenticación</w:t>
            </w:r>
          </w:p>
        </w:tc>
        <w:tc>
          <w:tcPr>
            <w:tcW w:type="dxa" w:w="1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Configurado en</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C1</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(ADT)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DIAG / 32NN</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de diálogo</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§6.1</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C2</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443NN</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aplica (nivel de red)</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C3</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BTP</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TLS saliente / 443</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o API token</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C4</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BTP</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del CC</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w:t>
            </w:r>
            <w:r>
              <w:rPr>
                <w:rFonts w:ascii="Consolas" w:cs="Consolas" w:eastAsia="Consolas" w:hAnsi="Consolas"/>
                <w:color w:val="1D2D3E"/>
                <w:sz w:val="15"/>
                <w:szCs w:val="15"/>
                <w:shd w:fill="F4F6F8" w:val="clear"/>
              </w:rPr>
              <w:t xml:space="preserve">ProxyType=OnPremise</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(usuario técnico)</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C5</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 API Provider</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Cloud Connector</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(Key Value Map)</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C6</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u OAuth 2.0</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5.1 Requisitos de red (a tramitar con Redes/Seguridad)</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96"/>
        <w:gridCol w:w="6650"/>
      </w:tblGrid>
      <w:tr>
        <w:trPr>
          <w:cantSplit/>
          <w:tblHeader/>
        </w:trPr>
        <w:tc>
          <w:tcPr>
            <w:tcW w:type="dxa" w:w="30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w:t>
            </w:r>
          </w:p>
        </w:tc>
        <w:tc>
          <w:tcPr>
            <w:tcW w:type="dxa" w:w="66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Salida del Cloud Connector</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necesita salida HTTPS (443) hacia el endpoint de la región BTP. </w:t>
            </w:r>
            <w:r>
              <w:rPr>
                <w:rFonts w:ascii="Calibri" w:cs="Calibri" w:eastAsia="Calibri" w:hAnsi="Calibri"/>
                <w:b/>
                <w:bCs/>
                <w:i w:val="false"/>
                <w:iCs w:val="false"/>
                <w:color w:val="32363A"/>
                <w:sz w:val="17"/>
                <w:szCs w:val="17"/>
              </w:rPr>
              <w:t xml:space="preserve">La conexión siempre la inicia el Cloud Connector hacia BTP</w:t>
            </w:r>
            <w:r>
              <w:rPr>
                <w:rFonts w:ascii="Calibri" w:cs="Calibri" w:eastAsia="Calibri" w:hAnsi="Calibri"/>
                <w:b w:val="false"/>
                <w:bCs w:val="false"/>
                <w:i w:val="false"/>
                <w:iCs w:val="false"/>
                <w:color w:val="32363A"/>
                <w:sz w:val="17"/>
                <w:szCs w:val="17"/>
              </w:rPr>
              <w:t xml:space="preserve">; no se abre ningún puerto entrante en el firewall corporativo</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Resolución DNS</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debe resolver el hostname del servidor S/4HANA</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Certificados</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 el S/4HANA presenta certificado emitido por una CA interna, debe importarse en el truststore del Cloud Connector</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Acceso administrativo al CC</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Puerto 8443 hacia la interfaz de administración, restringido a los administradores</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6. Paso a paso — Eclipse / ADT</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6.1 Conexión C1: crear el proyecto ABAP</w:t>
      </w:r>
    </w:p>
    <w:p>
      <w:pPr>
        <w:pStyle w:val="ListParagraph"/>
        <w:numPr>
          <w:ilvl w:val="0"/>
          <w:numId w:val="3"/>
        </w:numPr>
        <w:spacing w:after="30" w:before="60" w:line="268"/>
      </w:pPr>
      <w:r>
        <w:rPr>
          <w:rFonts w:ascii="Calibri" w:cs="Calibri" w:eastAsia="Calibri" w:hAnsi="Calibri"/>
          <w:b w:val="false"/>
          <w:bCs w:val="false"/>
          <w:i w:val="false"/>
          <w:iCs w:val="false"/>
          <w:color w:val="32363A"/>
          <w:sz w:val="20"/>
          <w:szCs w:val="20"/>
        </w:rPr>
        <w:t xml:space="preserve">Abrir Eclipse → </w:t>
      </w:r>
      <w:r>
        <w:rPr>
          <w:rFonts w:ascii="Consolas" w:cs="Consolas" w:eastAsia="Consolas" w:hAnsi="Consolas"/>
          <w:color w:val="1D2D3E"/>
          <w:sz w:val="18"/>
          <w:szCs w:val="18"/>
          <w:shd w:fill="F4F6F8" w:val="clear"/>
        </w:rPr>
        <w:t xml:space="preserve">File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Project</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Seleccionar el sistema S/4HANA 2025 desde el fichero </w:t>
      </w:r>
      <w:r>
        <w:rPr>
          <w:rFonts w:ascii="Consolas" w:cs="Consolas" w:eastAsia="Consolas" w:hAnsi="Consolas"/>
          <w:color w:val="1D2D3E"/>
          <w:sz w:val="18"/>
          <w:szCs w:val="18"/>
          <w:shd w:fill="F4F6F8" w:val="clear"/>
        </w:rPr>
        <w:t xml:space="preserve">SAPUILandscape.xml</w:t>
      </w:r>
      <w:r>
        <w:rPr>
          <w:rFonts w:ascii="Calibri" w:cs="Calibri" w:eastAsia="Calibri" w:hAnsi="Calibri"/>
          <w:b w:val="false"/>
          <w:bCs w:val="false"/>
          <w:i w:val="false"/>
          <w:iCs w:val="false"/>
          <w:color w:val="32363A"/>
          <w:sz w:val="20"/>
          <w:szCs w:val="20"/>
        </w:rPr>
        <w:t xml:space="preserve"> (el mismo que usa SAP GUI), o introducir manualmente </w:t>
      </w:r>
      <w:r>
        <w:rPr>
          <w:rFonts w:ascii="Calibri" w:cs="Calibri" w:eastAsia="Calibri" w:hAnsi="Calibri"/>
          <w:b w:val="false"/>
          <w:bCs w:val="false"/>
          <w:i/>
          <w:iCs/>
          <w:color w:val="32363A"/>
          <w:sz w:val="20"/>
          <w:szCs w:val="20"/>
        </w:rPr>
        <w:t xml:space="preserve">System ID</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val="false"/>
          <w:bCs w:val="false"/>
          <w:i/>
          <w:iCs/>
          <w:color w:val="32363A"/>
          <w:sz w:val="20"/>
          <w:szCs w:val="20"/>
        </w:rPr>
        <w:t xml:space="preserve">Application Server</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val="false"/>
          <w:bCs w:val="false"/>
          <w:i/>
          <w:iCs/>
          <w:color w:val="32363A"/>
          <w:sz w:val="20"/>
          <w:szCs w:val="20"/>
        </w:rPr>
        <w:t xml:space="preserve">Instance Number</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Introducir mandante, usuario y contraseña. Idioma: </w:t>
      </w:r>
      <w:r>
        <w:rPr>
          <w:rFonts w:ascii="Consolas" w:cs="Consolas" w:eastAsia="Consolas" w:hAnsi="Consolas"/>
          <w:color w:val="1D2D3E"/>
          <w:sz w:val="18"/>
          <w:szCs w:val="18"/>
          <w:shd w:fill="F4F6F8" w:val="clear"/>
        </w:rPr>
        <w:t xml:space="preserve">ES</w:t>
      </w:r>
      <w:r>
        <w:rPr>
          <w:rFonts w:ascii="Calibri" w:cs="Calibri" w:eastAsia="Calibri" w:hAnsi="Calibri"/>
          <w:b w:val="false"/>
          <w:bCs w:val="false"/>
          <w:i w:val="false"/>
          <w:iCs w:val="false"/>
          <w:color w:val="32363A"/>
          <w:sz w:val="20"/>
          <w:szCs w:val="20"/>
        </w:rPr>
        <w:t xml:space="preserve"> o </w:t>
      </w:r>
      <w:r>
        <w:rPr>
          <w:rFonts w:ascii="Consolas" w:cs="Consolas" w:eastAsia="Consolas" w:hAnsi="Consolas"/>
          <w:color w:val="1D2D3E"/>
          <w:sz w:val="18"/>
          <w:szCs w:val="18"/>
          <w:shd w:fill="F4F6F8" w:val="clear"/>
        </w:rPr>
        <w:t xml:space="preserve">EN</w:t>
      </w:r>
      <w:r>
        <w:rPr>
          <w:rFonts w:ascii="Calibri" w:cs="Calibri" w:eastAsia="Calibri" w:hAnsi="Calibri"/>
          <w:b w:val="false"/>
          <w:bCs w:val="false"/>
          <w:i w:val="false"/>
          <w:iCs w:val="false"/>
          <w:color w:val="32363A"/>
          <w:sz w:val="20"/>
          <w:szCs w:val="20"/>
        </w:rPr>
        <w:t xml:space="preserve"> (el idioma maestro del repositorio es </w:t>
      </w:r>
      <w:r>
        <w:rPr>
          <w:rFonts w:ascii="Consolas" w:cs="Consolas" w:eastAsia="Consolas" w:hAnsi="Consolas"/>
          <w:color w:val="1D2D3E"/>
          <w:sz w:val="18"/>
          <w:szCs w:val="18"/>
          <w:shd w:fill="F4F6F8" w:val="clear"/>
        </w:rPr>
        <w:t xml:space="preserve">E</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140" w:before="30" w:line="268"/>
      </w:pPr>
      <w:r>
        <w:rPr>
          <w:rFonts w:ascii="Calibri" w:cs="Calibri" w:eastAsia="Calibri" w:hAnsi="Calibri"/>
          <w:b w:val="false"/>
          <w:bCs w:val="false"/>
          <w:i w:val="false"/>
          <w:iCs w:val="false"/>
          <w:color w:val="32363A"/>
          <w:sz w:val="20"/>
          <w:szCs w:val="20"/>
        </w:rPr>
        <w:t xml:space="preserve">Verificar que el proyecto aparece en el </w:t>
      </w:r>
      <w:r>
        <w:rPr>
          <w:rFonts w:ascii="Calibri" w:cs="Calibri" w:eastAsia="Calibri" w:hAnsi="Calibri"/>
          <w:b w:val="false"/>
          <w:bCs w:val="false"/>
          <w:i/>
          <w:iCs/>
          <w:color w:val="32363A"/>
          <w:sz w:val="20"/>
          <w:szCs w:val="20"/>
        </w:rPr>
        <w:t xml:space="preserve">Project Explorer</w:t>
      </w:r>
      <w:r>
        <w:rPr>
          <w:rFonts w:ascii="Calibri" w:cs="Calibri" w:eastAsia="Calibri" w:hAnsi="Calibri"/>
          <w:b w:val="false"/>
          <w:bCs w:val="false"/>
          <w:i w:val="false"/>
          <w:iCs w:val="false"/>
          <w:color w:val="32363A"/>
          <w:sz w:val="20"/>
          <w:szCs w:val="20"/>
        </w:rPr>
        <w:t xml:space="preserve"> y que se expande el árbol de paquetes.</w:t>
      </w:r>
    </w:p>
    <w:p>
      <w:pPr>
        <w:pStyle w:val="Heading2"/>
      </w:pPr>
      <w:r>
        <w:rPr>
          <w:rFonts w:ascii="Calibri" w:cs="Calibri" w:eastAsia="Calibri" w:hAnsi="Calibri"/>
          <w:b/>
          <w:bCs/>
          <w:i w:val="false"/>
          <w:iCs w:val="false"/>
          <w:color w:val="0A6ED1"/>
          <w:sz w:val="26"/>
          <w:szCs w:val="26"/>
        </w:rPr>
        <w:t xml:space="preserve">6.2 Crear el paquete</w:t>
      </w:r>
    </w:p>
    <w:p>
      <w:pPr>
        <w:pStyle w:val="ListParagraph"/>
        <w:numPr>
          <w:ilvl w:val="0"/>
          <w:numId w:val="4"/>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$TMP</w:t>
      </w:r>
      <w:r>
        <w:rPr>
          <w:rFonts w:ascii="Calibri" w:cs="Calibri" w:eastAsia="Calibri" w:hAnsi="Calibri"/>
          <w:b w:val="false"/>
          <w:bCs w:val="false"/>
          <w:i w:val="false"/>
          <w:iCs w:val="false"/>
          <w:color w:val="32363A"/>
          <w:sz w:val="20"/>
          <w:szCs w:val="20"/>
        </w:rPr>
        <w:t xml:space="preserve"> o sobre el nodo de la estructura de paquetes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Package</w:t>
      </w:r>
      <w:r>
        <w:rPr>
          <w:rFonts w:ascii="Calibri" w:cs="Calibri" w:eastAsia="Calibri" w:hAnsi="Calibri"/>
          <w:b w:val="false"/>
          <w:bCs w:val="false"/>
          <w:i w:val="false"/>
          <w:iCs w:val="false"/>
          <w:color w:val="32363A"/>
          <w:sz w:val="20"/>
          <w:szCs w:val="20"/>
        </w:rPr>
        <w:t xml:space="preserve">.</w:t>
      </w:r>
    </w:p>
    <w:p>
      <w:pPr>
        <w:pStyle w:val="ListParagraph"/>
        <w:numPr>
          <w:ilvl w:val="0"/>
          <w:numId w:val="4"/>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0"/>
        <w:gridCol w:w="6556"/>
      </w:tblGrid>
      <w:tr>
        <w:trPr>
          <w:cantSplit/>
          <w:tblHeader/>
        </w:trPr>
        <w:tc>
          <w:tcPr>
            <w:tcW w:type="dxa" w:w="31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migración interfaces PI/PO a APIs</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Package Type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Development</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Software Component</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HOME</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Transport Layer</w:t>
            </w:r>
          </w:p>
        </w:tc>
        <w:tc>
          <w:tcPr>
            <w:tcW w:type="dxa" w:w="65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del sistema (habitualmente </w:t>
            </w:r>
            <w:r>
              <w:rPr>
                <w:rFonts w:ascii="Consolas" w:cs="Consolas" w:eastAsia="Consolas" w:hAnsi="Consolas"/>
                <w:color w:val="1D2D3E"/>
                <w:sz w:val="15"/>
                <w:szCs w:val="15"/>
                <w:shd w:fill="F4F6F8" w:val="clear"/>
              </w:rPr>
              <w:t xml:space="preserve">ZDEV</w:t>
            </w: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Style w:val="ListParagraph"/>
        <w:numPr>
          <w:ilvl w:val="0"/>
          <w:numId w:val="5"/>
        </w:numPr>
        <w:spacing w:after="140" w:before="60" w:line="268"/>
      </w:pPr>
      <w:r>
        <w:rPr>
          <w:rFonts w:ascii="Calibri" w:cs="Calibri" w:eastAsia="Calibri" w:hAnsi="Calibri"/>
          <w:b w:val="false"/>
          <w:bCs w:val="false"/>
          <w:i w:val="false"/>
          <w:iCs w:val="false"/>
          <w:color w:val="32363A"/>
          <w:sz w:val="20"/>
          <w:szCs w:val="20"/>
        </w:rPr>
        <w:t xml:space="preserve">Asignar una </w:t>
      </w:r>
      <w:r>
        <w:rPr>
          <w:rFonts w:ascii="Calibri" w:cs="Calibri" w:eastAsia="Calibri" w:hAnsi="Calibri"/>
          <w:b/>
          <w:bCs/>
          <w:i w:val="false"/>
          <w:iCs w:val="false"/>
          <w:color w:val="32363A"/>
          <w:sz w:val="20"/>
          <w:szCs w:val="20"/>
        </w:rPr>
        <w:t xml:space="preserve">orden de transporte de workbench</w:t>
      </w:r>
      <w:r>
        <w:rPr>
          <w:rFonts w:ascii="Calibri" w:cs="Calibri" w:eastAsia="Calibri" w:hAnsi="Calibri"/>
          <w:b w:val="false"/>
          <w:bCs w:val="false"/>
          <w:i w:val="false"/>
          <w:iCs w:val="false"/>
          <w:color w:val="32363A"/>
          <w:sz w:val="20"/>
          <w:szCs w:val="20"/>
        </w:rPr>
        <w:t xml:space="preserve"> nueva. Anotar su número: será el vehículo de todos los objetos de la PoC.</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El paquete es nuevo e independiente del paquete </w:t>
      </w:r>
      <w:r>
        <w:rPr>
          <w:rFonts w:ascii="Consolas" w:cs="Consolas" w:eastAsia="Consolas" w:hAnsi="Consolas"/>
          <w:color w:val="1D2D3E"/>
          <w:sz w:val="17"/>
          <w:szCs w:val="17"/>
          <w:shd w:fill="F4F6F8" w:val="clear"/>
        </w:rPr>
        <w:t xml:space="preserve">ZONECONNECT</w:t>
      </w:r>
      <w:r>
        <w:rPr>
          <w:rFonts w:ascii="Calibri" w:cs="Calibri" w:eastAsia="Calibri" w:hAnsi="Calibri"/>
          <w:b w:val="false"/>
          <w:bCs w:val="false"/>
          <w:i w:val="false"/>
          <w:iCs w:val="false"/>
          <w:color w:val="32363A"/>
          <w:sz w:val="19"/>
          <w:szCs w:val="19"/>
        </w:rPr>
        <w:t xml:space="preserve"> existente. Los desarrollos de la PoC no deben mezclarse con el código ECC heredado del repositorio.</w:t>
      </w:r>
    </w:p>
    <w:p>
      <w:pPr>
        <w:pStyle w:val="Heading2"/>
      </w:pPr>
      <w:r>
        <w:rPr>
          <w:rFonts w:ascii="Calibri" w:cs="Calibri" w:eastAsia="Calibri" w:hAnsi="Calibri"/>
          <w:b/>
          <w:bCs/>
          <w:i w:val="false"/>
          <w:iCs w:val="false"/>
          <w:color w:val="0A6ED1"/>
          <w:sz w:val="26"/>
          <w:szCs w:val="26"/>
        </w:rPr>
        <w:t xml:space="preserve">6.3 Vista CDS base (interface view)</w:t>
      </w:r>
    </w:p>
    <w:p>
      <w:pPr>
        <w:pStyle w:val="ListParagraph"/>
        <w:numPr>
          <w:ilvl w:val="0"/>
          <w:numId w:val="6"/>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ZR_CUSTOMERBASIC</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Datos básicos de cliente</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30" w:before="30" w:line="268"/>
      </w:pPr>
      <w:r>
        <w:rPr>
          <w:rFonts w:ascii="Calibri" w:cs="Calibri" w:eastAsia="Calibri" w:hAnsi="Calibri"/>
          <w:b w:val="false"/>
          <w:bCs w:val="false"/>
          <w:i w:val="false"/>
          <w:iCs w:val="false"/>
          <w:color w:val="32363A"/>
          <w:sz w:val="20"/>
          <w:szCs w:val="20"/>
        </w:rPr>
        <w:t xml:space="preserve">Seleccionar la plantilla </w:t>
      </w:r>
      <w:r>
        <w:rPr>
          <w:rFonts w:ascii="Consolas" w:cs="Consolas" w:eastAsia="Consolas" w:hAnsi="Consolas"/>
          <w:color w:val="1D2D3E"/>
          <w:sz w:val="18"/>
          <w:szCs w:val="18"/>
          <w:shd w:fill="F4F6F8" w:val="clear"/>
        </w:rPr>
        <w:t xml:space="preserve">Define View Entity</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Datos básicos de cliente (KNA1)'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@Metadata.ignorePropagatedAnnotations: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@ObjectModel.usageType.serviceQuality: #D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@ObjectModel.usageType.sizeCategory: #L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@ObjectModel.usageType.dataClass: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view entity ZR_CUSTOMERBASIC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kna1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7"/>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7"/>
        </w:numPr>
        <w:spacing w:after="140" w:before="30" w:line="268"/>
      </w:pPr>
      <w:r>
        <w:rPr>
          <w:rFonts w:ascii="Calibri" w:cs="Calibri" w:eastAsia="Calibri" w:hAnsi="Calibri"/>
          <w:b/>
          <w:bCs/>
          <w:i w:val="false"/>
          <w:iCs w:val="false"/>
          <w:color w:val="32363A"/>
          <w:sz w:val="20"/>
          <w:szCs w:val="20"/>
        </w:rPr>
        <w:t xml:space="preserve">Validación F1:</w:t>
      </w:r>
      <w:r>
        <w:rPr>
          <w:rFonts w:ascii="Calibri" w:cs="Calibri" w:eastAsia="Calibri" w:hAnsi="Calibri"/>
          <w:b w:val="false"/>
          <w:bCs w:val="false"/>
          <w:i w:val="false"/>
          <w:iCs w:val="false"/>
          <w:color w:val="32363A"/>
          <w:sz w:val="20"/>
          <w:szCs w:val="20"/>
        </w:rPr>
        <w:t xml:space="preserve"> clic derecho sobre la vista → </w:t>
      </w:r>
      <w:r>
        <w:rPr>
          <w:rFonts w:ascii="Consolas" w:cs="Consolas" w:eastAsia="Consolas" w:hAnsi="Consolas"/>
          <w:color w:val="1D2D3E"/>
          <w:sz w:val="18"/>
          <w:szCs w:val="18"/>
          <w:shd w:fill="F4F6F8" w:val="clear"/>
        </w:rPr>
        <w:t xml:space="preserve">Open With</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Deben visualizarse registros de clientes con los cuatro campos.</w:t>
      </w:r>
    </w:p>
    <w:p>
      <w:pPr>
        <w:pStyle w:val="Heading3"/>
      </w:pPr>
      <w:r>
        <w:rPr>
          <w:rFonts w:ascii="Calibri" w:cs="Calibri" w:eastAsia="Calibri" w:hAnsi="Calibri"/>
          <w:b/>
          <w:bCs/>
          <w:i w:val="false"/>
          <w:iCs w:val="false"/>
          <w:color w:val="0A6ED1"/>
          <w:sz w:val="22"/>
          <w:szCs w:val="22"/>
        </w:rPr>
        <w:t xml:space="preserve">Decisiones de diseño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413"/>
        <w:gridCol w:w="5333"/>
      </w:tblGrid>
      <w:tr>
        <w:trPr>
          <w:cantSplit/>
          <w:tblHeader/>
        </w:trPr>
        <w:tc>
          <w:tcPr>
            <w:tcW w:type="dxa" w:w="4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Decisión</w:t>
            </w:r>
          </w:p>
        </w:tc>
        <w:tc>
          <w:tcPr>
            <w:tcW w:type="dxa" w:w="53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define view entity</w:t>
            </w:r>
            <w:r>
              <w:rPr>
                <w:rFonts w:ascii="Calibri" w:cs="Calibri" w:eastAsia="Calibri" w:hAnsi="Calibri"/>
                <w:b w:val="false"/>
                <w:bCs w:val="false"/>
                <w:i w:val="false"/>
                <w:iCs w:val="false"/>
                <w:color w:val="32363A"/>
                <w:sz w:val="17"/>
                <w:szCs w:val="17"/>
              </w:rPr>
              <w:t xml:space="preserve"> en lugar de </w:t>
            </w:r>
            <w:r>
              <w:rPr>
                <w:rFonts w:ascii="Consolas" w:cs="Consolas" w:eastAsia="Consolas" w:hAnsi="Consolas"/>
                <w:color w:val="1D2D3E"/>
                <w:sz w:val="15"/>
                <w:szCs w:val="15"/>
                <w:shd w:fill="F4F6F8" w:val="clear"/>
              </w:rPr>
              <w:t xml:space="preserve">define view</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w:t>
            </w:r>
            <w:r>
              <w:rPr>
                <w:rFonts w:ascii="Calibri" w:cs="Calibri" w:eastAsia="Calibri" w:hAnsi="Calibri"/>
                <w:b w:val="false"/>
                <w:bCs w:val="false"/>
                <w:i/>
                <w:iCs/>
                <w:color w:val="32363A"/>
                <w:sz w:val="17"/>
                <w:szCs w:val="17"/>
              </w:rPr>
              <w:t xml:space="preserve">view entities</w:t>
            </w:r>
            <w:r>
              <w:rPr>
                <w:rFonts w:ascii="Calibri" w:cs="Calibri" w:eastAsia="Calibri" w:hAnsi="Calibri"/>
                <w:b w:val="false"/>
                <w:bCs w:val="false"/>
                <w:i w:val="false"/>
                <w:iCs w:val="false"/>
                <w:color w:val="32363A"/>
                <w:sz w:val="17"/>
                <w:szCs w:val="17"/>
              </w:rPr>
              <w:t xml:space="preserve"> son el estándar desde S/4HANA 2020. No generan vista SQL en DDIC, tienen mejores comprobaciones sintácticas y no requieren </w:t>
            </w:r>
            <w:r>
              <w:rPr>
                <w:rFonts w:ascii="Consolas" w:cs="Consolas" w:eastAsia="Consolas" w:hAnsi="Consolas"/>
                <w:color w:val="1D2D3E"/>
                <w:sz w:val="15"/>
                <w:szCs w:val="15"/>
                <w:shd w:fill="F4F6F8" w:val="clear"/>
              </w:rPr>
              <w:t xml:space="preserve">@AbapCatalog.sqlViewName</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Lectura directa de </w:t>
            </w:r>
            <w:r>
              <w:rPr>
                <w:rFonts w:ascii="Consolas" w:cs="Consolas" w:eastAsia="Consolas" w:hAnsi="Consolas"/>
                <w:color w:val="1D2D3E"/>
                <w:sz w:val="15"/>
                <w:szCs w:val="15"/>
                <w:shd w:fill="F4F6F8" w:val="clear"/>
              </w:rPr>
              <w:t xml:space="preserve">KNA1</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requisito es "todo nuevo". Alternativa válida: la vista released </w:t>
            </w:r>
            <w:r>
              <w:rPr>
                <w:rFonts w:ascii="Consolas" w:cs="Consolas" w:eastAsia="Consolas" w:hAnsi="Consolas"/>
                <w:color w:val="1D2D3E"/>
                <w:sz w:val="15"/>
                <w:szCs w:val="15"/>
                <w:shd w:fill="F4F6F8" w:val="clear"/>
              </w:rPr>
              <w:t xml:space="preserve">I_Customer</w:t>
            </w:r>
            <w:r>
              <w:rPr>
                <w:rFonts w:ascii="Calibri" w:cs="Calibri" w:eastAsia="Calibri" w:hAnsi="Calibri"/>
                <w:b w:val="false"/>
                <w:bCs w:val="false"/>
                <w:i w:val="false"/>
                <w:iCs w:val="false"/>
                <w:color w:val="32363A"/>
                <w:sz w:val="17"/>
                <w:szCs w:val="17"/>
              </w:rPr>
              <w:t xml:space="preserve">, que añade CVI/Business Partner y textos, a cambio de acoplarse al modelo estándar</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 en PoC. </w:t>
            </w:r>
            <w:r>
              <w:rPr>
                <w:rFonts w:ascii="Calibri" w:cs="Calibri" w:eastAsia="Calibri" w:hAnsi="Calibri"/>
                <w:b/>
                <w:bCs/>
                <w:i w:val="false"/>
                <w:iCs w:val="false"/>
                <w:color w:val="32363A"/>
                <w:sz w:val="17"/>
                <w:szCs w:val="17"/>
              </w:rPr>
              <w:t xml:space="preserve">En productivo debe pasarse a `#CHECK` y definirse un rol DCL.</w:t>
            </w:r>
            <w:r>
              <w:rPr>
                <w:rFonts w:ascii="Calibri" w:cs="Calibri" w:eastAsia="Calibri" w:hAnsi="Calibri"/>
                <w:b w:val="false"/>
                <w:bCs w:val="false"/>
                <w:i w:val="false"/>
                <w:iCs w:val="false"/>
                <w:color w:val="32363A"/>
                <w:sz w:val="17"/>
                <w:szCs w:val="17"/>
              </w:rPr>
              <w:t xml:space="preserve"> Ver §12.2</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Alias en inglés y </w:t>
            </w:r>
            <w:r>
              <w:rPr>
                <w:rFonts w:ascii="Calibri" w:cs="Calibri" w:eastAsia="Calibri" w:hAnsi="Calibri"/>
                <w:b w:val="false"/>
                <w:bCs w:val="false"/>
                <w:i/>
                <w:iCs/>
                <w:color w:val="32363A"/>
                <w:sz w:val="17"/>
                <w:szCs w:val="17"/>
              </w:rPr>
              <w:t xml:space="preserve">CamelCase</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Convención del Virtual Data Model de SAP. Los nombres de campo del alias son los que verá el consumidor de la API</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MANDT</w:t>
            </w:r>
            <w:r>
              <w:rPr>
                <w:rFonts w:ascii="Calibri" w:cs="Calibri" w:eastAsia="Calibri" w:hAnsi="Calibri"/>
                <w:b w:val="false"/>
                <w:bCs w:val="false"/>
                <w:i w:val="false"/>
                <w:iCs w:val="false"/>
                <w:color w:val="32363A"/>
                <w:sz w:val="17"/>
                <w:szCs w:val="17"/>
              </w:rPr>
              <w:t xml:space="preserve"> no se expone</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mandante es implícito en CDS. Nunca debe exponerse en una API</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6.4 Projection view (capa de consumo)</w:t>
      </w:r>
    </w:p>
    <w:p>
      <w:pPr>
        <w:spacing w:after="140" w:before="60" w:line="276"/>
        <w:jc w:val="both"/>
      </w:pPr>
      <w:r>
        <w:rPr>
          <w:rFonts w:ascii="Calibri" w:cs="Calibri" w:eastAsia="Calibri" w:hAnsi="Calibri"/>
          <w:b w:val="false"/>
          <w:bCs w:val="false"/>
          <w:i w:val="false"/>
          <w:iCs w:val="false"/>
          <w:color w:val="32363A"/>
          <w:sz w:val="20"/>
          <w:szCs w:val="20"/>
        </w:rPr>
        <w:t xml:space="preserve">La </w:t>
      </w:r>
      <w:r>
        <w:rPr>
          <w:rFonts w:ascii="Calibri" w:cs="Calibri" w:eastAsia="Calibri" w:hAnsi="Calibri"/>
          <w:b w:val="false"/>
          <w:bCs w:val="false"/>
          <w:i/>
          <w:iCs/>
          <w:color w:val="32363A"/>
          <w:sz w:val="20"/>
          <w:szCs w:val="20"/>
        </w:rPr>
        <w:t xml:space="preserve">projection view</w:t>
      </w:r>
      <w:r>
        <w:rPr>
          <w:rFonts w:ascii="Calibri" w:cs="Calibri" w:eastAsia="Calibri" w:hAnsi="Calibri"/>
          <w:b w:val="false"/>
          <w:bCs w:val="false"/>
          <w:i w:val="false"/>
          <w:iCs w:val="false"/>
          <w:color w:val="32363A"/>
          <w:sz w:val="20"/>
          <w:szCs w:val="20"/>
        </w:rPr>
        <w:t xml:space="preserve"> es la capa de desacoplamiento entre el modelo interno y el contrato publicado. Permite renombrar, restringir o filtrar campos sin tocar la vista base, y sin romper a los consumidores ya existentes.</w:t>
      </w:r>
    </w:p>
    <w:p>
      <w:pPr>
        <w:pStyle w:val="ListParagraph"/>
        <w:numPr>
          <w:ilvl w:val="0"/>
          <w:numId w:val="8"/>
        </w:numPr>
        <w:spacing w:after="30" w:before="60" w:line="268"/>
      </w:pPr>
      <w:r>
        <w:rPr>
          <w:rFonts w:ascii="Calibri" w:cs="Calibri" w:eastAsia="Calibri" w:hAnsi="Calibri"/>
          <w:b w:val="false"/>
          <w:bCs w:val="false"/>
          <w:i w:val="false"/>
          <w:iCs w:val="false"/>
          <w:color w:val="32363A"/>
          <w:sz w:val="20"/>
          <w:szCs w:val="20"/>
        </w:rPr>
        <w:t xml:space="preserve">Nuevo </w:t>
      </w:r>
      <w:r>
        <w:rPr>
          <w:rFonts w:ascii="Calibri" w:cs="Calibri" w:eastAsia="Calibri" w:hAnsi="Calibri"/>
          <w:b w:val="false"/>
          <w:bCs w:val="false"/>
          <w:i/>
          <w:iCs/>
          <w:color w:val="32363A"/>
          <w:sz w:val="20"/>
          <w:szCs w:val="20"/>
        </w:rPr>
        <w:t xml:space="preserve">Data Definition</w:t>
      </w:r>
      <w:r>
        <w:rPr>
          <w:rFonts w:ascii="Calibri" w:cs="Calibri" w:eastAsia="Calibri" w:hAnsi="Calibri"/>
          <w:b w:val="false"/>
          <w:bCs w:val="false"/>
          <w:i w:val="false"/>
          <w:iCs w:val="false"/>
          <w:color w:val="32363A"/>
          <w:sz w:val="20"/>
          <w:szCs w:val="20"/>
        </w:rPr>
        <w:t xml:space="preserve"> en el mismo paquete.</w:t>
      </w:r>
    </w:p>
    <w:p>
      <w:pPr>
        <w:pStyle w:val="ListParagraph"/>
        <w:numPr>
          <w:ilvl w:val="0"/>
          <w:numId w:val="8"/>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ZC_CUSTOMERBASIC</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API consulta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140" w:before="30" w:line="268"/>
      </w:pPr>
      <w:r>
        <w:rPr>
          <w:rFonts w:ascii="Calibri" w:cs="Calibri" w:eastAsia="Calibri" w:hAnsi="Calibri"/>
          <w:b w:val="false"/>
          <w:bCs w:val="false"/>
          <w:i w:val="false"/>
          <w:iCs w:val="false"/>
          <w:color w:val="32363A"/>
          <w:sz w:val="20"/>
          <w:szCs w:val="20"/>
        </w:rPr>
        <w:t xml:space="preserve">Contenido: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consulta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@Search.searchable: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view entity ZC_CUSTOMERBASIC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projection on ZR_CUSTOMERBASIC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@Search.defaultSearchElement: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@Search.defaultSearchElement: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9"/>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 y validar de nuevo con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6.5 Capa de comportamiento RAP (behavior definition)</w:t>
      </w:r>
    </w:p>
    <w:p>
      <w:pPr>
        <w:spacing w:after="140" w:before="60" w:line="276"/>
        <w:jc w:val="both"/>
      </w:pPr>
      <w:r>
        <w:rPr>
          <w:rFonts w:ascii="Calibri" w:cs="Calibri" w:eastAsia="Calibri" w:hAnsi="Calibri"/>
          <w:b/>
          <w:bCs/>
          <w:i w:val="false"/>
          <w:iCs w:val="false"/>
          <w:color w:val="32363A"/>
          <w:sz w:val="20"/>
          <w:szCs w:val="20"/>
        </w:rPr>
        <w:t xml:space="preserve">En esta PoC no se crea behavior definition, y es deliberado.</w:t>
      </w:r>
    </w:p>
    <w:p>
      <w:pPr>
        <w:spacing w:after="140" w:before="60" w:line="276"/>
        <w:jc w:val="both"/>
      </w:pPr>
      <w:r>
        <w:rPr>
          <w:rFonts w:ascii="Calibri" w:cs="Calibri" w:eastAsia="Calibri" w:hAnsi="Calibri"/>
          <w:b w:val="false"/>
          <w:bCs w:val="false"/>
          <w:i w:val="false"/>
          <w:iCs w:val="false"/>
          <w:color w:val="32363A"/>
          <w:sz w:val="20"/>
          <w:szCs w:val="20"/>
        </w:rPr>
        <w:t xml:space="preserve">RAP exige una </w:t>
      </w:r>
      <w:r>
        <w:rPr>
          <w:rFonts w:ascii="Calibri" w:cs="Calibri" w:eastAsia="Calibri" w:hAnsi="Calibri"/>
          <w:b w:val="false"/>
          <w:bCs w:val="false"/>
          <w:i/>
          <w:iCs/>
          <w:color w:val="32363A"/>
          <w:sz w:val="20"/>
          <w:szCs w:val="20"/>
        </w:rPr>
        <w:t xml:space="preserve">behavior definition</w:t>
      </w:r>
      <w:r>
        <w:rPr>
          <w:rFonts w:ascii="Calibri" w:cs="Calibri" w:eastAsia="Calibri" w:hAnsi="Calibri"/>
          <w:b w:val="false"/>
          <w:bCs w:val="false"/>
          <w:i w:val="false"/>
          <w:iCs w:val="false"/>
          <w:color w:val="32363A"/>
          <w:sz w:val="20"/>
          <w:szCs w:val="20"/>
        </w:rPr>
        <w:t xml:space="preserve"> únicamente cuando el objeto de negocio expone operaciones transaccionales (crear, modificar, borrar, acciones). Para un servicio de </w:t>
      </w:r>
      <w:r>
        <w:rPr>
          <w:rFonts w:ascii="Calibri" w:cs="Calibri" w:eastAsia="Calibri" w:hAnsi="Calibri"/>
          <w:b/>
          <w:bCs/>
          <w:i w:val="false"/>
          <w:iCs w:val="false"/>
          <w:color w:val="32363A"/>
          <w:sz w:val="20"/>
          <w:szCs w:val="20"/>
        </w:rPr>
        <w:t xml:space="preserve">solo lectura</w:t>
      </w:r>
      <w:r>
        <w:rPr>
          <w:rFonts w:ascii="Calibri" w:cs="Calibri" w:eastAsia="Calibri" w:hAnsi="Calibri"/>
          <w:b w:val="false"/>
          <w:bCs w:val="false"/>
          <w:i w:val="false"/>
          <w:iCs w:val="false"/>
          <w:color w:val="32363A"/>
          <w:sz w:val="20"/>
          <w:szCs w:val="20"/>
        </w:rPr>
        <w:t xml:space="preserve">, la Service Definition y el Service Binding sobre la projection view producen un servicio OData V4 plenamente funcional sin ella. Añadir una behavior definition vacía introduce una clase de comportamiento (</w:t>
      </w:r>
      <w:r>
        <w:rPr>
          <w:rFonts w:ascii="Calibri" w:cs="Calibri" w:eastAsia="Calibri" w:hAnsi="Calibri"/>
          <w:b w:val="false"/>
          <w:bCs w:val="false"/>
          <w:i/>
          <w:iCs/>
          <w:color w:val="32363A"/>
          <w:sz w:val="20"/>
          <w:szCs w:val="20"/>
        </w:rPr>
        <w:t xml:space="preserve">behavior pool</w:t>
      </w:r>
      <w:r>
        <w:rPr>
          <w:rFonts w:ascii="Calibri" w:cs="Calibri" w:eastAsia="Calibri" w:hAnsi="Calibri"/>
          <w:b w:val="false"/>
          <w:bCs w:val="false"/>
          <w:i w:val="false"/>
          <w:iCs w:val="false"/>
          <w:color w:val="32363A"/>
          <w:sz w:val="20"/>
          <w:szCs w:val="20"/>
        </w:rPr>
        <w:t xml:space="preserve">) que no implementa nada, y con ella mantenimiento sin contrapartida.</w:t>
      </w:r>
    </w:p>
    <w:p>
      <w:pPr>
        <w:spacing w:after="140" w:before="60" w:line="276"/>
        <w:jc w:val="both"/>
      </w:pPr>
      <w:r>
        <w:rPr>
          <w:rFonts w:ascii="Calibri" w:cs="Calibri" w:eastAsia="Calibri" w:hAnsi="Calibri"/>
          <w:b w:val="false"/>
          <w:bCs w:val="false"/>
          <w:i w:val="false"/>
          <w:iCs w:val="false"/>
          <w:color w:val="32363A"/>
          <w:sz w:val="20"/>
          <w:szCs w:val="20"/>
        </w:rPr>
        <w:t xml:space="preserve">Existe además una razón funcional de peso para no habilitar escritura sobre esta entidad en concreto: </w:t>
      </w:r>
      <w:r>
        <w:rPr>
          <w:rFonts w:ascii="Calibri" w:cs="Calibri" w:eastAsia="Calibri" w:hAnsi="Calibri"/>
          <w:b/>
          <w:bCs/>
          <w:i w:val="false"/>
          <w:iCs w:val="false"/>
          <w:color w:val="32363A"/>
          <w:sz w:val="20"/>
          <w:szCs w:val="20"/>
        </w:rPr>
        <w:t xml:space="preserve">`KNA1` no debe actualizarse mediante un RAP BO `managed`</w:t>
      </w:r>
      <w:r>
        <w:rPr>
          <w:rFonts w:ascii="Calibri" w:cs="Calibri" w:eastAsia="Calibri" w:hAnsi="Calibri"/>
          <w:b w:val="false"/>
          <w:bCs w:val="false"/>
          <w:i w:val="false"/>
          <w:iCs w:val="false"/>
          <w:color w:val="32363A"/>
          <w:sz w:val="20"/>
          <w:szCs w:val="20"/>
        </w:rPr>
        <w:t xml:space="preserve">. El maestro de clientes en S/4HANA está sujeto a la sincronización CVI con Business Partner y a lógica de negocio que una escritura directa en tabla saltaría, dejando el maestro inconsistente. La vía correcta para escritura sobre clientes es la API estándar de Business Partner.</w:t>
      </w:r>
    </w:p>
    <w:p>
      <w:pPr>
        <w:spacing w:after="140" w:before="60" w:line="276"/>
        <w:jc w:val="both"/>
      </w:pPr>
      <w:r>
        <w:rPr>
          <w:rFonts w:ascii="Calibri" w:cs="Calibri" w:eastAsia="Calibri" w:hAnsi="Calibri"/>
          <w:b w:val="false"/>
          <w:bCs w:val="false"/>
          <w:i w:val="false"/>
          <w:iCs w:val="false"/>
          <w:color w:val="32363A"/>
          <w:sz w:val="20"/>
          <w:szCs w:val="20"/>
        </w:rPr>
        <w:t xml:space="preserve">La extensión al patrón transaccional, cuando una interfaz migrada la requiera, se describe en </w:t>
      </w:r>
      <w:r>
        <w:rPr>
          <w:rFonts w:ascii="Calibri" w:cs="Calibri" w:eastAsia="Calibri" w:hAnsi="Calibri"/>
          <w:b/>
          <w:bCs/>
          <w:i w:val="false"/>
          <w:iCs w:val="false"/>
          <w:color w:val="32363A"/>
          <w:sz w:val="20"/>
          <w:szCs w:val="20"/>
        </w:rPr>
        <w:t xml:space="preserve">§13</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Aclaración terminológica.</w:t>
      </w:r>
      <w:r>
        <w:rPr>
          <w:rFonts w:ascii="Calibri" w:cs="Calibri" w:eastAsia="Calibri" w:hAnsi="Calibri"/>
          <w:b w:val="false"/>
          <w:bCs w:val="false"/>
          <w:i w:val="false"/>
          <w:iCs w:val="false"/>
          <w:color w:val="32363A"/>
          <w:sz w:val="19"/>
          <w:szCs w:val="19"/>
        </w:rPr>
        <w:t xml:space="preserve"> La ausencia de behavior definition no significa que el servicio quede fuera de RAP. Service Definition y Service Binding </w:t>
      </w:r>
      <w:r>
        <w:rPr>
          <w:rFonts w:ascii="Calibri" w:cs="Calibri" w:eastAsia="Calibri" w:hAnsi="Calibri"/>
          <w:b/>
          <w:bCs/>
          <w:i w:val="false"/>
          <w:iCs w:val="false"/>
          <w:color w:val="32363A"/>
          <w:sz w:val="19"/>
          <w:szCs w:val="19"/>
        </w:rPr>
        <w:t xml:space="preserve">son</w:t>
      </w:r>
      <w:r>
        <w:rPr>
          <w:rFonts w:ascii="Calibri" w:cs="Calibri" w:eastAsia="Calibri" w:hAnsi="Calibri"/>
          <w:b w:val="false"/>
          <w:bCs w:val="false"/>
          <w:i w:val="false"/>
          <w:iCs w:val="false"/>
          <w:color w:val="32363A"/>
          <w:sz w:val="19"/>
          <w:szCs w:val="19"/>
        </w:rPr>
        <w:t xml:space="preserve"> artefactos RAP: constituyen su capa de exposición de servicios, la que sustituye a SEGW. Lo que no se usa aquí es la capa transaccional de RAP, innecesaria para una consulta.</w:t>
      </w:r>
    </w:p>
    <w:p>
      <w:pPr>
        <w:pStyle w:val="Heading2"/>
      </w:pPr>
      <w:r>
        <w:rPr>
          <w:rFonts w:ascii="Calibri" w:cs="Calibri" w:eastAsia="Calibri" w:hAnsi="Calibri"/>
          <w:b/>
          <w:bCs/>
          <w:i w:val="false"/>
          <w:iCs w:val="false"/>
          <w:color w:val="0A6ED1"/>
          <w:sz w:val="26"/>
          <w:szCs w:val="26"/>
        </w:rPr>
        <w:t xml:space="preserve">6.6 Service Definition</w:t>
      </w:r>
    </w:p>
    <w:p>
      <w:pPr>
        <w:pStyle w:val="ListParagraph"/>
        <w:numPr>
          <w:ilvl w:val="0"/>
          <w:numId w:val="10"/>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ZC_CUSTOMERBASIC</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Definition</w:t>
      </w:r>
      <w:r>
        <w:rPr>
          <w:rFonts w:ascii="Calibri" w:cs="Calibri" w:eastAsia="Calibri" w:hAnsi="Calibri"/>
          <w:b w:val="false"/>
          <w:bCs w:val="false"/>
          <w:i w:val="false"/>
          <w:iCs w:val="false"/>
          <w:color w:val="32363A"/>
          <w:sz w:val="20"/>
          <w:szCs w:val="20"/>
        </w:rPr>
        <w:t xml:space="preserve">. (Alternativa: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Business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Service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ZAPI_CUSTOMERBASIC</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Servicio consulta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140" w:before="30" w:line="268"/>
      </w:pPr>
      <w:r>
        <w:rPr>
          <w:rFonts w:ascii="Calibri" w:cs="Calibri" w:eastAsia="Calibri" w:hAnsi="Calibri"/>
          <w:b w:val="false"/>
          <w:bCs w:val="false"/>
          <w:i w:val="false"/>
          <w:iCs w:val="false"/>
          <w:color w:val="32363A"/>
          <w:sz w:val="20"/>
          <w:szCs w:val="20"/>
        </w:rPr>
        <w:t xml:space="preserve">Contenido: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Servicio consulta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ZAPI_CUSTOMERBASIC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ZC_CUSTOMERBASIC as CustomerBasic;</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11"/>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alias </w:t>
      </w:r>
      <w:r>
        <w:rPr>
          <w:rFonts w:ascii="Consolas" w:cs="Consolas" w:eastAsia="Consolas" w:hAnsi="Consolas"/>
          <w:color w:val="1D2D3E"/>
          <w:sz w:val="17"/>
          <w:szCs w:val="17"/>
          <w:shd w:fill="F4F6F8" w:val="clear"/>
        </w:rPr>
        <w:t xml:space="preserve">CustomerBasic</w:t>
      </w:r>
      <w:r>
        <w:rPr>
          <w:rFonts w:ascii="Calibri" w:cs="Calibri" w:eastAsia="Calibri" w:hAnsi="Calibri"/>
          <w:b w:val="false"/>
          <w:bCs w:val="false"/>
          <w:i w:val="false"/>
          <w:iCs w:val="false"/>
          <w:color w:val="32363A"/>
          <w:sz w:val="19"/>
          <w:szCs w:val="19"/>
        </w:rPr>
        <w:t xml:space="preserve"> es el </w:t>
      </w:r>
      <w:r>
        <w:rPr>
          <w:rFonts w:ascii="Calibri" w:cs="Calibri" w:eastAsia="Calibri" w:hAnsi="Calibri"/>
          <w:b/>
          <w:bCs/>
          <w:i w:val="false"/>
          <w:iCs w:val="false"/>
          <w:color w:val="32363A"/>
          <w:sz w:val="19"/>
          <w:szCs w:val="19"/>
        </w:rPr>
        <w:t xml:space="preserve">nombre del entity set</w:t>
      </w:r>
      <w:r>
        <w:rPr>
          <w:rFonts w:ascii="Calibri" w:cs="Calibri" w:eastAsia="Calibri" w:hAnsi="Calibri"/>
          <w:b w:val="false"/>
          <w:bCs w:val="false"/>
          <w:i w:val="false"/>
          <w:iCs w:val="false"/>
          <w:color w:val="32363A"/>
          <w:sz w:val="19"/>
          <w:szCs w:val="19"/>
        </w:rPr>
        <w:t xml:space="preserve"> en la URL de OData. Es parte del contrato público: cambiarlo después rompe a todos los consumidores.</w:t>
      </w:r>
    </w:p>
    <w:p>
      <w:pPr>
        <w:pStyle w:val="Heading2"/>
      </w:pPr>
      <w:r>
        <w:rPr>
          <w:rFonts w:ascii="Calibri" w:cs="Calibri" w:eastAsia="Calibri" w:hAnsi="Calibri"/>
          <w:b/>
          <w:bCs/>
          <w:i w:val="false"/>
          <w:iCs w:val="false"/>
          <w:color w:val="0A6ED1"/>
          <w:sz w:val="26"/>
          <w:szCs w:val="26"/>
        </w:rPr>
        <w:t xml:space="preserve">6.7 Service Binding</w:t>
      </w:r>
    </w:p>
    <w:p>
      <w:pPr>
        <w:pStyle w:val="ListParagraph"/>
        <w:numPr>
          <w:ilvl w:val="0"/>
          <w:numId w:val="12"/>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ZAPI_CUSTOMERBASIC</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Binding</w:t>
      </w:r>
      <w:r>
        <w:rPr>
          <w:rFonts w:ascii="Calibri" w:cs="Calibri" w:eastAsia="Calibri" w:hAnsi="Calibri"/>
          <w:b w:val="false"/>
          <w:bCs w:val="false"/>
          <w:i w:val="false"/>
          <w:iCs w:val="false"/>
          <w:color w:val="32363A"/>
          <w:sz w:val="20"/>
          <w:szCs w:val="20"/>
        </w:rPr>
        <w:t xml:space="preserve">.</w:t>
      </w:r>
    </w:p>
    <w:p>
      <w:pPr>
        <w:pStyle w:val="ListParagraph"/>
        <w:numPr>
          <w:ilvl w:val="0"/>
          <w:numId w:val="12"/>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25"/>
        <w:gridCol w:w="6721"/>
      </w:tblGrid>
      <w:tr>
        <w:trPr>
          <w:cantSplit/>
          <w:tblHeader/>
        </w:trPr>
        <w:tc>
          <w:tcPr>
            <w:tcW w:type="dxa" w:w="302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7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7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ZAPI_CUSTOMERBASIC_O4</w:t>
            </w:r>
          </w:p>
        </w:tc>
      </w:tr>
      <w:tr>
        <w:trPr>
          <w:cantSplit/>
          <w:tblHeader w:val="false"/>
        </w:trPr>
        <w:tc>
          <w:tcPr>
            <w:tcW w:type="dxa" w:w="3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7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Binding OData V4 consulta clientes</w:t>
            </w:r>
          </w:p>
        </w:tc>
      </w:tr>
      <w:tr>
        <w:trPr>
          <w:cantSplit/>
          <w:tblHeader w:val="false"/>
        </w:trPr>
        <w:tc>
          <w:tcPr>
            <w:tcW w:type="dxa" w:w="3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Binding Type</w:t>
            </w:r>
          </w:p>
        </w:tc>
        <w:tc>
          <w:tcPr>
            <w:tcW w:type="dxa" w:w="6721"/>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`OData V4 - Web API`</w:t>
            </w:r>
          </w:p>
        </w:tc>
      </w:tr>
      <w:tr>
        <w:trPr>
          <w:cantSplit/>
          <w:tblHeader w:val="false"/>
        </w:trPr>
        <w:tc>
          <w:tcPr>
            <w:tcW w:type="dxa" w:w="3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67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w:t>
            </w:r>
          </w:p>
        </w:tc>
      </w:tr>
    </w:tbl>
    <w:p>
      <w:pPr>
        <w:spacing w:after="200" w:before="0"/>
      </w:pPr>
      <w:r>
        <w:rPr>
          <w:sz w:val="2"/>
          <w:szCs w:val="2"/>
        </w:rPr>
        <w:t xml:space="preserve"/>
      </w:r>
    </w:p>
    <w:p>
      <w:pPr>
        <w:pStyle w:val="ListParagraph"/>
        <w:numPr>
          <w:ilvl w:val="0"/>
          <w:numId w:val="13"/>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13"/>
        </w:numPr>
        <w:spacing w:after="30" w:before="30" w:line="268"/>
      </w:pPr>
      <w:r>
        <w:rPr>
          <w:rFonts w:ascii="Calibri" w:cs="Calibri" w:eastAsia="Calibri" w:hAnsi="Calibri"/>
          <w:b w:val="false"/>
          <w:bCs w:val="false"/>
          <w:i w:val="false"/>
          <w:iCs w:val="false"/>
          <w:color w:val="32363A"/>
          <w:sz w:val="20"/>
          <w:szCs w:val="20"/>
        </w:rPr>
        <w:t xml:space="preserve">Pulsar el botón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 en el editor del Service Binding. El estado debe pasar a </w:t>
      </w:r>
      <w:r>
        <w:rPr>
          <w:rFonts w:ascii="Calibri" w:cs="Calibri" w:eastAsia="Calibri" w:hAnsi="Calibri"/>
          <w:b w:val="false"/>
          <w:bCs w:val="false"/>
          <w:i/>
          <w:iCs/>
          <w:color w:val="32363A"/>
          <w:sz w:val="20"/>
          <w:szCs w:val="20"/>
        </w:rPr>
        <w:t xml:space="preserve">Published</w:t>
      </w:r>
      <w:r>
        <w:rPr>
          <w:rFonts w:ascii="Calibri" w:cs="Calibri" w:eastAsia="Calibri" w:hAnsi="Calibri"/>
          <w:b w:val="false"/>
          <w:bCs w:val="false"/>
          <w:i w:val="false"/>
          <w:iCs w:val="false"/>
          <w:color w:val="32363A"/>
          <w:sz w:val="20"/>
          <w:szCs w:val="20"/>
        </w:rPr>
        <w:t xml:space="preserve">, y la sección </w:t>
      </w:r>
      <w:r>
        <w:rPr>
          <w:rFonts w:ascii="Calibri" w:cs="Calibri" w:eastAsia="Calibri" w:hAnsi="Calibri"/>
          <w:b w:val="false"/>
          <w:bCs w:val="false"/>
          <w:i/>
          <w:iCs/>
          <w:color w:val="32363A"/>
          <w:sz w:val="20"/>
          <w:szCs w:val="20"/>
        </w:rPr>
        <w:t xml:space="preserve">Service Version</w:t>
      </w:r>
      <w:r>
        <w:rPr>
          <w:rFonts w:ascii="Calibri" w:cs="Calibri" w:eastAsia="Calibri" w:hAnsi="Calibri"/>
          <w:b w:val="false"/>
          <w:bCs w:val="false"/>
          <w:i w:val="false"/>
          <w:iCs w:val="false"/>
          <w:color w:val="32363A"/>
          <w:sz w:val="20"/>
          <w:szCs w:val="20"/>
        </w:rPr>
        <w:t xml:space="preserve"> mostrar </w:t>
      </w:r>
      <w:r>
        <w:rPr>
          <w:rFonts w:ascii="Consolas" w:cs="Consolas" w:eastAsia="Consolas" w:hAnsi="Consolas"/>
          <w:color w:val="1D2D3E"/>
          <w:sz w:val="18"/>
          <w:szCs w:val="18"/>
          <w:shd w:fill="F4F6F8" w:val="clear"/>
        </w:rPr>
        <w:t xml:space="preserve">0001</w:t>
      </w:r>
      <w:r>
        <w:rPr>
          <w:rFonts w:ascii="Calibri" w:cs="Calibri" w:eastAsia="Calibri" w:hAnsi="Calibri"/>
          <w:b w:val="false"/>
          <w:bCs w:val="false"/>
          <w:i w:val="false"/>
          <w:iCs w:val="false"/>
          <w:color w:val="32363A"/>
          <w:sz w:val="20"/>
          <w:szCs w:val="20"/>
        </w:rPr>
        <w:t xml:space="preserve">.</w:t>
      </w:r>
    </w:p>
    <w:p>
      <w:pPr>
        <w:pStyle w:val="ListParagraph"/>
        <w:numPr>
          <w:ilvl w:val="0"/>
          <w:numId w:val="13"/>
        </w:numPr>
        <w:spacing w:after="140" w:before="30" w:line="268"/>
      </w:pPr>
      <w:r>
        <w:rPr>
          <w:rFonts w:ascii="Calibri" w:cs="Calibri" w:eastAsia="Calibri" w:hAnsi="Calibri"/>
          <w:b/>
          <w:bCs/>
          <w:i w:val="false"/>
          <w:iCs w:val="false"/>
          <w:color w:val="32363A"/>
          <w:sz w:val="20"/>
          <w:szCs w:val="20"/>
        </w:rPr>
        <w:t xml:space="preserve">Anotar la URL exacta</w:t>
      </w:r>
      <w:r>
        <w:rPr>
          <w:rFonts w:ascii="Calibri" w:cs="Calibri" w:eastAsia="Calibri" w:hAnsi="Calibri"/>
          <w:b w:val="false"/>
          <w:bCs w:val="false"/>
          <w:i w:val="false"/>
          <w:iCs w:val="false"/>
          <w:color w:val="32363A"/>
          <w:sz w:val="20"/>
          <w:szCs w:val="20"/>
        </w:rPr>
        <w:t xml:space="preserve"> que muestra el editor bajo </w:t>
      </w:r>
      <w:r>
        <w:rPr>
          <w:rFonts w:ascii="Calibri" w:cs="Calibri" w:eastAsia="Calibri" w:hAnsi="Calibri"/>
          <w:b w:val="false"/>
          <w:bCs w:val="false"/>
          <w:i/>
          <w:iCs/>
          <w:color w:val="32363A"/>
          <w:sz w:val="20"/>
          <w:szCs w:val="20"/>
        </w:rPr>
        <w:t xml:space="preserve">Service URL</w:t>
      </w:r>
      <w:r>
        <w:rPr>
          <w:rFonts w:ascii="Calibri" w:cs="Calibri" w:eastAsia="Calibri" w:hAnsi="Calibri"/>
          <w:b w:val="false"/>
          <w:bCs w:val="false"/>
          <w:i w:val="false"/>
          <w:iCs w:val="false"/>
          <w:color w:val="32363A"/>
          <w:sz w:val="20"/>
          <w:szCs w:val="20"/>
        </w:rPr>
        <w:t xml:space="preserve">. Es el dato de entrada de §8 y §9.</w:t>
      </w:r>
    </w:p>
    <w:p>
      <w:pPr>
        <w:pStyle w:val="Heading3"/>
      </w:pPr>
      <w:r>
        <w:rPr>
          <w:rFonts w:ascii="Calibri" w:cs="Calibri" w:eastAsia="Calibri" w:hAnsi="Calibri"/>
          <w:b/>
          <w:bCs/>
          <w:i w:val="false"/>
          <w:iCs w:val="false"/>
          <w:color w:val="0A6ED1"/>
          <w:sz w:val="22"/>
          <w:szCs w:val="22"/>
        </w:rPr>
        <w:t xml:space="preserve">Elección del Binding Type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67"/>
        <w:gridCol w:w="6979"/>
      </w:tblGrid>
      <w:tr>
        <w:trPr>
          <w:cantSplit/>
          <w:tblHeader/>
        </w:trPr>
        <w:tc>
          <w:tcPr>
            <w:tcW w:type="dxa" w:w="27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69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 usarlo</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Esta PoC.</w:t>
            </w:r>
            <w:r>
              <w:rPr>
                <w:rFonts w:ascii="Calibri" w:cs="Calibri" w:eastAsia="Calibri" w:hAnsi="Calibri"/>
                <w:b w:val="false"/>
                <w:bCs w:val="false"/>
                <w:i w:val="false"/>
                <w:iCs w:val="false"/>
                <w:color w:val="32363A"/>
                <w:sz w:val="17"/>
                <w:szCs w:val="17"/>
              </w:rPr>
              <w:t xml:space="preserve"> Consumo máquina a máquina (A2X). Sin anotaciones de UI, contrato limpio</w:t>
            </w:r>
          </w:p>
        </w:tc>
      </w:tr>
      <w:tr>
        <w:trPr>
          <w:cantSplit/>
          <w:tblHeader w:val="false"/>
        </w:trPr>
        <w:tc>
          <w:tcPr>
            <w:tcW w:type="dxa" w:w="276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UI</w:t>
            </w:r>
          </w:p>
        </w:tc>
        <w:tc>
          <w:tcPr>
            <w:tcW w:type="dxa" w:w="697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se va a construir una aplicación Fiori Elements sobre el servicio</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V2 - UI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por compatibilidad con consumidores que no soporten V4</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Patrón de la URL generada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https://&lt;host&gt;:&lt;puerto&gt;/sap/opu/odata4/sap/zapi_customerbasic_o4/srvd_a2x/sap/zapi_customerbasic/0001/</w:t>
      </w:r>
    </w:p>
    <w:p>
      <w:pPr>
        <w:spacing w:after="140" w:before="60" w:line="276"/>
        <w:jc w:val="both"/>
      </w:pPr>
      <w:r>
        <w:rPr>
          <w:rFonts w:ascii="Calibri" w:cs="Calibri" w:eastAsia="Calibri" w:hAnsi="Calibri"/>
          <w:b w:val="false"/>
          <w:bCs w:val="false"/>
          <w:i w:val="false"/>
          <w:iCs w:val="false"/>
          <w:color w:val="32363A"/>
          <w:sz w:val="20"/>
          <w:szCs w:val="20"/>
        </w:rPr>
        <w:t xml:space="preserve">Descomposición: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71"/>
        <w:gridCol w:w="6675"/>
      </w:tblGrid>
      <w:tr>
        <w:trPr>
          <w:cantSplit/>
          <w:tblHeader/>
        </w:trPr>
        <w:tc>
          <w:tcPr>
            <w:tcW w:type="dxa" w:w="30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Segmento</w:t>
            </w:r>
          </w:p>
        </w:tc>
        <w:tc>
          <w:tcPr>
            <w:tcW w:type="dxa" w:w="667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307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c>
          <w:tcPr>
            <w:tcW w:type="dxa" w:w="66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raíz de OData V4</w:t>
            </w:r>
          </w:p>
        </w:tc>
      </w:tr>
      <w:tr>
        <w:trPr>
          <w:cantSplit/>
          <w:tblHeader w:val="false"/>
        </w:trPr>
        <w:tc>
          <w:tcPr>
            <w:tcW w:type="dxa" w:w="307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w:t>
            </w:r>
          </w:p>
        </w:tc>
        <w:tc>
          <w:tcPr>
            <w:tcW w:type="dxa" w:w="66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del Service Binding</w:t>
            </w:r>
          </w:p>
        </w:tc>
      </w:tr>
      <w:tr>
        <w:trPr>
          <w:cantSplit/>
          <w:tblHeader w:val="false"/>
        </w:trPr>
        <w:tc>
          <w:tcPr>
            <w:tcW w:type="dxa" w:w="307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/zapi_customerbasic_o4</w:t>
            </w:r>
          </w:p>
        </w:tc>
        <w:tc>
          <w:tcPr>
            <w:tcW w:type="dxa" w:w="66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Nombre del Service Binding, en minúsculas</w:t>
            </w:r>
          </w:p>
        </w:tc>
      </w:tr>
      <w:tr>
        <w:trPr>
          <w:cantSplit/>
          <w:tblHeader w:val="false"/>
        </w:trPr>
        <w:tc>
          <w:tcPr>
            <w:tcW w:type="dxa" w:w="307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/srvd_a2x</w:t>
            </w:r>
          </w:p>
        </w:tc>
        <w:tc>
          <w:tcPr>
            <w:tcW w:type="dxa" w:w="66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binding: Service Definition, A2X (Web API)</w:t>
            </w:r>
          </w:p>
        </w:tc>
      </w:tr>
      <w:tr>
        <w:trPr>
          <w:cantSplit/>
          <w:tblHeader w:val="false"/>
        </w:trPr>
        <w:tc>
          <w:tcPr>
            <w:tcW w:type="dxa" w:w="307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/sap/zapi_customerbasic</w:t>
            </w:r>
          </w:p>
        </w:tc>
        <w:tc>
          <w:tcPr>
            <w:tcW w:type="dxa" w:w="66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y nombre de la Service Definition</w:t>
            </w:r>
          </w:p>
        </w:tc>
      </w:tr>
      <w:tr>
        <w:trPr>
          <w:cantSplit/>
          <w:tblHeader w:val="false"/>
        </w:trPr>
        <w:tc>
          <w:tcPr>
            <w:tcW w:type="dxa" w:w="307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w:t>
            </w:r>
          </w:p>
        </w:tc>
        <w:tc>
          <w:tcPr>
            <w:tcW w:type="dxa" w:w="66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 del servicio</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Utilizar siempre la URL que muestra ADT. El patrón se documenta para su comprensión, no para componerla a mano.</w:t>
      </w:r>
    </w:p>
    <w:p>
      <w:pPr>
        <w:pStyle w:val="Heading2"/>
      </w:pPr>
      <w:r>
        <w:rPr>
          <w:rFonts w:ascii="Calibri" w:cs="Calibri" w:eastAsia="Calibri" w:hAnsi="Calibri"/>
          <w:b/>
          <w:bCs/>
          <w:i w:val="false"/>
          <w:iCs w:val="false"/>
          <w:color w:val="0A6ED1"/>
          <w:sz w:val="26"/>
          <w:szCs w:val="26"/>
        </w:rPr>
        <w:t xml:space="preserve">6.8 Comprobación de calidad (ATC)</w:t>
      </w:r>
    </w:p>
    <w:p>
      <w:pPr>
        <w:pStyle w:val="ListParagraph"/>
        <w:numPr>
          <w:ilvl w:val="0"/>
          <w:numId w:val="14"/>
        </w:numPr>
        <w:spacing w:after="30" w:before="60" w:line="268"/>
      </w:pPr>
      <w:r>
        <w:rPr>
          <w:rFonts w:ascii="Calibri" w:cs="Calibri" w:eastAsia="Calibri" w:hAnsi="Calibri"/>
          <w:b w:val="false"/>
          <w:bCs w:val="false"/>
          <w:i w:val="false"/>
          <w:iCs w:val="false"/>
          <w:color w:val="32363A"/>
          <w:sz w:val="20"/>
          <w:szCs w:val="20"/>
        </w:rPr>
        <w:t xml:space="preserve">Clic derecho sobre el paquete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Run As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Test Cockpit</w:t>
      </w:r>
      <w:r>
        <w:rPr>
          <w:rFonts w:ascii="Calibri" w:cs="Calibri" w:eastAsia="Calibri" w:hAnsi="Calibri"/>
          <w:b w:val="false"/>
          <w:bCs w:val="false"/>
          <w:i w:val="false"/>
          <w:iCs w:val="false"/>
          <w:color w:val="32363A"/>
          <w:sz w:val="20"/>
          <w:szCs w:val="20"/>
        </w:rPr>
        <w:t xml:space="preserve">.</w:t>
      </w:r>
    </w:p>
    <w:p>
      <w:pPr>
        <w:pStyle w:val="ListParagraph"/>
        <w:numPr>
          <w:ilvl w:val="0"/>
          <w:numId w:val="14"/>
        </w:numPr>
        <w:spacing w:after="140" w:before="30" w:line="268"/>
      </w:pPr>
      <w:r>
        <w:rPr>
          <w:rFonts w:ascii="Calibri" w:cs="Calibri" w:eastAsia="Calibri" w:hAnsi="Calibri"/>
          <w:b w:val="false"/>
          <w:bCs w:val="false"/>
          <w:i w:val="false"/>
          <w:iCs w:val="false"/>
          <w:color w:val="32363A"/>
          <w:sz w:val="20"/>
          <w:szCs w:val="20"/>
        </w:rPr>
        <w:t xml:space="preserve">Resolver los hallazgos de prioridad 1 y 2 antes de liberar la orden de transporte.</w:t>
      </w:r>
    </w:p>
    <w:p>
      <w:pPr>
        <w:spacing w:after="140" w:before="60" w:line="276"/>
        <w:jc w:val="both"/>
      </w:pPr>
      <w:r>
        <w:rPr>
          <w:rFonts w:ascii="Calibri" w:cs="Calibri" w:eastAsia="Calibri" w:hAnsi="Calibri"/>
          <w:b w:val="false"/>
          <w:bCs w:val="false"/>
          <w:i w:val="false"/>
          <w:iCs w:val="false"/>
          <w:color w:val="32363A"/>
          <w:sz w:val="20"/>
          <w:szCs w:val="20"/>
        </w:rPr>
        <w:t xml:space="preserve">Este paso es opcional para que la PoC funcione, pero </w:t>
      </w:r>
      <w:r>
        <w:rPr>
          <w:rFonts w:ascii="Calibri" w:cs="Calibri" w:eastAsia="Calibri" w:hAnsi="Calibri"/>
          <w:b/>
          <w:bCs/>
          <w:i w:val="false"/>
          <w:iCs w:val="false"/>
          <w:color w:val="32363A"/>
          <w:sz w:val="20"/>
          <w:szCs w:val="20"/>
        </w:rPr>
        <w:t xml:space="preserve">obligatorio si el patrón se va a replicar</w:t>
      </w:r>
      <w:r>
        <w:rPr>
          <w:rFonts w:ascii="Calibri" w:cs="Calibri" w:eastAsia="Calibri" w:hAnsi="Calibri"/>
          <w:b w:val="false"/>
          <w:bCs w:val="false"/>
          <w:i w:val="false"/>
          <w:iCs w:val="false"/>
          <w:color w:val="32363A"/>
          <w:sz w:val="20"/>
          <w:szCs w:val="20"/>
        </w:rPr>
        <w:t xml:space="preserve">: los defectos de convención que se pasen por alto aquí se multiplicarán por cada interfaz migrada.</w:t>
      </w:r>
    </w:p>
    <w:p>
      <w:pPr>
        <w:pStyle w:val="Heading1"/>
        <w:pageBreakBefore/>
      </w:pPr>
      <w:r>
        <w:rPr>
          <w:rFonts w:ascii="Calibri" w:cs="Calibri" w:eastAsia="Calibri" w:hAnsi="Calibri"/>
          <w:b/>
          <w:bCs/>
          <w:i w:val="false"/>
          <w:iCs w:val="false"/>
          <w:color w:val="1D2D3E"/>
          <w:sz w:val="34"/>
          <w:szCs w:val="34"/>
        </w:rPr>
        <w:t xml:space="preserve">7. Paso a paso — SAP GUI</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7.1 Activar el nodo ICF de OData V4</w:t>
      </w:r>
    </w:p>
    <w:p>
      <w:pPr>
        <w:pStyle w:val="ListParagraph"/>
        <w:numPr>
          <w:ilvl w:val="0"/>
          <w:numId w:val="15"/>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`SICF`</w:t>
      </w:r>
      <w:r>
        <w:rPr>
          <w:rFonts w:ascii="Calibri" w:cs="Calibri" w:eastAsia="Calibri" w:hAnsi="Calibri"/>
          <w:b w:val="false"/>
          <w:bCs w:val="false"/>
          <w:i w:val="false"/>
          <w:iCs w:val="false"/>
          <w:color w:val="32363A"/>
          <w:sz w:val="20"/>
          <w:szCs w:val="20"/>
        </w:rPr>
        <w:t xml:space="preserve">.</w:t>
      </w:r>
    </w:p>
    <w:p>
      <w:pPr>
        <w:pStyle w:val="ListParagraph"/>
        <w:numPr>
          <w:ilvl w:val="0"/>
          <w:numId w:val="15"/>
        </w:numPr>
        <w:spacing w:after="30" w:before="30" w:line="268"/>
      </w:pPr>
      <w:r>
        <w:rPr>
          <w:rFonts w:ascii="Calibri" w:cs="Calibri" w:eastAsia="Calibri" w:hAnsi="Calibri"/>
          <w:b w:val="false"/>
          <w:bCs w:val="false"/>
          <w:i/>
          <w:iCs/>
          <w:color w:val="32363A"/>
          <w:sz w:val="20"/>
          <w:szCs w:val="20"/>
        </w:rPr>
        <w:t xml:space="preserve">Hierarchy Type</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SERVICE</w:t>
      </w:r>
      <w:r>
        <w:rPr>
          <w:rFonts w:ascii="Calibri" w:cs="Calibri" w:eastAsia="Calibri" w:hAnsi="Calibri"/>
          <w:b w:val="false"/>
          <w:bCs w:val="false"/>
          <w:i w:val="false"/>
          <w:iCs w:val="false"/>
          <w:color w:val="32363A"/>
          <w:sz w:val="20"/>
          <w:szCs w:val="20"/>
        </w:rPr>
        <w:t xml:space="preserve">. Ejecutar (</w:t>
      </w:r>
      <w:r>
        <w:rPr>
          <w:rFonts w:ascii="Consolas" w:cs="Consolas" w:eastAsia="Consolas" w:hAnsi="Consolas"/>
          <w:color w:val="1D2D3E"/>
          <w:sz w:val="18"/>
          <w:szCs w:val="18"/>
          <w:shd w:fill="F4F6F8" w:val="clear"/>
        </w:rPr>
        <w:t xml:space="preserve">F8</w:t>
      </w:r>
      <w:r>
        <w:rPr>
          <w:rFonts w:ascii="Calibri" w:cs="Calibri" w:eastAsia="Calibri" w:hAnsi="Calibri"/>
          <w:b w:val="false"/>
          <w:bCs w:val="false"/>
          <w:i w:val="false"/>
          <w:iCs w:val="false"/>
          <w:color w:val="32363A"/>
          <w:sz w:val="20"/>
          <w:szCs w:val="20"/>
        </w:rPr>
        <w:t xml:space="preserve">).</w:t>
      </w:r>
    </w:p>
    <w:p>
      <w:pPr>
        <w:pStyle w:val="ListParagraph"/>
        <w:numPr>
          <w:ilvl w:val="0"/>
          <w:numId w:val="15"/>
        </w:numPr>
        <w:spacing w:after="30" w:before="30" w:line="268"/>
      </w:pPr>
      <w:r>
        <w:rPr>
          <w:rFonts w:ascii="Calibri" w:cs="Calibri" w:eastAsia="Calibri" w:hAnsi="Calibri"/>
          <w:b w:val="false"/>
          <w:bCs w:val="false"/>
          <w:i w:val="false"/>
          <w:iCs w:val="false"/>
          <w:color w:val="32363A"/>
          <w:sz w:val="20"/>
          <w:szCs w:val="20"/>
        </w:rPr>
        <w:t xml:space="preserve">Navegar: </w:t>
      </w:r>
      <w:r>
        <w:rPr>
          <w:rFonts w:ascii="Consolas" w:cs="Consolas" w:eastAsia="Consolas" w:hAnsi="Consolas"/>
          <w:color w:val="1D2D3E"/>
          <w:sz w:val="18"/>
          <w:szCs w:val="18"/>
          <w:shd w:fill="F4F6F8" w:val="clear"/>
        </w:rPr>
        <w:t xml:space="preserve">default_host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opu</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odata4</w:t>
      </w:r>
      <w:r>
        <w:rPr>
          <w:rFonts w:ascii="Calibri" w:cs="Calibri" w:eastAsia="Calibri" w:hAnsi="Calibri"/>
          <w:b w:val="false"/>
          <w:bCs w:val="false"/>
          <w:i w:val="false"/>
          <w:iCs w:val="false"/>
          <w:color w:val="32363A"/>
          <w:sz w:val="20"/>
          <w:szCs w:val="20"/>
        </w:rPr>
        <w:t xml:space="preserve">.</w:t>
      </w:r>
    </w:p>
    <w:p>
      <w:pPr>
        <w:pStyle w:val="ListParagraph"/>
        <w:numPr>
          <w:ilvl w:val="0"/>
          <w:numId w:val="15"/>
        </w:numPr>
        <w:spacing w:after="30" w:before="30" w:line="268"/>
      </w:pPr>
      <w:r>
        <w:rPr>
          <w:rFonts w:ascii="Calibri" w:cs="Calibri" w:eastAsia="Calibri" w:hAnsi="Calibri"/>
          <w:b w:val="false"/>
          <w:bCs w:val="false"/>
          <w:i w:val="false"/>
          <w:iCs w:val="false"/>
          <w:color w:val="32363A"/>
          <w:sz w:val="20"/>
          <w:szCs w:val="20"/>
        </w:rPr>
        <w:t xml:space="preserve">Verificar que el nodo está </w:t>
      </w:r>
      <w:r>
        <w:rPr>
          <w:rFonts w:ascii="Calibri" w:cs="Calibri" w:eastAsia="Calibri" w:hAnsi="Calibri"/>
          <w:b/>
          <w:bCs/>
          <w:i w:val="false"/>
          <w:iCs w:val="false"/>
          <w:color w:val="32363A"/>
          <w:sz w:val="20"/>
          <w:szCs w:val="20"/>
        </w:rPr>
        <w:t xml:space="preserve">activo</w:t>
      </w:r>
      <w:r>
        <w:rPr>
          <w:rFonts w:ascii="Calibri" w:cs="Calibri" w:eastAsia="Calibri" w:hAnsi="Calibri"/>
          <w:b w:val="false"/>
          <w:bCs w:val="false"/>
          <w:i w:val="false"/>
          <w:iCs w:val="false"/>
          <w:color w:val="32363A"/>
          <w:sz w:val="20"/>
          <w:szCs w:val="20"/>
        </w:rPr>
        <w:t xml:space="preserve">. Un nodo inactivo se muestra en gris; uno activo, en negro.</w:t>
      </w:r>
    </w:p>
    <w:p>
      <w:pPr>
        <w:pStyle w:val="ListParagraph"/>
        <w:numPr>
          <w:ilvl w:val="0"/>
          <w:numId w:val="15"/>
        </w:numPr>
        <w:spacing w:after="140" w:before="30" w:line="268"/>
      </w:pPr>
      <w:r>
        <w:rPr>
          <w:rFonts w:ascii="Calibri" w:cs="Calibri" w:eastAsia="Calibri" w:hAnsi="Calibri"/>
          <w:b w:val="false"/>
          <w:bCs w:val="false"/>
          <w:i w:val="false"/>
          <w:iCs w:val="false"/>
          <w:color w:val="32363A"/>
          <w:sz w:val="20"/>
          <w:szCs w:val="20"/>
        </w:rPr>
        <w:t xml:space="preserve">Si está inactivo: clic derecho → </w:t>
      </w:r>
      <w:r>
        <w:rPr>
          <w:rFonts w:ascii="Consolas" w:cs="Consolas" w:eastAsia="Consolas" w:hAnsi="Consolas"/>
          <w:color w:val="1D2D3E"/>
          <w:sz w:val="18"/>
          <w:szCs w:val="18"/>
          <w:shd w:fill="F4F6F8" w:val="clear"/>
        </w:rPr>
        <w:t xml:space="preserve">Activar servicio</w:t>
      </w:r>
      <w:r>
        <w:rPr>
          <w:rFonts w:ascii="Calibri" w:cs="Calibri" w:eastAsia="Calibri" w:hAnsi="Calibri"/>
          <w:b w:val="false"/>
          <w:bCs w:val="false"/>
          <w:i w:val="false"/>
          <w:iCs w:val="false"/>
          <w:color w:val="32363A"/>
          <w:sz w:val="20"/>
          <w:szCs w:val="20"/>
        </w:rPr>
        <w:t xml:space="preserve"> → confirmar incluyendo los subnodos.</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Sin este nodo activo, toda llamada devuelve </w:t>
      </w:r>
      <w:r>
        <w:rPr>
          <w:rFonts w:ascii="Calibri" w:cs="Calibri" w:eastAsia="Calibri" w:hAnsi="Calibri"/>
          <w:b/>
          <w:bCs/>
          <w:i w:val="false"/>
          <w:iCs w:val="false"/>
          <w:color w:val="32363A"/>
          <w:sz w:val="19"/>
          <w:szCs w:val="19"/>
        </w:rPr>
        <w:t xml:space="preserve">404</w:t>
      </w:r>
      <w:r>
        <w:rPr>
          <w:rFonts w:ascii="Calibri" w:cs="Calibri" w:eastAsia="Calibri" w:hAnsi="Calibri"/>
          <w:b w:val="false"/>
          <w:bCs w:val="false"/>
          <w:i w:val="false"/>
          <w:iCs w:val="false"/>
          <w:color w:val="32363A"/>
          <w:sz w:val="19"/>
          <w:szCs w:val="19"/>
        </w:rPr>
        <w:t xml:space="preserve">, con independencia de que el Service Binding esté publicado.</w:t>
      </w:r>
    </w:p>
    <w:p>
      <w:pPr>
        <w:pStyle w:val="Heading2"/>
      </w:pPr>
      <w:r>
        <w:rPr>
          <w:rFonts w:ascii="Calibri" w:cs="Calibri" w:eastAsia="Calibri" w:hAnsi="Calibri"/>
          <w:b/>
          <w:bCs/>
          <w:i w:val="false"/>
          <w:iCs w:val="false"/>
          <w:color w:val="0A6ED1"/>
          <w:sz w:val="26"/>
          <w:szCs w:val="26"/>
        </w:rPr>
        <w:t xml:space="preserve">7.2 Crear el usuario técnico</w:t>
      </w:r>
    </w:p>
    <w:p>
      <w:pPr>
        <w:pStyle w:val="ListParagraph"/>
        <w:numPr>
          <w:ilvl w:val="0"/>
          <w:numId w:val="16"/>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`SU01`</w:t>
      </w:r>
      <w:r>
        <w:rPr>
          <w:rFonts w:ascii="Calibri" w:cs="Calibri" w:eastAsia="Calibri" w:hAnsi="Calibri"/>
          <w:b w:val="false"/>
          <w:bCs w:val="false"/>
          <w:i w:val="false"/>
          <w:iCs w:val="false"/>
          <w:color w:val="32363A"/>
          <w:sz w:val="20"/>
          <w:szCs w:val="20"/>
        </w:rPr>
        <w:t xml:space="preserve">.</w:t>
      </w:r>
    </w:p>
    <w:p>
      <w:pPr>
        <w:pStyle w:val="ListParagraph"/>
        <w:numPr>
          <w:ilvl w:val="0"/>
          <w:numId w:val="16"/>
        </w:numPr>
        <w:spacing w:after="140" w:before="30" w:line="268"/>
      </w:pPr>
      <w:r>
        <w:rPr>
          <w:rFonts w:ascii="Calibri" w:cs="Calibri" w:eastAsia="Calibri" w:hAnsi="Calibri"/>
          <w:b w:val="false"/>
          <w:bCs w:val="false"/>
          <w:i w:val="false"/>
          <w:iCs w:val="false"/>
          <w:color w:val="32363A"/>
          <w:sz w:val="20"/>
          <w:szCs w:val="20"/>
        </w:rPr>
        <w:t xml:space="preserve">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28"/>
        <w:gridCol w:w="1606"/>
        <w:gridCol w:w="6212"/>
      </w:tblGrid>
      <w:tr>
        <w:trPr>
          <w:cantSplit/>
          <w:tblHeader/>
        </w:trPr>
        <w:tc>
          <w:tcPr>
            <w:tcW w:type="dxa" w:w="192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Pestaña</w:t>
            </w:r>
          </w:p>
        </w:tc>
        <w:tc>
          <w:tcPr>
            <w:tcW w:type="dxa" w:w="160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2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dirección</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Apellido</w:t>
            </w:r>
          </w:p>
        </w:tc>
        <w:tc>
          <w:tcPr>
            <w:tcW w:type="dxa" w:w="62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Usuario técnico PoC API</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Tipo de usuario</w:t>
            </w:r>
          </w:p>
        </w:tc>
        <w:tc>
          <w:tcPr>
            <w:tcW w:type="dxa" w:w="6212"/>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Generar una robusta y registrarla en la bóveda de secretos corporativa</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Roles</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w:t>
            </w:r>
          </w:p>
        </w:tc>
        <w:tc>
          <w:tcPr>
            <w:tcW w:type="dxa" w:w="62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r>
              <w:rPr>
                <w:rFonts w:ascii="Calibri" w:cs="Calibri" w:eastAsia="Calibri" w:hAnsi="Calibri"/>
                <w:b w:val="false"/>
                <w:bCs w:val="false"/>
                <w:i w:val="false"/>
                <w:iCs w:val="false"/>
                <w:color w:val="32363A"/>
                <w:sz w:val="17"/>
                <w:szCs w:val="17"/>
              </w:rPr>
              <w:t xml:space="preserve"> (se crea en §7.3)</w:t>
            </w:r>
          </w:p>
        </w:tc>
      </w:tr>
    </w:tbl>
    <w:p>
      <w:pPr>
        <w:spacing w:after="200" w:before="0"/>
      </w:pPr>
      <w:r>
        <w:rPr>
          <w:sz w:val="2"/>
          <w:szCs w:val="2"/>
        </w:rPr>
        <w:t xml:space="preserve"/>
      </w:r>
    </w:p>
    <w:p>
      <w:pPr>
        <w:pStyle w:val="ListParagraph"/>
        <w:numPr>
          <w:ilvl w:val="0"/>
          <w:numId w:val="17"/>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3"/>
      </w:pPr>
      <w:r>
        <w:rPr>
          <w:rFonts w:ascii="Calibri" w:cs="Calibri" w:eastAsia="Calibri" w:hAnsi="Calibri"/>
          <w:b/>
          <w:bCs/>
          <w:i w:val="false"/>
          <w:iCs w:val="false"/>
          <w:color w:val="0A6ED1"/>
          <w:sz w:val="22"/>
          <w:szCs w:val="22"/>
        </w:rPr>
        <w:t xml:space="preserve">Elección del tipo de usuario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444"/>
        <w:gridCol w:w="1324"/>
        <w:gridCol w:w="6978"/>
      </w:tblGrid>
      <w:tr>
        <w:trPr>
          <w:cantSplit/>
          <w:tblHeader/>
        </w:trPr>
        <w:tc>
          <w:tcPr>
            <w:tcW w:type="dxa" w:w="14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3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Válido aquí</w:t>
            </w:r>
          </w:p>
        </w:tc>
        <w:tc>
          <w:tcPr>
            <w:tcW w:type="dxa" w:w="69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Permite autenticación por contraseña en llamadas HTTP/RFC, bloquea el acceso de diálogo y la contraseña no caduca — evitando que la interfaz se caiga sola a los 90 días</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Diálogo</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caducidad de contraseña interrumpiría el servicio; además concede acceso interactivo innecesario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Pensado para accesos anónimos o compartidos vía Internet, no para integración</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Comunicación</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válida si la política de la organización lo prefiere</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Nunca reutilizar un usuario de diálogo nominal para una interfaz.</w:t>
      </w:r>
      <w:r>
        <w:rPr>
          <w:rFonts w:ascii="Calibri" w:cs="Calibri" w:eastAsia="Calibri" w:hAnsi="Calibri"/>
          <w:b w:val="false"/>
          <w:bCs w:val="false"/>
          <w:i w:val="false"/>
          <w:iCs w:val="false"/>
          <w:color w:val="32363A"/>
          <w:sz w:val="19"/>
          <w:szCs w:val="19"/>
        </w:rPr>
        <w:t xml:space="preserve"> Rompe la trazabilidad y la interfaz deja de funcionar cuando esa persona cambia de rol o causa baja.</w:t>
      </w:r>
    </w:p>
    <w:p>
      <w:pPr>
        <w:pStyle w:val="Heading2"/>
      </w:pPr>
      <w:r>
        <w:rPr>
          <w:rFonts w:ascii="Calibri" w:cs="Calibri" w:eastAsia="Calibri" w:hAnsi="Calibri"/>
          <w:b/>
          <w:bCs/>
          <w:i w:val="false"/>
          <w:iCs w:val="false"/>
          <w:color w:val="0A6ED1"/>
          <w:sz w:val="26"/>
          <w:szCs w:val="26"/>
        </w:rPr>
        <w:t xml:space="preserve">7.3 Crear el rol de autorizaciones</w:t>
      </w:r>
    </w:p>
    <w:p>
      <w:pPr>
        <w:pStyle w:val="ListParagraph"/>
        <w:numPr>
          <w:ilvl w:val="0"/>
          <w:numId w:val="18"/>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`PFCG`</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30" w:before="30" w:line="268"/>
      </w:pPr>
      <w:r>
        <w:rPr>
          <w:rFonts w:ascii="Calibri" w:cs="Calibri" w:eastAsia="Calibri" w:hAnsi="Calibri"/>
          <w:b w:val="false"/>
          <w:bCs w:val="false"/>
          <w:i w:val="false"/>
          <w:iCs w:val="false"/>
          <w:color w:val="32363A"/>
          <w:sz w:val="20"/>
          <w:szCs w:val="20"/>
        </w:rPr>
        <w:t xml:space="preserve">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 rol individual</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30" w:before="30" w:line="268"/>
      </w:pPr>
      <w:r>
        <w:rPr>
          <w:rFonts w:ascii="Calibri" w:cs="Calibri" w:eastAsia="Calibri" w:hAnsi="Calibri"/>
          <w:b w:val="false"/>
          <w:bCs w:val="false"/>
          <w:i w:val="false"/>
          <w:iCs w:val="false"/>
          <w:color w:val="32363A"/>
          <w:sz w:val="20"/>
          <w:szCs w:val="20"/>
        </w:rPr>
        <w:t xml:space="preserve">Descripción: </w:t>
      </w:r>
      <w:r>
        <w:rPr>
          <w:rFonts w:ascii="Consolas" w:cs="Consolas" w:eastAsia="Consolas" w:hAnsi="Consolas"/>
          <w:color w:val="1D2D3E"/>
          <w:sz w:val="18"/>
          <w:szCs w:val="18"/>
          <w:shd w:fill="F4F6F8" w:val="clear"/>
        </w:rPr>
        <w:t xml:space="preserve">PoC - Consulta API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3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Autorizaciones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Modificar datos de autorización</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140" w:before="30" w:line="268"/>
      </w:pPr>
      <w:r>
        <w:rPr>
          <w:rFonts w:ascii="Calibri" w:cs="Calibri" w:eastAsia="Calibri" w:hAnsi="Calibri"/>
          <w:b w:val="false"/>
          <w:bCs w:val="false"/>
          <w:i w:val="false"/>
          <w:iCs w:val="false"/>
          <w:color w:val="32363A"/>
          <w:sz w:val="20"/>
          <w:szCs w:val="20"/>
        </w:rPr>
        <w:t xml:space="preserve">Añadir manualmente el objeto de autorización </w:t>
      </w:r>
      <w:r>
        <w:rPr>
          <w:rFonts w:ascii="Calibri" w:cs="Calibri" w:eastAsia="Calibri" w:hAnsi="Calibri"/>
          <w:b/>
          <w:bCs/>
          <w:i w:val="false"/>
          <w:iCs w:val="false"/>
          <w:color w:val="32363A"/>
          <w:sz w:val="20"/>
          <w:szCs w:val="20"/>
        </w:rPr>
        <w:t xml:space="preserve">`S_SERVICE`</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181"/>
        <w:gridCol w:w="8565"/>
      </w:tblGrid>
      <w:tr>
        <w:trPr>
          <w:cantSplit/>
          <w:tblHeader/>
        </w:trPr>
        <w:tc>
          <w:tcPr>
            <w:tcW w:type="dxa" w:w="11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856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1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SRV_NAME</w:t>
            </w:r>
          </w:p>
        </w:tc>
        <w:tc>
          <w:tcPr>
            <w:tcW w:type="dxa" w:w="85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Hash del servicio (lo calcula PFCG al añadir el servicio desde el menú)</w:t>
            </w:r>
          </w:p>
        </w:tc>
      </w:tr>
      <w:tr>
        <w:trPr>
          <w:cantSplit/>
          <w:tblHeader w:val="false"/>
        </w:trPr>
        <w:tc>
          <w:tcPr>
            <w:tcW w:type="dxa" w:w="11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SRV_TYPE</w:t>
            </w:r>
          </w:p>
        </w:tc>
        <w:tc>
          <w:tcPr>
            <w:tcW w:type="dxa" w:w="85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w:t>
            </w:r>
            <w:r>
              <w:rPr>
                <w:rFonts w:ascii="Calibri" w:cs="Calibri" w:eastAsia="Calibri" w:hAnsi="Calibri"/>
                <w:b w:val="false"/>
                <w:bCs w:val="false"/>
                <w:i w:val="false"/>
                <w:iCs w:val="false"/>
                <w:color w:val="32363A"/>
                <w:sz w:val="17"/>
                <w:szCs w:val="17"/>
              </w:rPr>
              <w:t xml:space="preserve"> (servicio ICF)</w:t>
            </w:r>
          </w:p>
        </w:tc>
      </w:tr>
    </w:tbl>
    <w:p>
      <w:pPr>
        <w:spacing w:after="200" w:before="0"/>
      </w:pPr>
      <w:r>
        <w:rPr>
          <w:sz w:val="2"/>
          <w:szCs w:val="2"/>
        </w:rPr>
        <w:t xml:space="preserve"/>
      </w:r>
    </w:p>
    <w:p>
      <w:pPr>
        <w:pStyle w:val="ListParagraph"/>
        <w:numPr>
          <w:ilvl w:val="0"/>
          <w:numId w:val="19"/>
        </w:numPr>
        <w:spacing w:after="30" w:before="60" w:line="268"/>
      </w:pPr>
      <w:r>
        <w:rPr>
          <w:rFonts w:ascii="Calibri" w:cs="Calibri" w:eastAsia="Calibri" w:hAnsi="Calibri"/>
          <w:b w:val="false"/>
          <w:bCs w:val="false"/>
          <w:i w:val="false"/>
          <w:iCs w:val="false"/>
          <w:color w:val="32363A"/>
          <w:sz w:val="20"/>
          <w:szCs w:val="20"/>
        </w:rPr>
        <w:t xml:space="preserve">Generar el perfil (icono de la varita) y grabar.</w:t>
      </w:r>
    </w:p>
    <w:p>
      <w:pPr>
        <w:pStyle w:val="ListParagraph"/>
        <w:numPr>
          <w:ilvl w:val="0"/>
          <w:numId w:val="19"/>
        </w:numPr>
        <w:spacing w:after="140" w:before="30" w:line="268"/>
      </w:pPr>
      <w:r>
        <w:rPr>
          <w:rFonts w:ascii="Calibri" w:cs="Calibri" w:eastAsia="Calibri" w:hAnsi="Calibri"/>
          <w:b w:val="false"/>
          <w:bCs w:val="false"/>
          <w:i w:val="false"/>
          <w:iCs w:val="false"/>
          <w:color w:val="32363A"/>
          <w:sz w:val="20"/>
          <w:szCs w:val="20"/>
        </w:rPr>
        <w:t xml:space="preserve">Asignar el rol a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en la pestaña </w:t>
      </w:r>
      <w:r>
        <w:rPr>
          <w:rFonts w:ascii="Consolas" w:cs="Consolas" w:eastAsia="Consolas" w:hAnsi="Consolas"/>
          <w:color w:val="1D2D3E"/>
          <w:sz w:val="18"/>
          <w:szCs w:val="18"/>
          <w:shd w:fill="F4F6F8" w:val="clear"/>
        </w:rPr>
        <w:t xml:space="preserve">Usuario</w:t>
      </w:r>
      <w:r>
        <w:rPr>
          <w:rFonts w:ascii="Calibri" w:cs="Calibri" w:eastAsia="Calibri" w:hAnsi="Calibri"/>
          <w:b w:val="false"/>
          <w:bCs w:val="false"/>
          <w:i w:val="false"/>
          <w:iCs w:val="false"/>
          <w:color w:val="32363A"/>
          <w:sz w:val="20"/>
          <w:szCs w:val="20"/>
        </w:rPr>
        <w:t xml:space="preserve"> y ejecutar la comparación de usuarios.</w:t>
      </w:r>
    </w:p>
    <w:p>
      <w:pPr>
        <w:pStyle w:val="Heading3"/>
      </w:pPr>
      <w:r>
        <w:rPr>
          <w:rFonts w:ascii="Calibri" w:cs="Calibri" w:eastAsia="Calibri" w:hAnsi="Calibri"/>
          <w:b/>
          <w:bCs/>
          <w:i w:val="false"/>
          <w:iCs w:val="false"/>
          <w:color w:val="0A6ED1"/>
          <w:sz w:val="22"/>
          <w:szCs w:val="22"/>
        </w:rPr>
        <w:t xml:space="preserve">Método fiable para completar el rol</w:t>
      </w:r>
    </w:p>
    <w:p>
      <w:pPr>
        <w:spacing w:after="140" w:before="60" w:line="276"/>
        <w:jc w:val="both"/>
      </w:pPr>
      <w:r>
        <w:rPr>
          <w:rFonts w:ascii="Calibri" w:cs="Calibri" w:eastAsia="Calibri" w:hAnsi="Calibri"/>
          <w:b w:val="false"/>
          <w:bCs w:val="false"/>
          <w:i w:val="false"/>
          <w:iCs w:val="false"/>
          <w:color w:val="32363A"/>
          <w:sz w:val="20"/>
          <w:szCs w:val="20"/>
        </w:rPr>
        <w:t xml:space="preserve">Determinar a mano el conjunto exacto de autorizaciones de un servicio OData es propenso a error. Procedimiento recomendado:</w:t>
      </w:r>
    </w:p>
    <w:p>
      <w:pPr>
        <w:pStyle w:val="ListParagraph"/>
        <w:numPr>
          <w:ilvl w:val="0"/>
          <w:numId w:val="20"/>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`STAUTHTRACE`</w:t>
      </w:r>
      <w:r>
        <w:rPr>
          <w:rFonts w:ascii="Calibri" w:cs="Calibri" w:eastAsia="Calibri" w:hAnsi="Calibri"/>
          <w:b w:val="false"/>
          <w:bCs w:val="false"/>
          <w:i w:val="false"/>
          <w:iCs w:val="false"/>
          <w:color w:val="32363A"/>
          <w:sz w:val="20"/>
          <w:szCs w:val="20"/>
        </w:rPr>
        <w:t xml:space="preserve"> → activar la traza filtrando por el 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w:t>
      </w:r>
    </w:p>
    <w:p>
      <w:pPr>
        <w:pStyle w:val="ListParagraph"/>
        <w:numPr>
          <w:ilvl w:val="0"/>
          <w:numId w:val="20"/>
        </w:numPr>
        <w:spacing w:after="30" w:before="30" w:line="268"/>
      </w:pPr>
      <w:r>
        <w:rPr>
          <w:rFonts w:ascii="Calibri" w:cs="Calibri" w:eastAsia="Calibri" w:hAnsi="Calibri"/>
          <w:b w:val="false"/>
          <w:bCs w:val="false"/>
          <w:i w:val="false"/>
          <w:iCs w:val="false"/>
          <w:color w:val="32363A"/>
          <w:sz w:val="20"/>
          <w:szCs w:val="20"/>
        </w:rPr>
        <w:t xml:space="preserve">Lanzar la llamada desde Postman (§7.5). Fallará con </w:t>
      </w:r>
      <w:r>
        <w:rPr>
          <w:rFonts w:ascii="Calibri" w:cs="Calibri" w:eastAsia="Calibri" w:hAnsi="Calibri"/>
          <w:b/>
          <w:bCs/>
          <w:i w:val="false"/>
          <w:iCs w:val="false"/>
          <w:color w:val="32363A"/>
          <w:sz w:val="20"/>
          <w:szCs w:val="20"/>
        </w:rPr>
        <w:t xml:space="preserve">403</w:t>
      </w:r>
      <w:r>
        <w:rPr>
          <w:rFonts w:ascii="Calibri" w:cs="Calibri" w:eastAsia="Calibri" w:hAnsi="Calibri"/>
          <w:b w:val="false"/>
          <w:bCs w:val="false"/>
          <w:i w:val="false"/>
          <w:iCs w:val="false"/>
          <w:color w:val="32363A"/>
          <w:sz w:val="20"/>
          <w:szCs w:val="20"/>
        </w:rPr>
        <w:t xml:space="preserve">.</w:t>
      </w:r>
    </w:p>
    <w:p>
      <w:pPr>
        <w:pStyle w:val="ListParagraph"/>
        <w:numPr>
          <w:ilvl w:val="0"/>
          <w:numId w:val="20"/>
        </w:numPr>
        <w:spacing w:after="30" w:before="30" w:line="268"/>
      </w:pPr>
      <w:r>
        <w:rPr>
          <w:rFonts w:ascii="Calibri" w:cs="Calibri" w:eastAsia="Calibri" w:hAnsi="Calibri"/>
          <w:b w:val="false"/>
          <w:bCs w:val="false"/>
          <w:i w:val="false"/>
          <w:iCs w:val="false"/>
          <w:color w:val="32363A"/>
          <w:sz w:val="20"/>
          <w:szCs w:val="20"/>
        </w:rPr>
        <w:t xml:space="preserve">Desactivar la traza y revisar los objetos de autorización con resultado negativo (</w:t>
      </w:r>
      <w:r>
        <w:rPr>
          <w:rFonts w:ascii="Consolas" w:cs="Consolas" w:eastAsia="Consolas" w:hAnsi="Consolas"/>
          <w:color w:val="1D2D3E"/>
          <w:sz w:val="18"/>
          <w:szCs w:val="18"/>
          <w:shd w:fill="F4F6F8" w:val="clear"/>
        </w:rPr>
        <w:t xml:space="preserve">RC ≠ 0</w:t>
      </w:r>
      <w:r>
        <w:rPr>
          <w:rFonts w:ascii="Calibri" w:cs="Calibri" w:eastAsia="Calibri" w:hAnsi="Calibri"/>
          <w:b w:val="false"/>
          <w:bCs w:val="false"/>
          <w:i w:val="false"/>
          <w:iCs w:val="false"/>
          <w:color w:val="32363A"/>
          <w:sz w:val="20"/>
          <w:szCs w:val="20"/>
        </w:rPr>
        <w:t xml:space="preserve">).</w:t>
      </w:r>
    </w:p>
    <w:p>
      <w:pPr>
        <w:pStyle w:val="ListParagraph"/>
        <w:numPr>
          <w:ilvl w:val="0"/>
          <w:numId w:val="20"/>
        </w:numPr>
        <w:spacing w:after="140" w:before="30" w:line="268"/>
      </w:pPr>
      <w:r>
        <w:rPr>
          <w:rFonts w:ascii="Calibri" w:cs="Calibri" w:eastAsia="Calibri" w:hAnsi="Calibri"/>
          <w:b w:val="false"/>
          <w:bCs w:val="false"/>
          <w:i w:val="false"/>
          <w:iCs w:val="false"/>
          <w:color w:val="32363A"/>
          <w:sz w:val="20"/>
          <w:szCs w:val="20"/>
        </w:rPr>
        <w:t xml:space="preserve">Incorporarlos al rol, regenerar y repetir hasta obtener </w:t>
      </w:r>
      <w:r>
        <w:rPr>
          <w:rFonts w:ascii="Calibri" w:cs="Calibri" w:eastAsia="Calibri" w:hAnsi="Calibri"/>
          <w:b/>
          <w:bCs/>
          <w:i w:val="false"/>
          <w:iCs w:val="false"/>
          <w:color w:val="32363A"/>
          <w:sz w:val="20"/>
          <w:szCs w:val="20"/>
        </w:rPr>
        <w:t xml:space="preserve">200</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Alternativa para diagnósticos puntuales: </w:t>
      </w:r>
      <w:r>
        <w:rPr>
          <w:rFonts w:ascii="Calibri" w:cs="Calibri" w:eastAsia="Calibri" w:hAnsi="Calibri"/>
          <w:b/>
          <w:bCs/>
          <w:i w:val="false"/>
          <w:iCs w:val="false"/>
          <w:color w:val="32363A"/>
          <w:sz w:val="20"/>
          <w:szCs w:val="20"/>
        </w:rPr>
        <w:t xml:space="preserve">`SU53`</w:t>
      </w:r>
      <w:r>
        <w:rPr>
          <w:rFonts w:ascii="Calibri" w:cs="Calibri" w:eastAsia="Calibri" w:hAnsi="Calibri"/>
          <w:b w:val="false"/>
          <w:bCs w:val="false"/>
          <w:i w:val="false"/>
          <w:iCs w:val="false"/>
          <w:color w:val="32363A"/>
          <w:sz w:val="20"/>
          <w:szCs w:val="20"/>
        </w:rPr>
        <w:t xml:space="preserve"> inmediatamente después del fallo, que muestra la última comprobación de autorización fallida.</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Como la vista CDS lleva </w:t>
      </w:r>
      <w:r>
        <w:rPr>
          <w:rFonts w:ascii="Consolas" w:cs="Consolas" w:eastAsia="Consolas" w:hAnsi="Consolas"/>
          <w:color w:val="1D2D3E"/>
          <w:sz w:val="17"/>
          <w:szCs w:val="17"/>
          <w:shd w:fill="F4F6F8" w:val="clear"/>
        </w:rPr>
        <w:t xml:space="preserve">@AccessControl.authorizationCheck: #NOT_REQUIRED</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no se evalúa ningún rol DCL</w:t>
      </w:r>
      <w:r>
        <w:rPr>
          <w:rFonts w:ascii="Calibri" w:cs="Calibri" w:eastAsia="Calibri" w:hAnsi="Calibri"/>
          <w:b w:val="false"/>
          <w:bCs w:val="false"/>
          <w:i w:val="false"/>
          <w:iCs w:val="false"/>
          <w:color w:val="32363A"/>
          <w:sz w:val="19"/>
          <w:szCs w:val="19"/>
        </w:rPr>
        <w:t xml:space="preserve">: el usuario técnico ve la totalidad de los clientes. Es aceptable en una PoC y </w:t>
      </w:r>
      <w:r>
        <w:rPr>
          <w:rFonts w:ascii="Calibri" w:cs="Calibri" w:eastAsia="Calibri" w:hAnsi="Calibri"/>
          <w:b/>
          <w:bCs/>
          <w:i w:val="false"/>
          <w:iCs w:val="false"/>
          <w:color w:val="32363A"/>
          <w:sz w:val="19"/>
          <w:szCs w:val="19"/>
        </w:rPr>
        <w:t xml:space="preserve">no lo es en productivo</w:t>
      </w:r>
      <w:r>
        <w:rPr>
          <w:rFonts w:ascii="Calibri" w:cs="Calibri" w:eastAsia="Calibri" w:hAnsi="Calibri"/>
          <w:b w:val="false"/>
          <w:bCs w:val="false"/>
          <w:i w:val="false"/>
          <w:iCs w:val="false"/>
          <w:color w:val="32363A"/>
          <w:sz w:val="19"/>
          <w:szCs w:val="19"/>
        </w:rPr>
        <w:t xml:space="preserve">. Ver §12.2.</w:t>
      </w:r>
    </w:p>
    <w:p>
      <w:pPr>
        <w:pStyle w:val="Heading2"/>
      </w:pPr>
      <w:r>
        <w:rPr>
          <w:rFonts w:ascii="Calibri" w:cs="Calibri" w:eastAsia="Calibri" w:hAnsi="Calibri"/>
          <w:b/>
          <w:bCs/>
          <w:i w:val="false"/>
          <w:iCs w:val="false"/>
          <w:color w:val="0A6ED1"/>
          <w:sz w:val="26"/>
          <w:szCs w:val="26"/>
        </w:rPr>
        <w:t xml:space="preserve">7.4 Verificar el registro del servicio (opcional)</w:t>
      </w:r>
    </w:p>
    <w:p>
      <w:pPr>
        <w:pStyle w:val="ListParagraph"/>
        <w:numPr>
          <w:ilvl w:val="0"/>
          <w:numId w:val="21"/>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`/IWFND/V4_ADMIN`</w:t>
      </w:r>
      <w:r>
        <w:rPr>
          <w:rFonts w:ascii="Calibri" w:cs="Calibri" w:eastAsia="Calibri" w:hAnsi="Calibri"/>
          <w:b w:val="false"/>
          <w:bCs w:val="false"/>
          <w:i w:val="false"/>
          <w:iCs w:val="false"/>
          <w:color w:val="32363A"/>
          <w:sz w:val="20"/>
          <w:szCs w:val="20"/>
        </w:rPr>
        <w:t xml:space="preserve">.</w:t>
      </w:r>
    </w:p>
    <w:p>
      <w:pPr>
        <w:pStyle w:val="ListParagraph"/>
        <w:numPr>
          <w:ilvl w:val="0"/>
          <w:numId w:val="21"/>
        </w:numPr>
        <w:spacing w:after="140" w:before="30" w:line="268"/>
      </w:pPr>
      <w:r>
        <w:rPr>
          <w:rFonts w:ascii="Calibri" w:cs="Calibri" w:eastAsia="Calibri" w:hAnsi="Calibri"/>
          <w:b w:val="false"/>
          <w:bCs w:val="false"/>
          <w:i w:val="false"/>
          <w:iCs w:val="false"/>
          <w:color w:val="32363A"/>
          <w:sz w:val="20"/>
          <w:szCs w:val="20"/>
        </w:rPr>
        <w:t xml:space="preserve">Localizar el grupo de servicios correspondiente a </w:t>
      </w:r>
      <w:r>
        <w:rPr>
          <w:rFonts w:ascii="Consolas" w:cs="Consolas" w:eastAsia="Consolas" w:hAnsi="Consolas"/>
          <w:color w:val="1D2D3E"/>
          <w:sz w:val="18"/>
          <w:szCs w:val="18"/>
          <w:shd w:fill="F4F6F8" w:val="clear"/>
        </w:rPr>
        <w:t xml:space="preserve">ZAPI_CUSTOMERBASIC_O4</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En despliegue </w:t>
      </w:r>
      <w:r>
        <w:rPr>
          <w:rFonts w:ascii="Calibri" w:cs="Calibri" w:eastAsia="Calibri" w:hAnsi="Calibri"/>
          <w:b w:val="false"/>
          <w:bCs w:val="false"/>
          <w:i/>
          <w:iCs/>
          <w:color w:val="32363A"/>
          <w:sz w:val="20"/>
          <w:szCs w:val="20"/>
        </w:rPr>
        <w:t xml:space="preserve">embedded</w:t>
      </w:r>
      <w:r>
        <w:rPr>
          <w:rFonts w:ascii="Calibri" w:cs="Calibri" w:eastAsia="Calibri" w:hAnsi="Calibri"/>
          <w:b w:val="false"/>
          <w:bCs w:val="false"/>
          <w:i w:val="false"/>
          <w:iCs w:val="false"/>
          <w:color w:val="32363A"/>
          <w:sz w:val="20"/>
          <w:szCs w:val="20"/>
        </w:rPr>
        <w:t xml:space="preserve"> —el habitual en S/4HANA— la publicación desde ADT registra el servicio automáticamente y esta transacción solo sirve de verificación. Es necesaria en escenarios </w:t>
      </w:r>
      <w:r>
        <w:rPr>
          <w:rFonts w:ascii="Calibri" w:cs="Calibri" w:eastAsia="Calibri" w:hAnsi="Calibri"/>
          <w:b w:val="false"/>
          <w:bCs w:val="false"/>
          <w:i/>
          <w:iCs/>
          <w:color w:val="32363A"/>
          <w:sz w:val="20"/>
          <w:szCs w:val="20"/>
        </w:rPr>
        <w:t xml:space="preserve">hub</w:t>
      </w:r>
      <w:r>
        <w:rPr>
          <w:rFonts w:ascii="Calibri" w:cs="Calibri" w:eastAsia="Calibri" w:hAnsi="Calibri"/>
          <w:b w:val="false"/>
          <w:bCs w:val="false"/>
          <w:i w:val="false"/>
          <w:iCs w:val="false"/>
          <w:color w:val="32363A"/>
          <w:sz w:val="20"/>
          <w:szCs w:val="20"/>
        </w:rPr>
        <w:t xml:space="preserve"> con Gateway independiente.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/IWFND/MAINT_SERVICE</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no aplica</w:t>
      </w:r>
      <w:r>
        <w:rPr>
          <w:rFonts w:ascii="Calibri" w:cs="Calibri" w:eastAsia="Calibri" w:hAnsi="Calibri"/>
          <w:b w:val="false"/>
          <w:bCs w:val="false"/>
          <w:i w:val="false"/>
          <w:iCs w:val="false"/>
          <w:color w:val="32363A"/>
          <w:sz w:val="19"/>
          <w:szCs w:val="19"/>
        </w:rPr>
        <w:t xml:space="preserve">: esa transacción gestiona exclusivamente servicios OData </w:t>
      </w:r>
      <w:r>
        <w:rPr>
          <w:rFonts w:ascii="Calibri" w:cs="Calibri" w:eastAsia="Calibri" w:hAnsi="Calibri"/>
          <w:b/>
          <w:bCs/>
          <w:i w:val="false"/>
          <w:iCs w:val="false"/>
          <w:color w:val="32363A"/>
          <w:sz w:val="19"/>
          <w:szCs w:val="19"/>
        </w:rPr>
        <w:t xml:space="preserve">V2</w:t>
      </w:r>
      <w:r>
        <w:rPr>
          <w:rFonts w:ascii="Calibri" w:cs="Calibri" w:eastAsia="Calibri" w:hAnsi="Calibri"/>
          <w:b w:val="false"/>
          <w:bCs w:val="false"/>
          <w:i w:val="false"/>
          <w:iCs w:val="false"/>
          <w:color w:val="32363A"/>
          <w:sz w:val="19"/>
          <w:szCs w:val="19"/>
        </w:rPr>
        <w:t xml:space="preserve">. El servicio de esta PoC no aparecerá en ella.</w:t>
      </w:r>
    </w:p>
    <w:p>
      <w:pPr>
        <w:pStyle w:val="Heading2"/>
      </w:pPr>
      <w:r>
        <w:rPr>
          <w:rFonts w:ascii="Calibri" w:cs="Calibri" w:eastAsia="Calibri" w:hAnsi="Calibri"/>
          <w:b/>
          <w:bCs/>
          <w:i w:val="false"/>
          <w:iCs w:val="false"/>
          <w:color w:val="0A6ED1"/>
          <w:sz w:val="26"/>
          <w:szCs w:val="26"/>
        </w:rPr>
        <w:t xml:space="preserve">7.5 Validación F2 — Postman contra el backend</w:t>
      </w:r>
    </w:p>
    <w:p>
      <w:pPr>
        <w:spacing w:after="140" w:before="60" w:line="276"/>
        <w:jc w:val="both"/>
      </w:pPr>
      <w:r>
        <w:rPr>
          <w:rFonts w:ascii="Calibri" w:cs="Calibri" w:eastAsia="Calibri" w:hAnsi="Calibri"/>
          <w:b w:val="false"/>
          <w:bCs w:val="false"/>
          <w:i w:val="false"/>
          <w:iCs w:val="false"/>
          <w:color w:val="32363A"/>
          <w:sz w:val="20"/>
          <w:szCs w:val="20"/>
        </w:rPr>
        <w:t xml:space="preserve">Prueba ejecutada </w:t>
      </w:r>
      <w:r>
        <w:rPr>
          <w:rFonts w:ascii="Calibri" w:cs="Calibri" w:eastAsia="Calibri" w:hAnsi="Calibri"/>
          <w:b/>
          <w:bCs/>
          <w:i w:val="false"/>
          <w:iCs w:val="false"/>
          <w:color w:val="32363A"/>
          <w:sz w:val="20"/>
          <w:szCs w:val="20"/>
        </w:rPr>
        <w:t xml:space="preserve">desde dentro de la red corporativa</w:t>
      </w:r>
      <w:r>
        <w:rPr>
          <w:rFonts w:ascii="Calibri" w:cs="Calibri" w:eastAsia="Calibri" w:hAnsi="Calibri"/>
          <w:b w:val="false"/>
          <w:bCs w:val="false"/>
          <w:i w:val="false"/>
          <w:iCs w:val="false"/>
          <w:color w:val="32363A"/>
          <w:sz w:val="20"/>
          <w:szCs w:val="20"/>
        </w:rPr>
        <w:t xml:space="preserve">, apuntando directamente al servidor S/4HANA sin BTP de por medio. Aísla el servicio ABAP del resto de la cadena.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https://&lt;host_s4hana&gt;:&lt;puerto&gt;/sap/opu/odata4/sap/zapi_customerbasic_o4/srvd_a2x/sap/zapi_customerbasic/0001/$metadata?sap-client=100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Authorization: Basic &lt;base64(POC_API_USER:contraseña)&gt;</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149"/>
        <w:gridCol w:w="5597"/>
      </w:tblGrid>
      <w:tr>
        <w:trPr>
          <w:cantSplit/>
          <w:tblHeader/>
        </w:trPr>
        <w:tc>
          <w:tcPr>
            <w:tcW w:type="dxa" w:w="41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55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41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200</w:t>
            </w:r>
            <w:r>
              <w:rPr>
                <w:rFonts w:ascii="Calibri" w:cs="Calibri" w:eastAsia="Calibri" w:hAnsi="Calibri"/>
                <w:b w:val="false"/>
                <w:bCs w:val="false"/>
                <w:i w:val="false"/>
                <w:iCs w:val="false"/>
                <w:color w:val="32363A"/>
                <w:sz w:val="17"/>
                <w:szCs w:val="17"/>
              </w:rPr>
              <w:t xml:space="preserve"> + XML EDMX con la entidad </w:t>
            </w:r>
            <w:r>
              <w:rPr>
                <w:rFonts w:ascii="Consolas" w:cs="Consolas" w:eastAsia="Consolas" w:hAnsi="Consolas"/>
                <w:color w:val="1D2D3E"/>
                <w:sz w:val="15"/>
                <w:szCs w:val="15"/>
                <w:shd w:fill="F4F6F8" w:val="clear"/>
              </w:rPr>
              <w:t xml:space="preserve">CustomerBasic</w:t>
            </w:r>
          </w:p>
        </w:tc>
        <w:tc>
          <w:tcPr>
            <w:tcW w:type="dxa" w:w="55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 Continuar a §8</w:t>
            </w:r>
          </w:p>
        </w:tc>
      </w:tr>
      <w:tr>
        <w:trPr>
          <w:cantSplit/>
          <w:tblHeader w:val="false"/>
        </w:trPr>
        <w:tc>
          <w:tcPr>
            <w:tcW w:type="dxa" w:w="4149"/>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404</w:t>
            </w:r>
          </w:p>
        </w:tc>
        <w:tc>
          <w:tcPr>
            <w:tcW w:type="dxa" w:w="55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(§7.1), o Service Binding sin publicar (§6.7)</w:t>
            </w:r>
          </w:p>
        </w:tc>
      </w:tr>
      <w:tr>
        <w:trPr>
          <w:cantSplit/>
          <w:tblHeader w:val="false"/>
        </w:trPr>
        <w:tc>
          <w:tcPr>
            <w:tcW w:type="dxa" w:w="41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401</w:t>
            </w:r>
          </w:p>
        </w:tc>
        <w:tc>
          <w:tcPr>
            <w:tcW w:type="dxa" w:w="55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o usuario bloqueado / contraseña inicial sin cambiar</w:t>
            </w:r>
          </w:p>
        </w:tc>
      </w:tr>
      <w:tr>
        <w:trPr>
          <w:cantSplit/>
          <w:tblHeader w:val="false"/>
        </w:trPr>
        <w:tc>
          <w:tcPr>
            <w:tcW w:type="dxa" w:w="4149"/>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403</w:t>
            </w:r>
          </w:p>
        </w:tc>
        <w:tc>
          <w:tcPr>
            <w:tcW w:type="dxa" w:w="55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Aplicar §7.3</w:t>
            </w:r>
          </w:p>
        </w:tc>
      </w:tr>
      <w:tr>
        <w:trPr>
          <w:cantSplit/>
          <w:tblHeader w:val="false"/>
        </w:trPr>
        <w:tc>
          <w:tcPr>
            <w:tcW w:type="dxa" w:w="41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500</w:t>
            </w:r>
          </w:p>
        </w:tc>
        <w:tc>
          <w:tcPr>
            <w:tcW w:type="dxa" w:w="55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activación en los objetos CDS. Reactivar en ADT y revisar el log</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No avanzar a §8 sin obtener un 200 en esta prueba.</w:t>
      </w:r>
    </w:p>
    <w:p>
      <w:pPr>
        <w:pStyle w:val="Heading1"/>
        <w:pageBreakBefore/>
      </w:pPr>
      <w:r>
        <w:rPr>
          <w:rFonts w:ascii="Calibri" w:cs="Calibri" w:eastAsia="Calibri" w:hAnsi="Calibri"/>
          <w:b/>
          <w:bCs/>
          <w:i w:val="false"/>
          <w:iCs w:val="false"/>
          <w:color w:val="1D2D3E"/>
          <w:sz w:val="34"/>
          <w:szCs w:val="34"/>
        </w:rPr>
        <w:t xml:space="preserve">8. Paso a paso — SAP Cloud Connector</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8.1 Acceso a la administración</w:t>
      </w:r>
    </w:p>
    <w:p>
      <w:pPr>
        <w:pStyle w:val="ListParagraph"/>
        <w:numPr>
          <w:ilvl w:val="0"/>
          <w:numId w:val="22"/>
        </w:numPr>
        <w:spacing w:after="30" w:before="60" w:line="268"/>
      </w:pPr>
      <w:r>
        <w:rPr>
          <w:rFonts w:ascii="Calibri" w:cs="Calibri" w:eastAsia="Calibri" w:hAnsi="Calibri"/>
          <w:b w:val="false"/>
          <w:bCs w:val="false"/>
          <w:i w:val="false"/>
          <w:iCs w:val="false"/>
          <w:color w:val="32363A"/>
          <w:sz w:val="20"/>
          <w:szCs w:val="20"/>
        </w:rPr>
        <w:t xml:space="preserve">Abrir </w:t>
      </w:r>
      <w:r>
        <w:rPr>
          <w:rFonts w:ascii="Consolas" w:cs="Consolas" w:eastAsia="Consolas" w:hAnsi="Consolas"/>
          <w:color w:val="1D2D3E"/>
          <w:sz w:val="18"/>
          <w:szCs w:val="18"/>
          <w:shd w:fill="F4F6F8" w:val="clear"/>
        </w:rPr>
        <w:t xml:space="preserve">https://&lt;host_cloud_connector&gt;:8443</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140" w:before="30" w:line="268"/>
      </w:pPr>
      <w:r>
        <w:rPr>
          <w:rFonts w:ascii="Calibri" w:cs="Calibri" w:eastAsia="Calibri" w:hAnsi="Calibri"/>
          <w:b w:val="false"/>
          <w:bCs w:val="false"/>
          <w:i w:val="false"/>
          <w:iCs w:val="false"/>
          <w:color w:val="32363A"/>
          <w:sz w:val="20"/>
          <w:szCs w:val="20"/>
        </w:rPr>
        <w:t xml:space="preserve">Autenticarse. En una instalación recién desplegada, las credenciales iniciales son </w:t>
      </w:r>
      <w:r>
        <w:rPr>
          <w:rFonts w:ascii="Consolas" w:cs="Consolas" w:eastAsia="Consolas" w:hAnsi="Consolas"/>
          <w:color w:val="1D2D3E"/>
          <w:sz w:val="18"/>
          <w:szCs w:val="18"/>
          <w:shd w:fill="F4F6F8" w:val="clear"/>
        </w:rPr>
        <w:t xml:space="preserve">Administrator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manage</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bCs/>
          <w:i w:val="false"/>
          <w:iCs w:val="false"/>
          <w:color w:val="32363A"/>
          <w:sz w:val="20"/>
          <w:szCs w:val="20"/>
        </w:rPr>
        <w:t xml:space="preserve">el sistema obliga a cambiarlas en el primer acceso</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8.2 Conexión C3 — Registrar la subaccount de BTP</w:t>
      </w:r>
    </w:p>
    <w:p>
      <w:pPr>
        <w:spacing w:after="140" w:before="60" w:line="276"/>
        <w:jc w:val="both"/>
      </w:pPr>
      <w:r>
        <w:rPr>
          <w:rFonts w:ascii="Calibri" w:cs="Calibri" w:eastAsia="Calibri" w:hAnsi="Calibri"/>
          <w:b w:val="false"/>
          <w:bCs w:val="false"/>
          <w:i w:val="false"/>
          <w:iCs w:val="false"/>
          <w:color w:val="32363A"/>
          <w:sz w:val="20"/>
          <w:szCs w:val="20"/>
        </w:rPr>
        <w:t xml:space="preserve">Previamente, obtener del BTP Cockpit: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 → campos </w:t>
      </w:r>
      <w:r>
        <w:rPr>
          <w:rFonts w:ascii="Calibri" w:cs="Calibri" w:eastAsia="Calibri" w:hAnsi="Calibri"/>
          <w:b/>
          <w:bCs/>
          <w:i w:val="false"/>
          <w:iCs w:val="false"/>
          <w:color w:val="32363A"/>
          <w:sz w:val="20"/>
          <w:szCs w:val="20"/>
        </w:rPr>
        <w:t xml:space="preserve">Subaccount ID</w:t>
      </w:r>
      <w:r>
        <w:rPr>
          <w:rFonts w:ascii="Calibri" w:cs="Calibri" w:eastAsia="Calibri" w:hAnsi="Calibri"/>
          <w:b w:val="false"/>
          <w:bCs w:val="false"/>
          <w:i w:val="false"/>
          <w:iCs w:val="false"/>
          <w:color w:val="32363A"/>
          <w:sz w:val="20"/>
          <w:szCs w:val="20"/>
        </w:rPr>
        <w:t xml:space="preserve"> (un UUID, no el nombre visible) y </w:t>
      </w:r>
      <w:r>
        <w:rPr>
          <w:rFonts w:ascii="Calibri" w:cs="Calibri" w:eastAsia="Calibri" w:hAnsi="Calibri"/>
          <w:b/>
          <w:bCs/>
          <w:i w:val="false"/>
          <w:iCs w:val="false"/>
          <w:color w:val="32363A"/>
          <w:sz w:val="20"/>
          <w:szCs w:val="20"/>
        </w:rPr>
        <w:t xml:space="preserve">Region</w:t>
      </w:r>
      <w:r>
        <w:rPr>
          <w:rFonts w:ascii="Calibri" w:cs="Calibri" w:eastAsia="Calibri" w:hAnsi="Calibri"/>
          <w:b w:val="false"/>
          <w:bCs w:val="false"/>
          <w:i w:val="false"/>
          <w:iCs w:val="false"/>
          <w:color w:val="32363A"/>
          <w:sz w:val="20"/>
          <w:szCs w:val="20"/>
        </w:rPr>
        <w:t xml:space="preserve">.</w:t>
      </w:r>
    </w:p>
    <w:p>
      <w:pPr>
        <w:pStyle w:val="ListParagraph"/>
        <w:numPr>
          <w:ilvl w:val="0"/>
          <w:numId w:val="23"/>
        </w:numPr>
        <w:spacing w:after="30" w:before="60" w:line="268"/>
      </w:pPr>
      <w:r>
        <w:rPr>
          <w:rFonts w:ascii="Calibri" w:cs="Calibri" w:eastAsia="Calibri" w:hAnsi="Calibri"/>
          <w:b w:val="false"/>
          <w:bCs w:val="false"/>
          <w:i w:val="false"/>
          <w:iCs w:val="false"/>
          <w:color w:val="32363A"/>
          <w:sz w:val="20"/>
          <w:szCs w:val="20"/>
        </w:rPr>
        <w:t xml:space="preserve">En el menú lateral: </w:t>
      </w:r>
      <w:r>
        <w:rPr>
          <w:rFonts w:ascii="Consolas" w:cs="Consolas" w:eastAsia="Consolas" w:hAnsi="Consolas"/>
          <w:color w:val="1D2D3E"/>
          <w:sz w:val="18"/>
          <w:szCs w:val="18"/>
          <w:shd w:fill="F4F6F8" w:val="clear"/>
        </w:rPr>
        <w:t xml:space="preserve">Connector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Subaccounts</w:t>
      </w:r>
      <w:r>
        <w:rPr>
          <w:rFonts w:ascii="Calibri" w:cs="Calibri" w:eastAsia="Calibri" w:hAnsi="Calibri"/>
          <w:b w:val="false"/>
          <w:bCs w:val="false"/>
          <w:i w:val="false"/>
          <w:iCs w:val="false"/>
          <w:color w:val="32363A"/>
          <w:sz w:val="20"/>
          <w:szCs w:val="20"/>
        </w:rPr>
        <w:t xml:space="preserve"> → botón </w:t>
      </w:r>
      <w:r>
        <w:rPr>
          <w:rFonts w:ascii="Consolas" w:cs="Consolas" w:eastAsia="Consolas" w:hAnsi="Consolas"/>
          <w:color w:val="1D2D3E"/>
          <w:sz w:val="18"/>
          <w:szCs w:val="18"/>
          <w:shd w:fill="F4F6F8" w:val="clear"/>
        </w:rPr>
        <w:t xml:space="preserve">Add Subaccount</w:t>
      </w:r>
      <w:r>
        <w:rPr>
          <w:rFonts w:ascii="Calibri" w:cs="Calibri" w:eastAsia="Calibri" w:hAnsi="Calibri"/>
          <w:b w:val="false"/>
          <w:bCs w:val="false"/>
          <w:i w:val="false"/>
          <w:iCs w:val="false"/>
          <w:color w:val="32363A"/>
          <w:sz w:val="20"/>
          <w:szCs w:val="20"/>
        </w:rPr>
        <w:t xml:space="preserve">.</w:t>
      </w:r>
    </w:p>
    <w:p>
      <w:pPr>
        <w:pStyle w:val="ListParagraph"/>
        <w:numPr>
          <w:ilvl w:val="0"/>
          <w:numId w:val="23"/>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060"/>
        <w:gridCol w:w="3090"/>
        <w:gridCol w:w="4596"/>
      </w:tblGrid>
      <w:tr>
        <w:trPr>
          <w:cantSplit/>
          <w:tblHeader/>
        </w:trPr>
        <w:tc>
          <w:tcPr>
            <w:tcW w:type="dxa" w:w="20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30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45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Nota</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Region</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 la subaccount, p. ej. </w:t>
            </w:r>
            <w:r>
              <w:rPr>
                <w:rFonts w:ascii="Consolas" w:cs="Consolas" w:eastAsia="Consolas" w:hAnsi="Consolas"/>
                <w:color w:val="1D2D3E"/>
                <w:sz w:val="15"/>
                <w:szCs w:val="15"/>
                <w:shd w:fill="F4F6F8" w:val="clear"/>
              </w:rPr>
              <w:t xml:space="preserve">eu10</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Debe coincidir exactamente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UUID de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el nombre visible</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Display Name</w:t>
            </w:r>
          </w:p>
        </w:tc>
        <w:tc>
          <w:tcPr>
            <w:tcW w:type="dxa" w:w="309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S4H-PoC-API</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Etiqueta libre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User / Password</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con permisos sobre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Admite también token de autenticación</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necesario si hay varios Cloud Connectors sobre la misma subaccount</w:t>
            </w:r>
          </w:p>
        </w:tc>
      </w:tr>
    </w:tbl>
    <w:p>
      <w:pPr>
        <w:spacing w:after="200" w:before="0"/>
      </w:pPr>
      <w:r>
        <w:rPr>
          <w:sz w:val="2"/>
          <w:szCs w:val="2"/>
        </w:rPr>
        <w:t xml:space="preserve"/>
      </w:r>
    </w:p>
    <w:p>
      <w:pPr>
        <w:pStyle w:val="ListParagraph"/>
        <w:numPr>
          <w:ilvl w:val="0"/>
          <w:numId w:val="24"/>
        </w:numPr>
        <w:spacing w:after="140" w:before="60" w:line="268"/>
      </w:pPr>
      <w:r>
        <w:rPr>
          <w:rFonts w:ascii="Calibri" w:cs="Calibri" w:eastAsia="Calibri" w:hAnsi="Calibri"/>
          <w:b w:val="false"/>
          <w:bCs w:val="false"/>
          <w:i w:val="false"/>
          <w:iCs w:val="false"/>
          <w:color w:val="32363A"/>
          <w:sz w:val="20"/>
          <w:szCs w:val="20"/>
        </w:rPr>
        <w:t xml:space="preserve">Guardar y verificar que el estado del túnel figura como </w:t>
      </w:r>
      <w:r>
        <w:rPr>
          <w:rFonts w:ascii="Calibri" w:cs="Calibri" w:eastAsia="Calibri" w:hAnsi="Calibri"/>
          <w:b/>
          <w:bCs/>
          <w:i w:val="false"/>
          <w:iCs w:val="false"/>
          <w:color w:val="32363A"/>
          <w:sz w:val="20"/>
          <w:szCs w:val="20"/>
        </w:rPr>
        <w:t xml:space="preserve">`Connected`</w:t>
      </w:r>
      <w:r>
        <w:rPr>
          <w:rFonts w:ascii="Calibri" w:cs="Calibri" w:eastAsia="Calibri" w:hAnsi="Calibri"/>
          <w:b w:val="false"/>
          <w:bCs w:val="false"/>
          <w:i w:val="false"/>
          <w:iCs w:val="false"/>
          <w:color w:val="32363A"/>
          <w:sz w:val="20"/>
          <w:szCs w:val="20"/>
        </w:rPr>
        <w:t xml:space="preserve"> en verde.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túnel lo abre </w:t>
      </w:r>
      <w:r>
        <w:rPr>
          <w:rFonts w:ascii="Calibri" w:cs="Calibri" w:eastAsia="Calibri" w:hAnsi="Calibri"/>
          <w:b/>
          <w:bCs/>
          <w:i w:val="false"/>
          <w:iCs w:val="false"/>
          <w:color w:val="32363A"/>
          <w:sz w:val="19"/>
          <w:szCs w:val="19"/>
        </w:rPr>
        <w:t xml:space="preserve">siempre el Cloud Connector hacia BTP</w:t>
      </w:r>
      <w:r>
        <w:rPr>
          <w:rFonts w:ascii="Calibri" w:cs="Calibri" w:eastAsia="Calibri" w:hAnsi="Calibri"/>
          <w:b w:val="false"/>
          <w:bCs w:val="false"/>
          <w:i w:val="false"/>
          <w:iCs w:val="false"/>
          <w:color w:val="32363A"/>
          <w:sz w:val="19"/>
          <w:szCs w:val="19"/>
        </w:rPr>
        <w:t xml:space="preserve">, mediante una conexión saliente. No se requiere ninguna regla de entrada en el firewall corporativo, argumento habitualmente decisivo en la validación con el área de Seguridad.</w:t>
      </w:r>
    </w:p>
    <w:p>
      <w:pPr>
        <w:pStyle w:val="Heading2"/>
      </w:pPr>
      <w:r>
        <w:rPr>
          <w:rFonts w:ascii="Calibri" w:cs="Calibri" w:eastAsia="Calibri" w:hAnsi="Calibri"/>
          <w:b/>
          <w:bCs/>
          <w:i w:val="false"/>
          <w:iCs w:val="false"/>
          <w:color w:val="0A6ED1"/>
          <w:sz w:val="26"/>
          <w:szCs w:val="26"/>
        </w:rPr>
        <w:t xml:space="preserve">8.3 Conexión C2 — Access Control hacia S/4HANA</w:t>
      </w:r>
    </w:p>
    <w:p>
      <w:pPr>
        <w:pStyle w:val="ListParagraph"/>
        <w:numPr>
          <w:ilvl w:val="0"/>
          <w:numId w:val="25"/>
        </w:numPr>
        <w:spacing w:after="30" w:before="60" w:line="268"/>
      </w:pPr>
      <w:r>
        <w:rPr>
          <w:rFonts w:ascii="Calibri" w:cs="Calibri" w:eastAsia="Calibri" w:hAnsi="Calibri"/>
          <w:b w:val="false"/>
          <w:bCs w:val="false"/>
          <w:i w:val="false"/>
          <w:iCs w:val="false"/>
          <w:color w:val="32363A"/>
          <w:sz w:val="20"/>
          <w:szCs w:val="20"/>
        </w:rPr>
        <w:t xml:space="preserve">Menú lateral: </w:t>
      </w:r>
      <w:r>
        <w:rPr>
          <w:rFonts w:ascii="Consolas" w:cs="Consolas" w:eastAsia="Consolas" w:hAnsi="Consolas"/>
          <w:color w:val="1D2D3E"/>
          <w:sz w:val="18"/>
          <w:szCs w:val="18"/>
          <w:shd w:fill="F4F6F8" w:val="clear"/>
        </w:rPr>
        <w:t xml:space="preserve">Cloud To On-Premise</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Style w:val="ListParagraph"/>
        <w:numPr>
          <w:ilvl w:val="0"/>
          <w:numId w:val="25"/>
        </w:numPr>
        <w:spacing w:after="30" w:before="30" w:line="268"/>
      </w:pPr>
      <w:r>
        <w:rPr>
          <w:rFonts w:ascii="Calibri" w:cs="Calibri" w:eastAsia="Calibri" w:hAnsi="Calibri"/>
          <w:b w:val="false"/>
          <w:bCs w:val="false"/>
          <w:i w:val="false"/>
          <w:iCs w:val="false"/>
          <w:color w:val="32363A"/>
          <w:sz w:val="20"/>
          <w:szCs w:val="20"/>
        </w:rPr>
        <w:t xml:space="preserve">Seleccionar la subaccount recién registrada y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25"/>
        </w:numPr>
        <w:spacing w:after="140" w:before="30" w:line="268"/>
      </w:pPr>
      <w:r>
        <w:rPr>
          <w:rFonts w:ascii="Calibri" w:cs="Calibri" w:eastAsia="Calibri" w:hAnsi="Calibri"/>
          <w:b w:val="false"/>
          <w:bCs w:val="false"/>
          <w:i w:val="false"/>
          <w:iCs w:val="false"/>
          <w:color w:val="32363A"/>
          <w:sz w:val="20"/>
          <w:szCs w:val="20"/>
        </w:rPr>
        <w:t xml:space="preserve">Cumplimentar el asistente: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922"/>
        <w:gridCol w:w="2897"/>
        <w:gridCol w:w="5927"/>
      </w:tblGrid>
      <w:tr>
        <w:trPr>
          <w:cantSplit/>
          <w:tblHeader/>
        </w:trPr>
        <w:tc>
          <w:tcPr>
            <w:tcW w:type="dxa" w:w="92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Paso</w:t>
            </w:r>
          </w:p>
        </w:tc>
        <w:tc>
          <w:tcPr>
            <w:tcW w:type="dxa" w:w="28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59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ABAP System</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Protocol</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s4hana.empresa.local</w:t>
            </w:r>
            <w:r>
              <w:rPr>
                <w:rFonts w:ascii="Calibri" w:cs="Calibri" w:eastAsia="Calibri" w:hAnsi="Calibri"/>
                <w:b w:val="false"/>
                <w:bCs w:val="false"/>
                <w:i w:val="false"/>
                <w:iCs w:val="false"/>
                <w:color w:val="32363A"/>
                <w:sz w:val="17"/>
                <w:szCs w:val="17"/>
              </w:rPr>
              <w:t xml:space="preserve"> (host real del servidor)</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r>
              <w:rPr>
                <w:rFonts w:ascii="Calibri" w:cs="Calibri" w:eastAsia="Calibri" w:hAnsi="Calibri"/>
                <w:b w:val="false"/>
                <w:bCs w:val="false"/>
                <w:i w:val="false"/>
                <w:iCs w:val="false"/>
                <w:color w:val="32363A"/>
                <w:sz w:val="17"/>
                <w:szCs w:val="17"/>
              </w:rPr>
              <w:t xml:space="preserve"> (puerto HTTPS del sistema)</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None</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In Request Header</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 Virtual Host</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API clientes - S/4HANA 2025</w:t>
            </w:r>
          </w:p>
        </w:tc>
      </w:tr>
    </w:tbl>
    <w:p>
      <w:pPr>
        <w:spacing w:after="200" w:before="0"/>
      </w:pPr>
      <w:r>
        <w:rPr>
          <w:sz w:val="2"/>
          <w:szCs w:val="2"/>
        </w:rPr>
        <w:t xml:space="preserve"/>
      </w:r>
    </w:p>
    <w:p>
      <w:pPr>
        <w:pStyle w:val="ListParagraph"/>
        <w:numPr>
          <w:ilvl w:val="0"/>
          <w:numId w:val="26"/>
        </w:numPr>
        <w:spacing w:after="140" w:before="60" w:line="268"/>
      </w:pPr>
      <w:r>
        <w:rPr>
          <w:rFonts w:ascii="Calibri" w:cs="Calibri" w:eastAsia="Calibri" w:hAnsi="Calibri"/>
          <w:b w:val="false"/>
          <w:bCs w:val="false"/>
          <w:i w:val="false"/>
          <w:iCs w:val="false"/>
          <w:color w:val="32363A"/>
          <w:sz w:val="20"/>
          <w:szCs w:val="20"/>
        </w:rPr>
        <w:t xml:space="preserve">Finalizar.</w:t>
      </w:r>
    </w:p>
    <w:p>
      <w:pPr>
        <w:pStyle w:val="Heading3"/>
      </w:pPr>
      <w:r>
        <w:rPr>
          <w:rFonts w:ascii="Calibri" w:cs="Calibri" w:eastAsia="Calibri" w:hAnsi="Calibri"/>
          <w:b/>
          <w:bCs/>
          <w:i w:val="false"/>
          <w:iCs w:val="false"/>
          <w:color w:val="0A6ED1"/>
          <w:sz w:val="22"/>
          <w:szCs w:val="22"/>
        </w:rPr>
        <w:t xml:space="preserve">Sobre el host virtual</w:t>
      </w:r>
    </w:p>
    <w:p>
      <w:pPr>
        <w:spacing w:after="140" w:before="60" w:line="276"/>
        <w:jc w:val="both"/>
      </w:pPr>
      <w:r>
        <w:rPr>
          <w:rFonts w:ascii="Calibri" w:cs="Calibri" w:eastAsia="Calibri" w:hAnsi="Calibri"/>
          <w:b w:val="false"/>
          <w:bCs w:val="false"/>
          <w:i w:val="false"/>
          <w:iCs w:val="false"/>
          <w:color w:val="32363A"/>
          <w:sz w:val="20"/>
          <w:szCs w:val="20"/>
        </w:rPr>
        <w:t xml:space="preserve">El host virtual es un alias que solo existe en el Cloud Connector. BTP jamás conoce el hostname interno real: envía la petición a </w:t>
      </w:r>
      <w:r>
        <w:rPr>
          <w:rFonts w:ascii="Consolas" w:cs="Consolas" w:eastAsia="Consolas" w:hAnsi="Consolas"/>
          <w:color w:val="1D2D3E"/>
          <w:sz w:val="18"/>
          <w:szCs w:val="18"/>
          <w:shd w:fill="F4F6F8" w:val="clear"/>
        </w:rPr>
        <w:t xml:space="preserve">s4h-poc.virtual</w:t>
      </w:r>
      <w:r>
        <w:rPr>
          <w:rFonts w:ascii="Calibri" w:cs="Calibri" w:eastAsia="Calibri" w:hAnsi="Calibri"/>
          <w:b w:val="false"/>
          <w:bCs w:val="false"/>
          <w:i w:val="false"/>
          <w:iCs w:val="false"/>
          <w:color w:val="32363A"/>
          <w:sz w:val="20"/>
          <w:szCs w:val="20"/>
        </w:rPr>
        <w:t xml:space="preserve"> y el Cloud Connector la traduce al host interno. Es una medida de seguridad — no publica la topología de la red corporativa — y de operación: permite repuntar de DEV a QAS a PRD cambiando únicamente el mapeo en el Cloud Connector, sin tocar nada en BTP.</w:t>
      </w:r>
    </w:p>
    <w:p>
      <w:pPr>
        <w:spacing w:after="140" w:before="60" w:line="276"/>
        <w:jc w:val="both"/>
      </w:pPr>
      <w:r>
        <w:rPr>
          <w:rFonts w:ascii="Consolas" w:cs="Consolas" w:eastAsia="Consolas" w:hAnsi="Consolas"/>
          <w:color w:val="1D2D3E"/>
          <w:sz w:val="18"/>
          <w:szCs w:val="18"/>
          <w:shd w:fill="F4F6F8" w:val="clear"/>
        </w:rPr>
        <w:t xml:space="preserve">Principal Type: None</w:t>
      </w:r>
      <w:r>
        <w:rPr>
          <w:rFonts w:ascii="Calibri" w:cs="Calibri" w:eastAsia="Calibri" w:hAnsi="Calibri"/>
          <w:b w:val="false"/>
          <w:bCs w:val="false"/>
          <w:i w:val="false"/>
          <w:iCs w:val="false"/>
          <w:color w:val="32363A"/>
          <w:sz w:val="20"/>
          <w:szCs w:val="20"/>
        </w:rPr>
        <w:t xml:space="preserve"> significa que el backend recibe las credenciales del usuario técnico configurado en la Destination. La alternativa, </w:t>
      </w:r>
      <w:r>
        <w:rPr>
          <w:rFonts w:ascii="Consolas" w:cs="Consolas" w:eastAsia="Consolas" w:hAnsi="Consolas"/>
          <w:color w:val="1D2D3E"/>
          <w:sz w:val="18"/>
          <w:szCs w:val="18"/>
          <w:shd w:fill="F4F6F8" w:val="clear"/>
        </w:rPr>
        <w:t xml:space="preserve">X.509 Certificate</w:t>
      </w:r>
      <w:r>
        <w:rPr>
          <w:rFonts w:ascii="Calibri" w:cs="Calibri" w:eastAsia="Calibri" w:hAnsi="Calibri"/>
          <w:b w:val="false"/>
          <w:bCs w:val="false"/>
          <w:i w:val="false"/>
          <w:iCs w:val="false"/>
          <w:color w:val="32363A"/>
          <w:sz w:val="20"/>
          <w:szCs w:val="20"/>
        </w:rPr>
        <w:t xml:space="preserve">, implementa </w:t>
      </w:r>
      <w:r>
        <w:rPr>
          <w:rFonts w:ascii="Calibri" w:cs="Calibri" w:eastAsia="Calibri" w:hAnsi="Calibri"/>
          <w:b w:val="false"/>
          <w:bCs w:val="false"/>
          <w:i/>
          <w:iCs/>
          <w:color w:val="32363A"/>
          <w:sz w:val="20"/>
          <w:szCs w:val="20"/>
        </w:rPr>
        <w:t xml:space="preserve">principal propagation</w:t>
      </w:r>
      <w:r>
        <w:rPr>
          <w:rFonts w:ascii="Calibri" w:cs="Calibri" w:eastAsia="Calibri" w:hAnsi="Calibri"/>
          <w:b w:val="false"/>
          <w:bCs w:val="false"/>
          <w:i w:val="false"/>
          <w:iCs w:val="false"/>
          <w:color w:val="32363A"/>
          <w:sz w:val="20"/>
          <w:szCs w:val="20"/>
        </w:rPr>
        <w:t xml:space="preserve"> (el usuario final se propaga hasta SAP) y queda fuera del alcance de esta PoC.</w:t>
      </w:r>
    </w:p>
    <w:p>
      <w:pPr>
        <w:pStyle w:val="Heading2"/>
      </w:pPr>
      <w:r>
        <w:rPr>
          <w:rFonts w:ascii="Calibri" w:cs="Calibri" w:eastAsia="Calibri" w:hAnsi="Calibri"/>
          <w:b/>
          <w:bCs/>
          <w:i w:val="false"/>
          <w:iCs w:val="false"/>
          <w:color w:val="0A6ED1"/>
          <w:sz w:val="26"/>
          <w:szCs w:val="26"/>
        </w:rPr>
        <w:t xml:space="preserve">8.4 Publicar el recurso</w:t>
      </w:r>
    </w:p>
    <w:p>
      <w:pPr>
        <w:spacing w:after="140" w:before="60" w:line="276"/>
        <w:jc w:val="both"/>
      </w:pPr>
      <w:r>
        <w:rPr>
          <w:rFonts w:ascii="Calibri" w:cs="Calibri" w:eastAsia="Calibri" w:hAnsi="Calibri"/>
          <w:b w:val="false"/>
          <w:bCs w:val="false"/>
          <w:i w:val="false"/>
          <w:iCs w:val="false"/>
          <w:color w:val="32363A"/>
          <w:sz w:val="20"/>
          <w:szCs w:val="20"/>
        </w:rPr>
        <w:t xml:space="preserve">Por defecto, un sistema añadido en Access Control </w:t>
      </w:r>
      <w:r>
        <w:rPr>
          <w:rFonts w:ascii="Calibri" w:cs="Calibri" w:eastAsia="Calibri" w:hAnsi="Calibri"/>
          <w:b/>
          <w:bCs/>
          <w:i w:val="false"/>
          <w:iCs w:val="false"/>
          <w:color w:val="32363A"/>
          <w:sz w:val="20"/>
          <w:szCs w:val="20"/>
        </w:rPr>
        <w:t xml:space="preserve">no expone ninguna ruta</w:t>
      </w:r>
      <w:r>
        <w:rPr>
          <w:rFonts w:ascii="Calibri" w:cs="Calibri" w:eastAsia="Calibri" w:hAnsi="Calibri"/>
          <w:b w:val="false"/>
          <w:bCs w:val="false"/>
          <w:i w:val="false"/>
          <w:iCs w:val="false"/>
          <w:color w:val="32363A"/>
          <w:sz w:val="20"/>
          <w:szCs w:val="20"/>
        </w:rPr>
        <w:t xml:space="preserve">. Hay que declararlas explícitamente.</w:t>
      </w:r>
    </w:p>
    <w:p>
      <w:pPr>
        <w:pStyle w:val="ListParagraph"/>
        <w:numPr>
          <w:ilvl w:val="0"/>
          <w:numId w:val="27"/>
        </w:numPr>
        <w:spacing w:after="30" w:before="60" w:line="268"/>
      </w:pPr>
      <w:r>
        <w:rPr>
          <w:rFonts w:ascii="Calibri" w:cs="Calibri" w:eastAsia="Calibri" w:hAnsi="Calibri"/>
          <w:b w:val="false"/>
          <w:bCs w:val="false"/>
          <w:i w:val="false"/>
          <w:iCs w:val="false"/>
          <w:color w:val="32363A"/>
          <w:sz w:val="20"/>
          <w:szCs w:val="20"/>
        </w:rPr>
        <w:t xml:space="preserve">Con el sistema seleccionado, en el panel inferior </w:t>
      </w:r>
      <w:r>
        <w:rPr>
          <w:rFonts w:ascii="Consolas" w:cs="Consolas" w:eastAsia="Consolas" w:hAnsi="Consolas"/>
          <w:color w:val="1D2D3E"/>
          <w:sz w:val="18"/>
          <w:szCs w:val="18"/>
          <w:shd w:fill="F4F6F8" w:val="clear"/>
        </w:rPr>
        <w:t xml:space="preserve">Resources Accessible On &lt;host&gt;</w:t>
      </w:r>
      <w:r>
        <w:rPr>
          <w:rFonts w:ascii="Calibri" w:cs="Calibri" w:eastAsia="Calibri" w:hAnsi="Calibri"/>
          <w:b w:val="false"/>
          <w:bCs w:val="false"/>
          <w:i w:val="false"/>
          <w:iCs w:val="false"/>
          <w:color w:val="32363A"/>
          <w:sz w:val="20"/>
          <w:szCs w:val="20"/>
        </w:rPr>
        <w:t xml:space="preserve">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27"/>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620"/>
        <w:gridCol w:w="6126"/>
      </w:tblGrid>
      <w:tr>
        <w:trPr>
          <w:cantSplit/>
          <w:tblHeader/>
        </w:trPr>
        <w:tc>
          <w:tcPr>
            <w:tcW w:type="dxa" w:w="36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1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 Path</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Policy</w:t>
            </w:r>
          </w:p>
        </w:tc>
        <w:tc>
          <w:tcPr>
            <w:tcW w:type="dxa" w:w="61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`Path And All Sub-Paths`</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Servicios OData V4</w:t>
            </w:r>
          </w:p>
        </w:tc>
      </w:tr>
    </w:tbl>
    <w:p>
      <w:pPr>
        <w:spacing w:after="200" w:before="0"/>
      </w:pPr>
      <w:r>
        <w:rPr>
          <w:sz w:val="2"/>
          <w:szCs w:val="2"/>
        </w:rPr>
        <w:t xml:space="preserve"/>
      </w:r>
    </w:p>
    <w:p>
      <w:pPr>
        <w:pStyle w:val="ListParagraph"/>
        <w:numPr>
          <w:ilvl w:val="0"/>
          <w:numId w:val="28"/>
        </w:numPr>
        <w:spacing w:after="140" w:before="60" w:line="268"/>
      </w:pPr>
      <w:r>
        <w:rPr>
          <w:rFonts w:ascii="Calibri" w:cs="Calibri" w:eastAsia="Calibri" w:hAnsi="Calibri"/>
          <w:b w:val="false"/>
          <w:bCs w:val="false"/>
          <w:i w:val="false"/>
          <w:iCs w:val="false"/>
          <w:color w:val="32363A"/>
          <w:sz w:val="20"/>
          <w:szCs w:val="20"/>
        </w:rPr>
        <w:t xml:space="preserve">Guardar.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Olvidar este paso es la causa más frecuente de </w:t>
      </w:r>
      <w:r>
        <w:rPr>
          <w:rFonts w:ascii="Calibri" w:cs="Calibri" w:eastAsia="Calibri" w:hAnsi="Calibri"/>
          <w:b/>
          <w:bCs/>
          <w:i w:val="false"/>
          <w:iCs w:val="false"/>
          <w:color w:val="32363A"/>
          <w:sz w:val="19"/>
          <w:szCs w:val="19"/>
        </w:rPr>
        <w:t xml:space="preserve">403 Forbidden</w:t>
      </w:r>
      <w:r>
        <w:rPr>
          <w:rFonts w:ascii="Calibri" w:cs="Calibri" w:eastAsia="Calibri" w:hAnsi="Calibri"/>
          <w:b w:val="false"/>
          <w:bCs w:val="false"/>
          <w:i w:val="false"/>
          <w:iCs w:val="false"/>
          <w:color w:val="32363A"/>
          <w:sz w:val="19"/>
          <w:szCs w:val="19"/>
        </w:rPr>
        <w:t xml:space="preserve"> devuelto por el propio Cloud Connector. La regla se limita a </w:t>
      </w:r>
      <w:r>
        <w:rPr>
          <w:rFonts w:ascii="Consolas" w:cs="Consolas" w:eastAsia="Consolas" w:hAnsi="Consolas"/>
          <w:color w:val="1D2D3E"/>
          <w:sz w:val="17"/>
          <w:szCs w:val="17"/>
          <w:shd w:fill="F4F6F8" w:val="clear"/>
        </w:rPr>
        <w:t xml:space="preserve">/sap/opu/odata4</w:t>
      </w:r>
      <w:r>
        <w:rPr>
          <w:rFonts w:ascii="Calibri" w:cs="Calibri" w:eastAsia="Calibri" w:hAnsi="Calibri"/>
          <w:b w:val="false"/>
          <w:bCs w:val="false"/>
          <w:i w:val="false"/>
          <w:iCs w:val="false"/>
          <w:color w:val="32363A"/>
          <w:sz w:val="19"/>
          <w:szCs w:val="19"/>
        </w:rPr>
        <w:t xml:space="preserve">, de modo que no se expone el resto del árbol ICF del sistema.</w:t>
      </w:r>
    </w:p>
    <w:p>
      <w:pPr>
        <w:pStyle w:val="Heading2"/>
      </w:pPr>
      <w:r>
        <w:rPr>
          <w:rFonts w:ascii="Calibri" w:cs="Calibri" w:eastAsia="Calibri" w:hAnsi="Calibri"/>
          <w:b/>
          <w:bCs/>
          <w:i w:val="false"/>
          <w:iCs w:val="false"/>
          <w:color w:val="0A6ED1"/>
          <w:sz w:val="26"/>
          <w:szCs w:val="26"/>
        </w:rPr>
        <w:t xml:space="preserve">8.5 Verificar accesibilidad del backend</w:t>
      </w:r>
    </w:p>
    <w:p>
      <w:pPr>
        <w:pStyle w:val="ListParagraph"/>
        <w:numPr>
          <w:ilvl w:val="0"/>
          <w:numId w:val="29"/>
        </w:numPr>
        <w:spacing w:after="30" w:before="60" w:line="268"/>
      </w:pPr>
      <w:r>
        <w:rPr>
          <w:rFonts w:ascii="Calibri" w:cs="Calibri" w:eastAsia="Calibri" w:hAnsi="Calibri"/>
          <w:b w:val="false"/>
          <w:bCs w:val="false"/>
          <w:i w:val="false"/>
          <w:iCs w:val="false"/>
          <w:color w:val="32363A"/>
          <w:sz w:val="20"/>
          <w:szCs w:val="20"/>
        </w:rPr>
        <w:t xml:space="preserve">Con el sistema seleccionado, pulsar </w:t>
      </w:r>
      <w:r>
        <w:rPr>
          <w:rFonts w:ascii="Consolas" w:cs="Consolas" w:eastAsia="Consolas" w:hAnsi="Consolas"/>
          <w:color w:val="1D2D3E"/>
          <w:sz w:val="18"/>
          <w:szCs w:val="18"/>
          <w:shd w:fill="F4F6F8" w:val="clear"/>
        </w:rPr>
        <w:t xml:space="preserve">Check Availability of Internal Host</w:t>
      </w:r>
      <w:r>
        <w:rPr>
          <w:rFonts w:ascii="Calibri" w:cs="Calibri" w:eastAsia="Calibri" w:hAnsi="Calibri"/>
          <w:b w:val="false"/>
          <w:bCs w:val="false"/>
          <w:i w:val="false"/>
          <w:iCs w:val="false"/>
          <w:color w:val="32363A"/>
          <w:sz w:val="20"/>
          <w:szCs w:val="20"/>
        </w:rPr>
        <w:t xml:space="preserve">.</w:t>
      </w:r>
    </w:p>
    <w:p>
      <w:pPr>
        <w:pStyle w:val="ListParagraph"/>
        <w:numPr>
          <w:ilvl w:val="0"/>
          <w:numId w:val="29"/>
        </w:numPr>
        <w:spacing w:after="140" w:before="30" w:line="268"/>
      </w:pPr>
      <w:r>
        <w:rPr>
          <w:rFonts w:ascii="Calibri" w:cs="Calibri" w:eastAsia="Calibri" w:hAnsi="Calibri"/>
          <w:b w:val="false"/>
          <w:bCs w:val="false"/>
          <w:i w:val="false"/>
          <w:iCs w:val="false"/>
          <w:color w:val="32363A"/>
          <w:sz w:val="20"/>
          <w:szCs w:val="20"/>
        </w:rPr>
        <w:t xml:space="preserve">El resultado debe ser </w:t>
      </w:r>
      <w:r>
        <w:rPr>
          <w:rFonts w:ascii="Calibri" w:cs="Calibri" w:eastAsia="Calibri" w:hAnsi="Calibri"/>
          <w:b/>
          <w:bCs/>
          <w:i w:val="false"/>
          <w:iCs w:val="false"/>
          <w:color w:val="32363A"/>
          <w:sz w:val="20"/>
          <w:szCs w:val="20"/>
        </w:rPr>
        <w:t xml:space="preserve">`Reachable`</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Si aparece </w:t>
      </w:r>
      <w:r>
        <w:rPr>
          <w:rFonts w:ascii="Consolas" w:cs="Consolas" w:eastAsia="Consolas" w:hAnsi="Consolas"/>
          <w:color w:val="1D2D3E"/>
          <w:sz w:val="18"/>
          <w:szCs w:val="18"/>
          <w:shd w:fill="F4F6F8" w:val="clear"/>
        </w:rPr>
        <w:t xml:space="preserve">Not Reachable</w:t>
      </w:r>
      <w:r>
        <w:rPr>
          <w:rFonts w:ascii="Calibri" w:cs="Calibri" w:eastAsia="Calibri" w:hAnsi="Calibri"/>
          <w:b w:val="false"/>
          <w:bCs w:val="false"/>
          <w:i w:val="false"/>
          <w:iCs w:val="false"/>
          <w:color w:val="32363A"/>
          <w:sz w:val="20"/>
          <w:szCs w:val="20"/>
        </w:rPr>
        <w:t xml:space="preserve">: comprobar resolución DNS desde el servidor del Cloud Connector, conectividad al puerto, y si el S/4HANA presenta un certificado emitido por una CA interna, importar la cadena de confianza en </w:t>
      </w:r>
      <w:r>
        <w:rPr>
          <w:rFonts w:ascii="Consolas" w:cs="Consolas" w:eastAsia="Consolas" w:hAnsi="Consolas"/>
          <w:color w:val="1D2D3E"/>
          <w:sz w:val="18"/>
          <w:szCs w:val="18"/>
          <w:shd w:fill="F4F6F8" w:val="clear"/>
        </w:rPr>
        <w:t xml:space="preserve">Configuration</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On Premise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Trust Store</w:t>
      </w:r>
      <w:r>
        <w:rPr>
          <w:rFonts w:ascii="Calibri" w:cs="Calibri" w:eastAsia="Calibri" w:hAnsi="Calibri"/>
          <w:b w:val="false"/>
          <w:bCs w:val="false"/>
          <w:i w:val="false"/>
          <w:iCs w:val="false"/>
          <w:color w:val="32363A"/>
          <w:sz w:val="20"/>
          <w:szCs w:val="20"/>
        </w:rPr>
        <w:t xml:space="preserve">.</w:t>
      </w:r>
    </w:p>
    <w:p>
      <w:pPr>
        <w:pStyle w:val="Heading1"/>
        <w:pageBreakBefore/>
      </w:pPr>
      <w:r>
        <w:rPr>
          <w:rFonts w:ascii="Calibri" w:cs="Calibri" w:eastAsia="Calibri" w:hAnsi="Calibri"/>
          <w:b/>
          <w:bCs/>
          <w:i w:val="false"/>
          <w:iCs w:val="false"/>
          <w:color w:val="1D2D3E"/>
          <w:sz w:val="34"/>
          <w:szCs w:val="34"/>
        </w:rPr>
        <w:t xml:space="preserve">9. Paso a paso — SAP BTP Cockpit</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9.1 Prerrequisitos de la subaccount</w:t>
      </w:r>
    </w:p>
    <w:p>
      <w:pPr>
        <w:spacing w:after="140" w:before="60" w:line="276"/>
        <w:jc w:val="both"/>
      </w:pPr>
      <w:r>
        <w:rPr>
          <w:rFonts w:ascii="Calibri" w:cs="Calibri" w:eastAsia="Calibri" w:hAnsi="Calibri"/>
          <w:b w:val="false"/>
          <w:bCs w:val="false"/>
          <w:i w:val="false"/>
          <w:iCs w:val="false"/>
          <w:color w:val="32363A"/>
          <w:sz w:val="20"/>
          <w:szCs w:val="20"/>
        </w:rPr>
        <w:t xml:space="preserve">Verificar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que se dispone de: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634"/>
        <w:gridCol w:w="2766"/>
        <w:gridCol w:w="4346"/>
      </w:tblGrid>
      <w:tr>
        <w:trPr>
          <w:cantSplit/>
          <w:tblHeader/>
        </w:trPr>
        <w:tc>
          <w:tcPr>
            <w:tcW w:type="dxa" w:w="26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Servicio</w:t>
            </w:r>
          </w:p>
        </w:tc>
        <w:tc>
          <w:tcPr>
            <w:tcW w:type="dxa" w:w="27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Plan</w:t>
            </w:r>
          </w:p>
        </w:tc>
        <w:tc>
          <w:tcPr>
            <w:tcW w:type="dxa" w:w="434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Necesario para</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Connectivity Service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del Cloud Connector</w:t>
            </w:r>
          </w:p>
        </w:tc>
      </w:tr>
      <w:tr>
        <w:trPr>
          <w:cantSplit/>
          <w:tblHeader w:val="false"/>
        </w:trPr>
        <w:tc>
          <w:tcPr>
            <w:tcW w:type="dxa" w:w="26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Service</w:t>
            </w:r>
          </w:p>
        </w:tc>
        <w:tc>
          <w:tcPr>
            <w:tcW w:type="dxa" w:w="276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Definición de destinations</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Integration Suite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enterprise</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standard</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(§10)</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Si falta alguno: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 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Service Plans</w:t>
      </w:r>
      <w:r>
        <w:rPr>
          <w:rFonts w:ascii="Calibri" w:cs="Calibri" w:eastAsia="Calibri" w:hAnsi="Calibri"/>
          <w:b w:val="false"/>
          <w:bCs w:val="false"/>
          <w:i w:val="false"/>
          <w:iCs w:val="false"/>
          <w:color w:val="32363A"/>
          <w:sz w:val="20"/>
          <w:szCs w:val="20"/>
        </w:rPr>
        <w:t xml:space="preserve">. Requiere permisos de administrador de subaccount.</w:t>
      </w:r>
    </w:p>
    <w:p>
      <w:pPr>
        <w:pStyle w:val="Heading2"/>
      </w:pPr>
      <w:r>
        <w:rPr>
          <w:rFonts w:ascii="Calibri" w:cs="Calibri" w:eastAsia="Calibri" w:hAnsi="Calibri"/>
          <w:b/>
          <w:bCs/>
          <w:i w:val="false"/>
          <w:iCs w:val="false"/>
          <w:color w:val="0A6ED1"/>
          <w:sz w:val="26"/>
          <w:szCs w:val="26"/>
        </w:rPr>
        <w:t xml:space="preserve">9.2 Conexión C4 — Crear la Destination</w:t>
      </w:r>
    </w:p>
    <w:p>
      <w:pPr>
        <w:pStyle w:val="ListParagraph"/>
        <w:numPr>
          <w:ilvl w:val="0"/>
          <w:numId w:val="30"/>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Connectivity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Destinations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Destination</w:t>
      </w:r>
      <w:r>
        <w:rPr>
          <w:rFonts w:ascii="Calibri" w:cs="Calibri" w:eastAsia="Calibri" w:hAnsi="Calibri"/>
          <w:b w:val="false"/>
          <w:bCs w:val="false"/>
          <w:i w:val="false"/>
          <w:iCs w:val="false"/>
          <w:color w:val="32363A"/>
          <w:sz w:val="20"/>
          <w:szCs w:val="20"/>
        </w:rPr>
        <w:t xml:space="preserve">.</w:t>
      </w:r>
    </w:p>
    <w:p>
      <w:pPr>
        <w:pStyle w:val="ListParagraph"/>
        <w:numPr>
          <w:ilvl w:val="0"/>
          <w:numId w:val="30"/>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32"/>
        <w:gridCol w:w="6714"/>
      </w:tblGrid>
      <w:tr>
        <w:trPr>
          <w:cantSplit/>
          <w:tblHeader/>
        </w:trPr>
        <w:tc>
          <w:tcPr>
            <w:tcW w:type="dxa" w:w="303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71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S/4HANA consulta clientes</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Proxy Type</w:t>
            </w:r>
          </w:p>
        </w:tc>
        <w:tc>
          <w:tcPr>
            <w:tcW w:type="dxa" w:w="671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`OnPremise`</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Authentication</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BasicAuthentication</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User</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Password</w:t>
            </w:r>
          </w:p>
        </w:tc>
        <w:tc>
          <w:tcPr>
            <w:tcW w:type="dxa" w:w="671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definida en §7.2</w:t>
            </w:r>
          </w:p>
        </w:tc>
      </w:tr>
    </w:tbl>
    <w:p>
      <w:pPr>
        <w:spacing w:after="200" w:before="0"/>
      </w:pPr>
      <w:r>
        <w:rPr>
          <w:sz w:val="2"/>
          <w:szCs w:val="2"/>
        </w:rPr>
        <w:t xml:space="preserve"/>
      </w:r>
    </w:p>
    <w:p>
      <w:pPr>
        <w:pStyle w:val="ListParagraph"/>
        <w:numPr>
          <w:ilvl w:val="0"/>
          <w:numId w:val="31"/>
        </w:numPr>
        <w:spacing w:after="140" w:before="6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Additional Properties</w:t>
      </w:r>
      <w:r>
        <w:rPr>
          <w:rFonts w:ascii="Calibri" w:cs="Calibri" w:eastAsia="Calibri" w:hAnsi="Calibri"/>
          <w:b w:val="false"/>
          <w:bCs w:val="false"/>
          <w:i w:val="false"/>
          <w:iCs w:val="false"/>
          <w:color w:val="32363A"/>
          <w:sz w:val="20"/>
          <w:szCs w:val="20"/>
        </w:rPr>
        <w:t xml:space="preserve">, añadir: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78"/>
        <w:gridCol w:w="898"/>
        <w:gridCol w:w="5770"/>
      </w:tblGrid>
      <w:tr>
        <w:trPr>
          <w:cantSplit/>
          <w:tblHeader/>
        </w:trPr>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Propiedad</w:t>
            </w:r>
          </w:p>
        </w:tc>
        <w:tc>
          <w:tcPr>
            <w:tcW w:type="dxa" w:w="8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577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sap-client</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Mandante del backend</w:t>
            </w:r>
          </w:p>
        </w:tc>
      </w:tr>
      <w:tr>
        <w:trPr>
          <w:cantSplit/>
          <w:tblHeader w:val="false"/>
        </w:trPr>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WebIDEEnabled</w:t>
            </w:r>
          </w:p>
        </w:tc>
        <w:tc>
          <w:tcPr>
            <w:tcW w:type="dxa" w:w="89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Visibilidad desde Business Application Studio</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HTML5.DynamicDestination</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una aplicación HTML5 va a consumirla</w:t>
            </w:r>
          </w:p>
        </w:tc>
      </w:tr>
    </w:tbl>
    <w:p>
      <w:pPr>
        <w:spacing w:after="200" w:before="0"/>
      </w:pPr>
      <w:r>
        <w:rPr>
          <w:sz w:val="2"/>
          <w:szCs w:val="2"/>
        </w:rPr>
        <w:t xml:space="preserve"/>
      </w:r>
    </w:p>
    <w:p>
      <w:pPr>
        <w:pStyle w:val="ListParagraph"/>
        <w:numPr>
          <w:ilvl w:val="0"/>
          <w:numId w:val="32"/>
        </w:numPr>
        <w:spacing w:after="140" w:before="60" w:line="268"/>
      </w:pPr>
      <w:r>
        <w:rPr>
          <w:rFonts w:ascii="Calibri" w:cs="Calibri" w:eastAsia="Calibri" w:hAnsi="Calibri"/>
          <w:b w:val="false"/>
          <w:bCs w:val="false"/>
          <w:i w:val="false"/>
          <w:iCs w:val="false"/>
          <w:color w:val="32363A"/>
          <w:sz w:val="20"/>
          <w:szCs w:val="20"/>
        </w:rPr>
        <w:t xml:space="preserve">Grabar.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URL apunta al </w:t>
      </w:r>
      <w:r>
        <w:rPr>
          <w:rFonts w:ascii="Calibri" w:cs="Calibri" w:eastAsia="Calibri" w:hAnsi="Calibri"/>
          <w:b/>
          <w:bCs/>
          <w:i w:val="false"/>
          <w:iCs w:val="false"/>
          <w:color w:val="32363A"/>
          <w:sz w:val="19"/>
          <w:szCs w:val="19"/>
        </w:rPr>
        <w:t xml:space="preserve">host virtual</w:t>
      </w:r>
      <w:r>
        <w:rPr>
          <w:rFonts w:ascii="Calibri" w:cs="Calibri" w:eastAsia="Calibri" w:hAnsi="Calibri"/>
          <w:b w:val="false"/>
          <w:bCs w:val="false"/>
          <w:i w:val="false"/>
          <w:iCs w:val="false"/>
          <w:color w:val="32363A"/>
          <w:sz w:val="19"/>
          <w:szCs w:val="19"/>
        </w:rPr>
        <w:t xml:space="preserve">, no al host real. </w:t>
      </w:r>
      <w:r>
        <w:rPr>
          <w:rFonts w:ascii="Consolas" w:cs="Consolas" w:eastAsia="Consolas" w:hAnsi="Consolas"/>
          <w:color w:val="1D2D3E"/>
          <w:sz w:val="17"/>
          <w:szCs w:val="17"/>
          <w:shd w:fill="F4F6F8" w:val="clear"/>
        </w:rPr>
        <w:t xml:space="preserve">Proxy Type: OnPremise</w:t>
      </w:r>
      <w:r>
        <w:rPr>
          <w:rFonts w:ascii="Calibri" w:cs="Calibri" w:eastAsia="Calibri" w:hAnsi="Calibri"/>
          <w:b w:val="false"/>
          <w:bCs w:val="false"/>
          <w:i w:val="false"/>
          <w:iCs w:val="false"/>
          <w:color w:val="32363A"/>
          <w:sz w:val="19"/>
          <w:szCs w:val="19"/>
        </w:rPr>
        <w:t xml:space="preserve"> es lo que enruta la petición por el túnel del Cloud Connector; con </w:t>
      </w:r>
      <w:r>
        <w:rPr>
          <w:rFonts w:ascii="Consolas" w:cs="Consolas" w:eastAsia="Consolas" w:hAnsi="Consolas"/>
          <w:color w:val="1D2D3E"/>
          <w:sz w:val="17"/>
          <w:szCs w:val="17"/>
          <w:shd w:fill="F4F6F8" w:val="clear"/>
        </w:rPr>
        <w:t xml:space="preserve">Internet</w:t>
      </w:r>
      <w:r>
        <w:rPr>
          <w:rFonts w:ascii="Calibri" w:cs="Calibri" w:eastAsia="Calibri" w:hAnsi="Calibri"/>
          <w:b w:val="false"/>
          <w:bCs w:val="false"/>
          <w:i w:val="false"/>
          <w:iCs w:val="false"/>
          <w:color w:val="32363A"/>
          <w:sz w:val="19"/>
          <w:szCs w:val="19"/>
        </w:rPr>
        <w:t xml:space="preserve"> la llamada saldría a la red pública y fallaría.</w:t>
      </w:r>
    </w:p>
    <w:p>
      <w:pPr>
        <w:pStyle w:val="Heading2"/>
      </w:pPr>
      <w:r>
        <w:rPr>
          <w:rFonts w:ascii="Calibri" w:cs="Calibri" w:eastAsia="Calibri" w:hAnsi="Calibri"/>
          <w:b/>
          <w:bCs/>
          <w:i w:val="false"/>
          <w:iCs w:val="false"/>
          <w:color w:val="0A6ED1"/>
          <w:sz w:val="26"/>
          <w:szCs w:val="26"/>
        </w:rPr>
        <w:t xml:space="preserve">9.3 Validación F3 — Check Connection</w:t>
      </w:r>
    </w:p>
    <w:p>
      <w:pPr>
        <w:pStyle w:val="ListParagraph"/>
        <w:numPr>
          <w:ilvl w:val="0"/>
          <w:numId w:val="33"/>
        </w:numPr>
        <w:spacing w:after="30" w:before="60" w:line="268"/>
      </w:pPr>
      <w:r>
        <w:rPr>
          <w:rFonts w:ascii="Calibri" w:cs="Calibri" w:eastAsia="Calibri" w:hAnsi="Calibri"/>
          <w:b w:val="false"/>
          <w:bCs w:val="false"/>
          <w:i w:val="false"/>
          <w:iCs w:val="false"/>
          <w:color w:val="32363A"/>
          <w:sz w:val="20"/>
          <w:szCs w:val="20"/>
        </w:rPr>
        <w:t xml:space="preserve">Seleccionar la destination y pulsar </w:t>
      </w:r>
      <w:r>
        <w:rPr>
          <w:rFonts w:ascii="Calibri" w:cs="Calibri" w:eastAsia="Calibri" w:hAnsi="Calibri"/>
          <w:b/>
          <w:bCs/>
          <w:i w:val="false"/>
          <w:iCs w:val="false"/>
          <w:color w:val="32363A"/>
          <w:sz w:val="20"/>
          <w:szCs w:val="20"/>
        </w:rPr>
        <w:t xml:space="preserve">`Check Connection`</w:t>
      </w:r>
      <w:r>
        <w:rPr>
          <w:rFonts w:ascii="Calibri" w:cs="Calibri" w:eastAsia="Calibri" w:hAnsi="Calibri"/>
          <w:b w:val="false"/>
          <w:bCs w:val="false"/>
          <w:i w:val="false"/>
          <w:iCs w:val="false"/>
          <w:color w:val="32363A"/>
          <w:sz w:val="20"/>
          <w:szCs w:val="20"/>
        </w:rPr>
        <w:t xml:space="preserve">.</w:t>
      </w:r>
    </w:p>
    <w:p>
      <w:pPr>
        <w:pStyle w:val="ListParagraph"/>
        <w:numPr>
          <w:ilvl w:val="0"/>
          <w:numId w:val="33"/>
        </w:numPr>
        <w:spacing w:after="140" w:before="30" w:line="268"/>
      </w:pPr>
      <w:r>
        <w:rPr>
          <w:rFonts w:ascii="Calibri" w:cs="Calibri" w:eastAsia="Calibri" w:hAnsi="Calibri"/>
          <w:b w:val="false"/>
          <w:bCs w:val="false"/>
          <w:i w:val="false"/>
          <w:iCs w:val="false"/>
          <w:color w:val="32363A"/>
          <w:sz w:val="20"/>
          <w:szCs w:val="20"/>
        </w:rPr>
        <w:t xml:space="preserve">Interpretar el resultado: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653"/>
        <w:gridCol w:w="5093"/>
      </w:tblGrid>
      <w:tr>
        <w:trPr>
          <w:cantSplit/>
          <w:tblHeader/>
        </w:trPr>
        <w:tc>
          <w:tcPr>
            <w:tcW w:type="dxa" w:w="4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50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Connection to ... established. Response returned: 200</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 Response returned: 401</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403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También es correcto.</w:t>
            </w:r>
            <w:r>
              <w:rPr>
                <w:rFonts w:ascii="Calibri" w:cs="Calibri" w:eastAsia="Calibri" w:hAnsi="Calibri"/>
                <w:b w:val="false"/>
                <w:bCs w:val="false"/>
                <w:i w:val="false"/>
                <w:iCs w:val="false"/>
                <w:color w:val="32363A"/>
                <w:sz w:val="17"/>
                <w:szCs w:val="17"/>
              </w:rPr>
              <w:t xml:space="preserve"> La comprobación llama a la raíz </w:t>
            </w:r>
            <w:r>
              <w:rPr>
                <w:rFonts w:ascii="Consolas" w:cs="Consolas" w:eastAsia="Consolas" w:hAnsi="Consolas"/>
                <w:color w:val="1D2D3E"/>
                <w:sz w:val="15"/>
                <w:szCs w:val="15"/>
                <w:shd w:fill="F4F6F8" w:val="clear"/>
              </w:rPr>
              <w:t xml:space="preserve">/</w:t>
            </w:r>
            <w:r>
              <w:rPr>
                <w:rFonts w:ascii="Calibri" w:cs="Calibri" w:eastAsia="Calibri" w:hAnsi="Calibri"/>
                <w:b w:val="false"/>
                <w:bCs w:val="false"/>
                <w:i w:val="false"/>
                <w:iCs w:val="false"/>
                <w:color w:val="32363A"/>
                <w:sz w:val="17"/>
                <w:szCs w:val="17"/>
              </w:rPr>
              <w:t xml:space="preserve">, que exige autenticación. El túnel funciona, que es lo que se está validando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 system</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no está operativo. Revisar §8.2 y §8.5</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Destination service returned HTTP 503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Cloud Connector está desconectado. Revisar su estado</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Check Connection</w:t>
      </w:r>
      <w:r>
        <w:rPr>
          <w:rFonts w:ascii="Calibri" w:cs="Calibri" w:eastAsia="Calibri" w:hAnsi="Calibri"/>
          <w:b w:val="false"/>
          <w:bCs w:val="false"/>
          <w:i w:val="false"/>
          <w:iCs w:val="false"/>
          <w:color w:val="32363A"/>
          <w:sz w:val="19"/>
          <w:szCs w:val="19"/>
        </w:rPr>
        <w:t xml:space="preserve"> valida </w:t>
      </w:r>
      <w:r>
        <w:rPr>
          <w:rFonts w:ascii="Calibri" w:cs="Calibri" w:eastAsia="Calibri" w:hAnsi="Calibri"/>
          <w:b/>
          <w:bCs/>
          <w:i w:val="false"/>
          <w:iCs w:val="false"/>
          <w:color w:val="32363A"/>
          <w:sz w:val="19"/>
          <w:szCs w:val="19"/>
        </w:rPr>
        <w:t xml:space="preserve">el túnel</w:t>
      </w:r>
      <w:r>
        <w:rPr>
          <w:rFonts w:ascii="Calibri" w:cs="Calibri" w:eastAsia="Calibri" w:hAnsi="Calibri"/>
          <w:b w:val="false"/>
          <w:bCs w:val="false"/>
          <w:i w:val="false"/>
          <w:iCs w:val="false"/>
          <w:color w:val="32363A"/>
          <w:sz w:val="19"/>
          <w:szCs w:val="19"/>
        </w:rPr>
        <w:t xml:space="preserve">, no el servicio OData. La prueba funcional del servicio es la fase F4 (§11.4).</w:t>
      </w:r>
    </w:p>
    <w:p>
      <w:pPr>
        <w:pStyle w:val="Heading1"/>
        <w:pageBreakBefore/>
      </w:pPr>
      <w:r>
        <w:rPr>
          <w:rFonts w:ascii="Calibri" w:cs="Calibri" w:eastAsia="Calibri" w:hAnsi="Calibri"/>
          <w:b/>
          <w:bCs/>
          <w:i w:val="false"/>
          <w:iCs w:val="false"/>
          <w:color w:val="1D2D3E"/>
          <w:sz w:val="34"/>
          <w:szCs w:val="34"/>
        </w:rPr>
        <w:t xml:space="preserve">10. Paso a paso — API Management</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sección resuelve el punto crítico descrito en §4.2: publicar un endpoint HTTPS que Postman —y cualquier consumidor externo— pueda invocar.</w:t>
      </w:r>
    </w:p>
    <w:p>
      <w:pPr>
        <w:pStyle w:val="Heading2"/>
      </w:pPr>
      <w:r>
        <w:rPr>
          <w:rFonts w:ascii="Calibri" w:cs="Calibri" w:eastAsia="Calibri" w:hAnsi="Calibri"/>
          <w:b/>
          <w:bCs/>
          <w:i w:val="false"/>
          <w:iCs w:val="false"/>
          <w:color w:val="0A6ED1"/>
          <w:sz w:val="26"/>
          <w:szCs w:val="26"/>
        </w:rPr>
        <w:t xml:space="preserve">10.1 Activar la capacidad</w:t>
      </w:r>
    </w:p>
    <w:p>
      <w:pPr>
        <w:pStyle w:val="ListParagraph"/>
        <w:numPr>
          <w:ilvl w:val="0"/>
          <w:numId w:val="34"/>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Instances and Subscriptions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Integration Suite</w:t>
      </w:r>
      <w:r>
        <w:rPr>
          <w:rFonts w:ascii="Calibri" w:cs="Calibri" w:eastAsia="Calibri" w:hAnsi="Calibri"/>
          <w:b w:val="false"/>
          <w:bCs w:val="false"/>
          <w:i w:val="false"/>
          <w:iCs w:val="false"/>
          <w:color w:val="32363A"/>
          <w:sz w:val="20"/>
          <w:szCs w:val="20"/>
        </w:rPr>
        <w:t xml:space="preserve"> → abrir la aplicación.</w:t>
      </w:r>
    </w:p>
    <w:p>
      <w:pPr>
        <w:pStyle w:val="ListParagraph"/>
        <w:numPr>
          <w:ilvl w:val="0"/>
          <w:numId w:val="34"/>
        </w:numPr>
        <w:spacing w:after="30" w:before="30" w:line="268"/>
      </w:pPr>
      <w:r>
        <w:rPr>
          <w:rFonts w:ascii="Consolas" w:cs="Consolas" w:eastAsia="Consolas" w:hAnsi="Consolas"/>
          <w:color w:val="1D2D3E"/>
          <w:sz w:val="18"/>
          <w:szCs w:val="18"/>
          <w:shd w:fill="F4F6F8" w:val="clear"/>
        </w:rPr>
        <w:t xml:space="preserve">Manage Capabilities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Capabilities</w:t>
      </w:r>
      <w:r>
        <w:rPr>
          <w:rFonts w:ascii="Calibri" w:cs="Calibri" w:eastAsia="Calibri" w:hAnsi="Calibri"/>
          <w:b w:val="false"/>
          <w:bCs w:val="false"/>
          <w:i w:val="false"/>
          <w:iCs w:val="false"/>
          <w:color w:val="32363A"/>
          <w:sz w:val="20"/>
          <w:szCs w:val="20"/>
        </w:rPr>
        <w:t xml:space="preserve"> → marcar </w:t>
      </w:r>
      <w:r>
        <w:rPr>
          <w:rFonts w:ascii="Calibri" w:cs="Calibri" w:eastAsia="Calibri" w:hAnsi="Calibri"/>
          <w:b/>
          <w:bCs/>
          <w:i w:val="false"/>
          <w:iCs w:val="false"/>
          <w:color w:val="32363A"/>
          <w:sz w:val="20"/>
          <w:szCs w:val="20"/>
        </w:rPr>
        <w:t xml:space="preserve">`Design, Develop and Manage APIs`</w:t>
      </w:r>
      <w:r>
        <w:rPr>
          <w:rFonts w:ascii="Calibri" w:cs="Calibri" w:eastAsia="Calibri" w:hAnsi="Calibri"/>
          <w:b w:val="false"/>
          <w:bCs w:val="false"/>
          <w:i w:val="false"/>
          <w:iCs w:val="false"/>
          <w:color w:val="32363A"/>
          <w:sz w:val="20"/>
          <w:szCs w:val="20"/>
        </w:rPr>
        <w:t xml:space="preserve">.</w:t>
      </w:r>
    </w:p>
    <w:p>
      <w:pPr>
        <w:pStyle w:val="ListParagraph"/>
        <w:numPr>
          <w:ilvl w:val="0"/>
          <w:numId w:val="34"/>
        </w:numPr>
        <w:spacing w:after="30" w:before="30" w:line="268"/>
      </w:pPr>
      <w:r>
        <w:rPr>
          <w:rFonts w:ascii="Calibri" w:cs="Calibri" w:eastAsia="Calibri" w:hAnsi="Calibri"/>
          <w:b w:val="false"/>
          <w:bCs w:val="false"/>
          <w:i w:val="false"/>
          <w:iCs w:val="false"/>
          <w:color w:val="32363A"/>
          <w:sz w:val="20"/>
          <w:szCs w:val="20"/>
        </w:rPr>
        <w:t xml:space="preserve">Esperar a que finalice el aprovisionamiento (entre 10 y 30 minutos).</w:t>
      </w:r>
    </w:p>
    <w:p>
      <w:pPr>
        <w:pStyle w:val="ListParagraph"/>
        <w:numPr>
          <w:ilvl w:val="0"/>
          <w:numId w:val="34"/>
        </w:numPr>
        <w:spacing w:after="140" w:before="30" w:line="268"/>
      </w:pPr>
      <w:r>
        <w:rPr>
          <w:rFonts w:ascii="Calibri" w:cs="Calibri" w:eastAsia="Calibri" w:hAnsi="Calibri"/>
          <w:b w:val="false"/>
          <w:bCs w:val="false"/>
          <w:i w:val="false"/>
          <w:iCs w:val="false"/>
          <w:color w:val="32363A"/>
          <w:sz w:val="20"/>
          <w:szCs w:val="20"/>
        </w:rPr>
        <w:t xml:space="preserve">Asignar al usuario los </w:t>
      </w:r>
      <w:r>
        <w:rPr>
          <w:rFonts w:ascii="Calibri" w:cs="Calibri" w:eastAsia="Calibri" w:hAnsi="Calibri"/>
          <w:b w:val="false"/>
          <w:bCs w:val="false"/>
          <w:i/>
          <w:iCs/>
          <w:color w:val="32363A"/>
          <w:sz w:val="20"/>
          <w:szCs w:val="20"/>
        </w:rPr>
        <w:t xml:space="preserve">role collections</w:t>
      </w:r>
      <w:r>
        <w:rPr>
          <w:rFonts w:ascii="Calibri" w:cs="Calibri" w:eastAsia="Calibri" w:hAnsi="Calibri"/>
          <w:b w:val="false"/>
          <w:bCs w:val="false"/>
          <w:i w:val="false"/>
          <w:iCs w:val="false"/>
          <w:color w:val="32363A"/>
          <w:sz w:val="20"/>
          <w:szCs w:val="20"/>
        </w:rPr>
        <w:t xml:space="preserve"> necesarios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Security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Role Collections</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279"/>
        <w:gridCol w:w="4467"/>
      </w:tblGrid>
      <w:tr>
        <w:trPr>
          <w:cantSplit/>
          <w:tblHeader/>
        </w:trPr>
        <w:tc>
          <w:tcPr>
            <w:tcW w:type="dxa" w:w="52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Role Collection</w:t>
            </w:r>
          </w:p>
        </w:tc>
        <w:tc>
          <w:tcPr>
            <w:tcW w:type="dxa" w:w="44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APIPortal.Administrator</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y desplegar API Proxies</w:t>
            </w:r>
          </w:p>
        </w:tc>
      </w:tr>
      <w:tr>
        <w:trPr>
          <w:cantSplit/>
          <w:tblHeader w:val="false"/>
        </w:trPr>
        <w:tc>
          <w:tcPr>
            <w:tcW w:type="dxa" w:w="527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APIManagement.SelfService.Administrator</w:t>
            </w:r>
          </w:p>
        </w:tc>
        <w:tc>
          <w:tcPr>
            <w:tcW w:type="dxa" w:w="44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Gestionar Products y Applications</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AuthGroup.API.Admin</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general</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Tras asignar role collections es necesario cerrar sesión y volver a entrar para que surtan efecto.</w:t>
      </w:r>
    </w:p>
    <w:p>
      <w:pPr>
        <w:pStyle w:val="Heading2"/>
      </w:pPr>
      <w:r>
        <w:rPr>
          <w:rFonts w:ascii="Calibri" w:cs="Calibri" w:eastAsia="Calibri" w:hAnsi="Calibri"/>
          <w:b/>
          <w:bCs/>
          <w:i w:val="false"/>
          <w:iCs w:val="false"/>
          <w:color w:val="0A6ED1"/>
          <w:sz w:val="26"/>
          <w:szCs w:val="26"/>
        </w:rPr>
        <w:t xml:space="preserve">10.2 Conexión C5 — Crear el API Provider</w:t>
      </w:r>
    </w:p>
    <w:p>
      <w:pPr>
        <w:pStyle w:val="ListParagraph"/>
        <w:numPr>
          <w:ilvl w:val="0"/>
          <w:numId w:val="35"/>
        </w:numPr>
        <w:spacing w:after="30" w:before="60" w:line="268"/>
      </w:pPr>
      <w:r>
        <w:rPr>
          <w:rFonts w:ascii="Calibri" w:cs="Calibri" w:eastAsia="Calibri" w:hAnsi="Calibri"/>
          <w:b w:val="false"/>
          <w:bCs w:val="false"/>
          <w:i w:val="false"/>
          <w:iCs w:val="false"/>
          <w:color w:val="32363A"/>
          <w:sz w:val="20"/>
          <w:szCs w:val="20"/>
        </w:rPr>
        <w:t xml:space="preserve">En API Management, abrir el </w:t>
      </w:r>
      <w:r>
        <w:rPr>
          <w:rFonts w:ascii="Calibri" w:cs="Calibri" w:eastAsia="Calibri" w:hAnsi="Calibri"/>
          <w:b/>
          <w:bCs/>
          <w:i w:val="false"/>
          <w:iCs w:val="false"/>
          <w:color w:val="32363A"/>
          <w:sz w:val="20"/>
          <w:szCs w:val="20"/>
        </w:rPr>
        <w:t xml:space="preserve">API Portal</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 Providers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35"/>
        </w:numPr>
        <w:spacing w:after="14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44"/>
        <w:gridCol w:w="7602"/>
      </w:tblGrid>
      <w:tr>
        <w:trPr>
          <w:cantSplit/>
          <w:tblHeader/>
        </w:trPr>
        <w:tc>
          <w:tcPr>
            <w:tcW w:type="dxa" w:w="2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60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60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r>
      <w:tr>
        <w:trPr>
          <w:cantSplit/>
          <w:tblHeader w:val="false"/>
        </w:trPr>
        <w:tc>
          <w:tcPr>
            <w:tcW w:type="dxa" w:w="2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760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 2025 - PoC migración interfaces</w:t>
            </w:r>
          </w:p>
        </w:tc>
      </w:tr>
    </w:tbl>
    <w:p>
      <w:pPr>
        <w:spacing w:after="200" w:before="0"/>
      </w:pPr>
      <w:r>
        <w:rPr>
          <w:sz w:val="2"/>
          <w:szCs w:val="2"/>
        </w:rPr>
        <w:t xml:space="preserve"/>
      </w:r>
    </w:p>
    <w:p>
      <w:pPr>
        <w:pStyle w:val="ListParagraph"/>
        <w:numPr>
          <w:ilvl w:val="0"/>
          <w:numId w:val="36"/>
        </w:numPr>
        <w:spacing w:after="14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Connection</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3"/>
        <w:gridCol w:w="6553"/>
      </w:tblGrid>
      <w:tr>
        <w:trPr>
          <w:cantSplit/>
          <w:tblHeader/>
        </w:trPr>
        <w:tc>
          <w:tcPr>
            <w:tcW w:type="dxa" w:w="31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On-Premise</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Use Cloud Connector</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65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 salvo que se definiera en §8.2)</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65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 SSL</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Marcado</w:t>
            </w:r>
          </w:p>
        </w:tc>
      </w:tr>
    </w:tbl>
    <w:p>
      <w:pPr>
        <w:spacing w:after="200" w:before="0"/>
      </w:pPr>
      <w:r>
        <w:rPr>
          <w:sz w:val="2"/>
          <w:szCs w:val="2"/>
        </w:rPr>
        <w:t xml:space="preserve"/>
      </w:r>
    </w:p>
    <w:p>
      <w:pPr>
        <w:pStyle w:val="ListParagraph"/>
        <w:numPr>
          <w:ilvl w:val="0"/>
          <w:numId w:val="37"/>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Catalog Service Settings</w:t>
      </w:r>
      <w:r>
        <w:rPr>
          <w:rFonts w:ascii="Calibri" w:cs="Calibri" w:eastAsia="Calibri" w:hAnsi="Calibri"/>
          <w:b w:val="false"/>
          <w:bCs w:val="false"/>
          <w:i w:val="false"/>
          <w:iCs w:val="false"/>
          <w:color w:val="32363A"/>
          <w:sz w:val="20"/>
          <w:szCs w:val="20"/>
        </w:rPr>
        <w:t xml:space="preserve"> (opcional): permite descubrir automáticamente los servicios publicados. Puede omitirse e indicar la ruta a mano en §10.4.</w:t>
      </w:r>
    </w:p>
    <w:p>
      <w:pPr>
        <w:pStyle w:val="ListParagraph"/>
        <w:numPr>
          <w:ilvl w:val="0"/>
          <w:numId w:val="37"/>
        </w:numPr>
        <w:spacing w:after="140" w:before="3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10.3 Almacenar las credenciales del backend</w:t>
      </w:r>
    </w:p>
    <w:p>
      <w:pPr>
        <w:spacing w:after="140" w:before="60" w:line="276"/>
        <w:jc w:val="both"/>
      </w:pPr>
      <w:r>
        <w:rPr>
          <w:rFonts w:ascii="Calibri" w:cs="Calibri" w:eastAsia="Calibri" w:hAnsi="Calibri"/>
          <w:b/>
          <w:bCs/>
          <w:i w:val="false"/>
          <w:iCs w:val="false"/>
          <w:color w:val="32363A"/>
          <w:sz w:val="20"/>
          <w:szCs w:val="20"/>
        </w:rPr>
        <w:t xml:space="preserve">Las credenciales nunca se escriben literalmente en una policy.</w:t>
      </w:r>
      <w:r>
        <w:rPr>
          <w:rFonts w:ascii="Calibri" w:cs="Calibri" w:eastAsia="Calibri" w:hAnsi="Calibri"/>
          <w:b w:val="false"/>
          <w:bCs w:val="false"/>
          <w:i w:val="false"/>
          <w:iCs w:val="false"/>
          <w:color w:val="32363A"/>
          <w:sz w:val="20"/>
          <w:szCs w:val="20"/>
        </w:rPr>
        <w:t xml:space="preserve"> Se guardan cifradas en un </w:t>
      </w:r>
      <w:r>
        <w:rPr>
          <w:rFonts w:ascii="Calibri" w:cs="Calibri" w:eastAsia="Calibri" w:hAnsi="Calibri"/>
          <w:b w:val="false"/>
          <w:bCs w:val="false"/>
          <w:i/>
          <w:iCs/>
          <w:color w:val="32363A"/>
          <w:sz w:val="20"/>
          <w:szCs w:val="20"/>
        </w:rPr>
        <w:t xml:space="preserve">Key Value Map</w:t>
      </w:r>
      <w:r>
        <w:rPr>
          <w:rFonts w:ascii="Calibri" w:cs="Calibri" w:eastAsia="Calibri" w:hAnsi="Calibri"/>
          <w:b w:val="false"/>
          <w:bCs w:val="false"/>
          <w:i w:val="false"/>
          <w:iCs w:val="false"/>
          <w:color w:val="32363A"/>
          <w:sz w:val="20"/>
          <w:szCs w:val="20"/>
        </w:rPr>
        <w:t xml:space="preserve">.</w:t>
      </w:r>
    </w:p>
    <w:p>
      <w:pPr>
        <w:pStyle w:val="ListParagraph"/>
        <w:numPr>
          <w:ilvl w:val="0"/>
          <w:numId w:val="38"/>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Key Value Maps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38"/>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27"/>
        <w:gridCol w:w="7919"/>
      </w:tblGrid>
      <w:tr>
        <w:trPr>
          <w:cantSplit/>
          <w:tblHeader/>
        </w:trPr>
        <w:tc>
          <w:tcPr>
            <w:tcW w:type="dxa" w:w="18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Encrypted</w:t>
            </w:r>
          </w:p>
        </w:tc>
        <w:tc>
          <w:tcPr>
            <w:tcW w:type="dxa" w:w="7919"/>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username</w:t>
            </w:r>
            <w:r>
              <w:rPr>
                <w:rFonts w:ascii="Calibri" w:cs="Calibri" w:eastAsia="Calibri" w:hAnsi="Calibri"/>
                <w:b w:val="false"/>
                <w:bCs w:val="false"/>
                <w:i w:val="false"/>
                <w:iCs w:val="false"/>
                <w:color w:val="32363A"/>
                <w:sz w:val="17"/>
                <w:szCs w:val="17"/>
              </w:rPr>
              <w:t xml:space="preserve"> → Value: </w:t>
            </w:r>
            <w:r>
              <w:rPr>
                <w:rFonts w:ascii="Consolas" w:cs="Consolas" w:eastAsia="Consolas" w:hAnsi="Consolas"/>
                <w:color w:val="1D2D3E"/>
                <w:sz w:val="15"/>
                <w:szCs w:val="15"/>
                <w:shd w:fill="F4F6F8" w:val="clear"/>
              </w:rPr>
              <w:t xml:space="preserve">POC_API_USER</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password</w:t>
            </w:r>
            <w:r>
              <w:rPr>
                <w:rFonts w:ascii="Calibri" w:cs="Calibri" w:eastAsia="Calibri" w:hAnsi="Calibri"/>
                <w:b w:val="false"/>
                <w:bCs w:val="false"/>
                <w:i w:val="false"/>
                <w:iCs w:val="false"/>
                <w:color w:val="32363A"/>
                <w:sz w:val="17"/>
                <w:szCs w:val="17"/>
              </w:rPr>
              <w:t xml:space="preserve"> → Value: la contraseña de §7.2</w:t>
            </w:r>
          </w:p>
        </w:tc>
      </w:tr>
    </w:tbl>
    <w:p>
      <w:pPr>
        <w:spacing w:after="200" w:before="0"/>
      </w:pPr>
      <w:r>
        <w:rPr>
          <w:sz w:val="2"/>
          <w:szCs w:val="2"/>
        </w:rPr>
        <w:t xml:space="preserve"/>
      </w:r>
    </w:p>
    <w:p>
      <w:pPr>
        <w:pStyle w:val="ListParagraph"/>
        <w:numPr>
          <w:ilvl w:val="0"/>
          <w:numId w:val="39"/>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10.4 Crear el API Proxy</w:t>
      </w:r>
    </w:p>
    <w:p>
      <w:pPr>
        <w:pStyle w:val="ListParagraph"/>
        <w:numPr>
          <w:ilvl w:val="0"/>
          <w:numId w:val="40"/>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0"/>
        </w:numPr>
        <w:spacing w:after="30" w:before="30" w:line="268"/>
      </w:pPr>
      <w:r>
        <w:rPr>
          <w:rFonts w:ascii="Calibri" w:cs="Calibri" w:eastAsia="Calibri" w:hAnsi="Calibri"/>
          <w:b w:val="false"/>
          <w:bCs w:val="false"/>
          <w:i w:val="false"/>
          <w:iCs w:val="false"/>
          <w:color w:val="32363A"/>
          <w:sz w:val="20"/>
          <w:szCs w:val="20"/>
        </w:rPr>
        <w:t xml:space="preserve">Seleccionar como origen </w:t>
      </w:r>
      <w:r>
        <w:rPr>
          <w:rFonts w:ascii="Calibri" w:cs="Calibri" w:eastAsia="Calibri" w:hAnsi="Calibri"/>
          <w:b/>
          <w:bCs/>
          <w:i w:val="false"/>
          <w:iCs w:val="false"/>
          <w:color w:val="32363A"/>
          <w:sz w:val="20"/>
          <w:szCs w:val="20"/>
        </w:rPr>
        <w:t xml:space="preserve">`API Provider`</w:t>
      </w:r>
      <w:r>
        <w:rPr>
          <w:rFonts w:ascii="Calibri" w:cs="Calibri" w:eastAsia="Calibri" w:hAnsi="Calibri"/>
          <w:b w:val="false"/>
          <w:bCs w:val="false"/>
          <w:i w:val="false"/>
          <w:iCs w:val="false"/>
          <w:color w:val="32363A"/>
          <w:sz w:val="20"/>
          <w:szCs w:val="20"/>
        </w:rPr>
        <w:t xml:space="preserve"> y elegir </w:t>
      </w:r>
      <w:r>
        <w:rPr>
          <w:rFonts w:ascii="Consolas" w:cs="Consolas" w:eastAsia="Consolas" w:hAnsi="Consolas"/>
          <w:color w:val="1D2D3E"/>
          <w:sz w:val="18"/>
          <w:szCs w:val="18"/>
          <w:shd w:fill="F4F6F8" w:val="clear"/>
        </w:rPr>
        <w:t xml:space="preserve">S4H_POC_PROVIDER</w:t>
      </w:r>
      <w:r>
        <w:rPr>
          <w:rFonts w:ascii="Calibri" w:cs="Calibri" w:eastAsia="Calibri" w:hAnsi="Calibri"/>
          <w:b w:val="false"/>
          <w:bCs w:val="false"/>
          <w:i w:val="false"/>
          <w:iCs w:val="false"/>
          <w:color w:val="32363A"/>
          <w:sz w:val="20"/>
          <w:szCs w:val="20"/>
        </w:rPr>
        <w:t xml:space="preserve">.</w:t>
      </w:r>
    </w:p>
    <w:p>
      <w:pPr>
        <w:pStyle w:val="ListParagraph"/>
        <w:numPr>
          <w:ilvl w:val="0"/>
          <w:numId w:val="40"/>
        </w:numPr>
        <w:spacing w:after="140" w:before="3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URL</w:t>
      </w:r>
      <w:r>
        <w:rPr>
          <w:rFonts w:ascii="Calibri" w:cs="Calibri" w:eastAsia="Calibri" w:hAnsi="Calibri"/>
          <w:b w:val="false"/>
          <w:bCs w:val="false"/>
          <w:i w:val="false"/>
          <w:iCs w:val="false"/>
          <w:color w:val="32363A"/>
          <w:sz w:val="20"/>
          <w:szCs w:val="20"/>
        </w:rPr>
        <w:t xml:space="preserve">, indicar la ruta del servicio (sin host):</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/sap/opu/odata4/sap/zapi_customerbasic_o4/srvd_a2x/sap/zapi_customerbasic/0001</w:t>
      </w:r>
    </w:p>
    <w:p>
      <w:pPr>
        <w:pStyle w:val="ListParagraph"/>
        <w:numPr>
          <w:ilvl w:val="0"/>
          <w:numId w:val="41"/>
        </w:numPr>
        <w:spacing w:after="140" w:before="6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249"/>
        <w:gridCol w:w="6497"/>
      </w:tblGrid>
      <w:tr>
        <w:trPr>
          <w:cantSplit/>
          <w:tblHeader/>
        </w:trPr>
        <w:tc>
          <w:tcPr>
            <w:tcW w:type="dxa" w:w="32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4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Consulta de clientes</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Base Path</w:t>
            </w:r>
          </w:p>
        </w:tc>
        <w:tc>
          <w:tcPr>
            <w:tcW w:type="dxa" w:w="649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`/poc/customer/v1`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Type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REST</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v1</w:t>
            </w:r>
          </w:p>
        </w:tc>
      </w:tr>
    </w:tbl>
    <w:p>
      <w:pPr>
        <w:spacing w:after="200" w:before="0"/>
      </w:pPr>
      <w:r>
        <w:rPr>
          <w:sz w:val="2"/>
          <w:szCs w:val="2"/>
        </w:rPr>
        <w:t xml:space="preserve"/>
      </w:r>
    </w:p>
    <w:p>
      <w:pPr>
        <w:pStyle w:val="ListParagraph"/>
        <w:numPr>
          <w:ilvl w:val="0"/>
          <w:numId w:val="42"/>
        </w:numPr>
        <w:spacing w:after="140" w:before="6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estado debe pasar a </w:t>
      </w:r>
      <w:r>
        <w:rPr>
          <w:rFonts w:ascii="Calibri" w:cs="Calibri" w:eastAsia="Calibri" w:hAnsi="Calibri"/>
          <w:b w:val="false"/>
          <w:bCs w:val="false"/>
          <w:i/>
          <w:iCs/>
          <w:color w:val="32363A"/>
          <w:sz w:val="20"/>
          <w:szCs w:val="20"/>
        </w:rPr>
        <w:t xml:space="preserve">Deployed</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w:t>
      </w:r>
      <w:r>
        <w:rPr>
          <w:rFonts w:ascii="Consolas" w:cs="Consolas" w:eastAsia="Consolas" w:hAnsi="Consolas"/>
          <w:color w:val="1D2D3E"/>
          <w:sz w:val="17"/>
          <w:szCs w:val="17"/>
          <w:shd w:fill="F4F6F8" w:val="clear"/>
        </w:rPr>
        <w:t xml:space="preserve">API Base Path</w:t>
      </w:r>
      <w:r>
        <w:rPr>
          <w:rFonts w:ascii="Calibri" w:cs="Calibri" w:eastAsia="Calibri" w:hAnsi="Calibri"/>
          <w:b w:val="false"/>
          <w:bCs w:val="false"/>
          <w:i w:val="false"/>
          <w:iCs w:val="false"/>
          <w:color w:val="32363A"/>
          <w:sz w:val="19"/>
          <w:szCs w:val="19"/>
        </w:rPr>
        <w:t xml:space="preserve"> es la parte visible de la URL pública y </w:t>
      </w:r>
      <w:r>
        <w:rPr>
          <w:rFonts w:ascii="Calibri" w:cs="Calibri" w:eastAsia="Calibri" w:hAnsi="Calibri"/>
          <w:b/>
          <w:bCs/>
          <w:i w:val="false"/>
          <w:iCs w:val="false"/>
          <w:color w:val="32363A"/>
          <w:sz w:val="19"/>
          <w:szCs w:val="19"/>
        </w:rPr>
        <w:t xml:space="preserve">forma parte del contrato</w:t>
      </w:r>
      <w:r>
        <w:rPr>
          <w:rFonts w:ascii="Calibri" w:cs="Calibri" w:eastAsia="Calibri" w:hAnsi="Calibri"/>
          <w:b w:val="false"/>
          <w:bCs w:val="false"/>
          <w:i w:val="false"/>
          <w:iCs w:val="false"/>
          <w:color w:val="32363A"/>
          <w:sz w:val="19"/>
          <w:szCs w:val="19"/>
        </w:rPr>
        <w:t xml:space="preserve">. Incluir la versión (</w:t>
      </w:r>
      <w:r>
        <w:rPr>
          <w:rFonts w:ascii="Consolas" w:cs="Consolas" w:eastAsia="Consolas" w:hAnsi="Consolas"/>
          <w:color w:val="1D2D3E"/>
          <w:sz w:val="17"/>
          <w:szCs w:val="17"/>
          <w:shd w:fill="F4F6F8" w:val="clear"/>
        </w:rPr>
        <w:t xml:space="preserve">/v1</w:t>
      </w:r>
      <w:r>
        <w:rPr>
          <w:rFonts w:ascii="Calibri" w:cs="Calibri" w:eastAsia="Calibri" w:hAnsi="Calibri"/>
          <w:b w:val="false"/>
          <w:bCs w:val="false"/>
          <w:i w:val="false"/>
          <w:iCs w:val="false"/>
          <w:color w:val="32363A"/>
          <w:sz w:val="19"/>
          <w:szCs w:val="19"/>
        </w:rPr>
        <w:t xml:space="preserve">) desde el primer día permite publicar una </w:t>
      </w:r>
      <w:r>
        <w:rPr>
          <w:rFonts w:ascii="Consolas" w:cs="Consolas" w:eastAsia="Consolas" w:hAnsi="Consolas"/>
          <w:color w:val="1D2D3E"/>
          <w:sz w:val="17"/>
          <w:szCs w:val="17"/>
          <w:shd w:fill="F4F6F8" w:val="clear"/>
        </w:rPr>
        <w:t xml:space="preserve">/v2</w:t>
      </w:r>
      <w:r>
        <w:rPr>
          <w:rFonts w:ascii="Calibri" w:cs="Calibri" w:eastAsia="Calibri" w:hAnsi="Calibri"/>
          <w:b w:val="false"/>
          <w:bCs w:val="false"/>
          <w:i w:val="false"/>
          <w:iCs w:val="false"/>
          <w:color w:val="32363A"/>
          <w:sz w:val="19"/>
          <w:szCs w:val="19"/>
        </w:rPr>
        <w:t xml:space="preserve"> incompatible más adelante sin romper a los consumidores existentes. Es una convención que conviene fijar ahora, antes de migrar decenas de interfaces.</w:t>
      </w:r>
    </w:p>
    <w:p>
      <w:pPr>
        <w:pStyle w:val="Heading2"/>
      </w:pPr>
      <w:r>
        <w:rPr>
          <w:rFonts w:ascii="Calibri" w:cs="Calibri" w:eastAsia="Calibri" w:hAnsi="Calibri"/>
          <w:b/>
          <w:bCs/>
          <w:i w:val="false"/>
          <w:iCs w:val="false"/>
          <w:color w:val="0A6ED1"/>
          <w:sz w:val="26"/>
          <w:szCs w:val="26"/>
        </w:rPr>
        <w:t xml:space="preserve">10.5 Configurar las policies</w:t>
      </w:r>
    </w:p>
    <w:p>
      <w:pPr>
        <w:spacing w:after="140" w:before="60" w:line="276"/>
        <w:jc w:val="both"/>
      </w:pPr>
      <w:r>
        <w:rPr>
          <w:rFonts w:ascii="Calibri" w:cs="Calibri" w:eastAsia="Calibri" w:hAnsi="Calibri"/>
          <w:b w:val="false"/>
          <w:bCs w:val="false"/>
          <w:i w:val="false"/>
          <w:iCs w:val="false"/>
          <w:color w:val="32363A"/>
          <w:sz w:val="20"/>
          <w:szCs w:val="20"/>
        </w:rPr>
        <w:t xml:space="preserve">En el editor del API, pulsar </w:t>
      </w:r>
      <w:r>
        <w:rPr>
          <w:rFonts w:ascii="Consolas" w:cs="Consolas" w:eastAsia="Consolas" w:hAnsi="Consolas"/>
          <w:color w:val="1D2D3E"/>
          <w:sz w:val="18"/>
          <w:szCs w:val="18"/>
          <w:shd w:fill="F4F6F8" w:val="clear"/>
        </w:rPr>
        <w:t xml:space="preserve">Policies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Edit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a) Inyectar las credenciales del backend</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`TargetEndpoint` → `PreFlow` → `Request`</w:t>
      </w:r>
      <w:r>
        <w:rPr>
          <w:rFonts w:ascii="Calibri" w:cs="Calibri" w:eastAsia="Calibri" w:hAnsi="Calibri"/>
          <w:b w:val="false"/>
          <w:bCs w:val="false"/>
          <w:i w:val="false"/>
          <w:iCs w:val="false"/>
          <w:color w:val="32363A"/>
          <w:sz w:val="20"/>
          <w:szCs w:val="20"/>
        </w:rPr>
        <w:t xml:space="preserve">, añadir en este orden:</w:t>
      </w:r>
    </w:p>
    <w:p>
      <w:pPr>
        <w:pStyle w:val="ListParagraph"/>
        <w:numPr>
          <w:ilvl w:val="0"/>
          <w:numId w:val="43"/>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`Key Value Map Operations`</w:t>
      </w:r>
      <w:r>
        <w:rPr>
          <w:rFonts w:ascii="Calibri" w:cs="Calibri" w:eastAsia="Calibri" w:hAnsi="Calibri"/>
          <w:b w:val="false"/>
          <w:bCs w:val="false"/>
          <w:i w:val="false"/>
          <w:iCs w:val="false"/>
          <w:color w:val="32363A"/>
          <w:sz w:val="20"/>
          <w:szCs w:val="20"/>
        </w:rPr>
        <w:t xml:space="preserve"> — recupera las credenciales: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&lt;KeyValueMapOperations mapIdentifier="poc_backend_creds"&gt;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&lt;Scope&gt;apiproxy&lt;/Scope&gt;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assignTo="private.bkuser"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&lt;Key&gt;&lt;Parameter&gt;username&lt;/Parameter&gt;&lt;/Key&gt;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assignTo="private.bkpass"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&lt;Key&gt;&lt;Parameter&gt;password&lt;/Parameter&gt;&lt;/Key&gt;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&lt;/KeyValueMapOperations&gt;</w:t>
      </w:r>
    </w:p>
    <w:p>
      <w:pPr>
        <w:pStyle w:val="ListParagraph"/>
        <w:numPr>
          <w:ilvl w:val="0"/>
          <w:numId w:val="44"/>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`Basic Authentication`</w:t>
      </w:r>
      <w:r>
        <w:rPr>
          <w:rFonts w:ascii="Calibri" w:cs="Calibri" w:eastAsia="Calibri" w:hAnsi="Calibri"/>
          <w:b w:val="false"/>
          <w:bCs w:val="false"/>
          <w:i w:val="false"/>
          <w:iCs w:val="false"/>
          <w:color w:val="32363A"/>
          <w:sz w:val="20"/>
          <w:szCs w:val="20"/>
        </w:rPr>
        <w:t xml:space="preserve"> — compone la cabecera </w:t>
      </w:r>
      <w:r>
        <w:rPr>
          <w:rFonts w:ascii="Consolas" w:cs="Consolas" w:eastAsia="Consolas" w:hAnsi="Consolas"/>
          <w:color w:val="1D2D3E"/>
          <w:sz w:val="18"/>
          <w:szCs w:val="18"/>
          <w:shd w:fill="F4F6F8" w:val="clear"/>
        </w:rPr>
        <w:t xml:space="preserve">Authorization</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&lt;BasicAuthentication&gt;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&lt;Operation&gt;Encode&lt;/Operation&gt;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&lt;User ref="private.bkuser"/&gt;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&lt;Password ref="private.bkpass"/&gt;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&lt;AssignTo createNew="true"&gt;request.header.Authorization&lt;/AssignTo&gt;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&lt;/BasicAuthentication&gt;</w:t>
      </w:r>
    </w:p>
    <w:p>
      <w:pPr>
        <w:pStyle w:val="Heading3"/>
      </w:pPr>
      <w:r>
        <w:rPr>
          <w:rFonts w:ascii="Calibri" w:cs="Calibri" w:eastAsia="Calibri" w:hAnsi="Calibri"/>
          <w:b/>
          <w:bCs/>
          <w:i w:val="false"/>
          <w:iCs w:val="false"/>
          <w:color w:val="0A6ED1"/>
          <w:sz w:val="22"/>
          <w:szCs w:val="22"/>
        </w:rPr>
        <w:t xml:space="preserve">b) Proteger el API frente al consumidor</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`ProxyEndpoint` → `PreFlow` → `Request`</w:t>
      </w:r>
      <w:r>
        <w:rPr>
          <w:rFonts w:ascii="Calibri" w:cs="Calibri" w:eastAsia="Calibri" w:hAnsi="Calibri"/>
          <w:b w:val="false"/>
          <w:bCs w:val="false"/>
          <w:i w:val="false"/>
          <w:iCs w:val="false"/>
          <w:color w:val="32363A"/>
          <w:sz w:val="20"/>
          <w:szCs w:val="20"/>
        </w:rPr>
        <w:t xml:space="preserve">:</w:t>
      </w:r>
    </w:p>
    <w:p>
      <w:pPr>
        <w:pStyle w:val="ListParagraph"/>
        <w:numPr>
          <w:ilvl w:val="0"/>
          <w:numId w:val="45"/>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`Verify API Key`</w:t>
      </w:r>
      <w:r>
        <w:rPr>
          <w:rFonts w:ascii="Calibri" w:cs="Calibri" w:eastAsia="Calibri" w:hAnsi="Calibri"/>
          <w:b w:val="false"/>
          <w:bCs w:val="false"/>
          <w:i w:val="false"/>
          <w:iCs w:val="false"/>
          <w:color w:val="32363A"/>
          <w:sz w:val="20"/>
          <w:szCs w:val="20"/>
        </w:rPr>
        <w:t xml:space="preserve"> — exige una clave válida en cada llamada: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&lt;VerifyAPIKey&gt;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&lt;APIKey ref="request.header.APIKey"/&gt;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&lt;/VerifyAPIKey&gt;</w:t>
      </w:r>
    </w:p>
    <w:p>
      <w:pPr>
        <w:pStyle w:val="Heading3"/>
      </w:pPr>
      <w:r>
        <w:rPr>
          <w:rFonts w:ascii="Calibri" w:cs="Calibri" w:eastAsia="Calibri" w:hAnsi="Calibri"/>
          <w:b/>
          <w:bCs/>
          <w:i w:val="false"/>
          <w:iCs w:val="false"/>
          <w:color w:val="0A6ED1"/>
          <w:sz w:val="22"/>
          <w:szCs w:val="22"/>
        </w:rPr>
        <w:t xml:space="preserve">c) Policies recomendadas para el patrón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229"/>
        <w:gridCol w:w="4653"/>
        <w:gridCol w:w="3864"/>
      </w:tblGrid>
      <w:tr>
        <w:trPr>
          <w:cantSplit/>
          <w:tblHeader/>
        </w:trPr>
        <w:tc>
          <w:tcPr>
            <w:tcW w:type="dxa" w:w="122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Policy</w:t>
            </w:r>
          </w:p>
        </w:tc>
        <w:tc>
          <w:tcPr>
            <w:tcW w:type="dxa" w:w="4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c>
          <w:tcPr>
            <w:tcW w:type="dxa" w:w="386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Recomendación</w:t>
            </w:r>
          </w:p>
        </w:tc>
      </w:tr>
      <w:tr>
        <w:trPr>
          <w:cantSplit/>
          <w:tblHeader w:val="false"/>
        </w:trPr>
        <w:tc>
          <w:tcPr>
            <w:tcW w:type="dxa" w:w="122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Quota</w:t>
            </w:r>
          </w:p>
        </w:tc>
        <w:tc>
          <w:tcPr>
            <w:tcW w:type="dxa" w:w="4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Limita el número de llamadas por consumidor y periodo</w:t>
            </w:r>
          </w:p>
        </w:tc>
        <w:tc>
          <w:tcPr>
            <w:tcW w:type="dxa" w:w="3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w:t>
            </w:r>
          </w:p>
        </w:tc>
      </w:tr>
      <w:tr>
        <w:trPr>
          <w:cantSplit/>
          <w:tblHeader w:val="false"/>
        </w:trPr>
        <w:tc>
          <w:tcPr>
            <w:tcW w:type="dxa" w:w="122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Spike Arrest</w:t>
            </w:r>
          </w:p>
        </w:tc>
        <w:tc>
          <w:tcPr>
            <w:tcW w:type="dxa" w:w="4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Amortigua picos de tráfico y protege el backend</w:t>
            </w:r>
          </w:p>
        </w:tc>
        <w:tc>
          <w:tcPr>
            <w:tcW w:type="dxa" w:w="3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w:t>
            </w:r>
          </w:p>
        </w:tc>
      </w:tr>
      <w:tr>
        <w:trPr>
          <w:cantSplit/>
          <w:tblHeader w:val="false"/>
        </w:trPr>
        <w:tc>
          <w:tcPr>
            <w:tcW w:type="dxa" w:w="122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Assign Message</w:t>
            </w:r>
          </w:p>
        </w:tc>
        <w:tc>
          <w:tcPr>
            <w:tcW w:type="dxa" w:w="4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Fija </w:t>
            </w:r>
            <w:r>
              <w:rPr>
                <w:rFonts w:ascii="Consolas" w:cs="Consolas" w:eastAsia="Consolas" w:hAnsi="Consolas"/>
                <w:color w:val="1D2D3E"/>
                <w:sz w:val="15"/>
                <w:szCs w:val="15"/>
                <w:shd w:fill="F4F6F8" w:val="clear"/>
              </w:rPr>
              <w:t xml:space="preserve">sap-client</w:t>
            </w:r>
            <w:r>
              <w:rPr>
                <w:rFonts w:ascii="Calibri" w:cs="Calibri" w:eastAsia="Calibri" w:hAnsi="Calibri"/>
                <w:b w:val="false"/>
                <w:bCs w:val="false"/>
                <w:i w:val="false"/>
                <w:iCs w:val="false"/>
                <w:color w:val="32363A"/>
                <w:sz w:val="17"/>
                <w:szCs w:val="17"/>
              </w:rPr>
              <w:t xml:space="preserve"> como parámetro de la petición</w:t>
            </w:r>
          </w:p>
        </w:tc>
        <w:tc>
          <w:tcPr>
            <w:tcW w:type="dxa" w:w="3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Evita que cada consumidor tenga que enviarlo</w:t>
            </w:r>
          </w:p>
        </w:tc>
      </w:tr>
    </w:tbl>
    <w:p>
      <w:pPr>
        <w:spacing w:after="200" w:before="0"/>
      </w:pPr>
      <w:r>
        <w:rPr>
          <w:sz w:val="2"/>
          <w:szCs w:val="2"/>
        </w:rPr>
        <w:t xml:space="preserve"/>
      </w:r>
    </w:p>
    <w:p>
      <w:pPr>
        <w:pStyle w:val="ListParagraph"/>
        <w:numPr>
          <w:ilvl w:val="0"/>
          <w:numId w:val="46"/>
        </w:numPr>
        <w:spacing w:after="140" w:before="60" w:line="268"/>
      </w:pPr>
      <w:r>
        <w:rPr>
          <w:rFonts w:ascii="Calibri" w:cs="Calibri" w:eastAsia="Calibri" w:hAnsi="Calibri"/>
          <w:b w:val="false"/>
          <w:bCs w:val="false"/>
          <w:i w:val="false"/>
          <w:iCs w:val="false"/>
          <w:color w:val="32363A"/>
          <w:sz w:val="20"/>
          <w:szCs w:val="20"/>
        </w:rPr>
        <w:t xml:space="preserve">Pulsar </w:t>
      </w:r>
      <w:r>
        <w:rPr>
          <w:rFonts w:ascii="Consolas" w:cs="Consolas" w:eastAsia="Consolas" w:hAnsi="Consolas"/>
          <w:color w:val="1D2D3E"/>
          <w:sz w:val="18"/>
          <w:szCs w:val="18"/>
          <w:shd w:fill="F4F6F8" w:val="clear"/>
        </w:rPr>
        <w:t xml:space="preserve">Update</w:t>
      </w:r>
      <w:r>
        <w:rPr>
          <w:rFonts w:ascii="Calibri" w:cs="Calibri" w:eastAsia="Calibri" w:hAnsi="Calibri"/>
          <w:b w:val="false"/>
          <w:bCs w:val="false"/>
          <w:i w:val="false"/>
          <w:iCs w:val="false"/>
          <w:color w:val="32363A"/>
          <w:sz w:val="20"/>
          <w:szCs w:val="20"/>
        </w:rPr>
        <w:t xml:space="preserve"> y volver a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API. </w:t>
      </w:r>
      <w:r>
        <w:rPr>
          <w:rFonts w:ascii="Calibri" w:cs="Calibri" w:eastAsia="Calibri" w:hAnsi="Calibri"/>
          <w:b/>
          <w:bCs/>
          <w:i w:val="false"/>
          <w:iCs w:val="false"/>
          <w:color w:val="32363A"/>
          <w:sz w:val="20"/>
          <w:szCs w:val="20"/>
        </w:rPr>
        <w:t xml:space="preserve">Todo cambio en policies exige un nuevo despliegue.</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Con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las credenciales de SAP quedan confinadas en BTP: el consumidor externo nunca las conoce. Revocar un acceso se reduce a eliminar su Application, sin cambiar la contraseña del usuario técnico ni afectar al resto de consumidores. Esta separación es una de las ganancias reales frente al modelo de PI/PO.</w:t>
      </w:r>
    </w:p>
    <w:p>
      <w:pPr>
        <w:pStyle w:val="Heading2"/>
      </w:pPr>
      <w:r>
        <w:rPr>
          <w:rFonts w:ascii="Calibri" w:cs="Calibri" w:eastAsia="Calibri" w:hAnsi="Calibri"/>
          <w:b/>
          <w:bCs/>
          <w:i w:val="false"/>
          <w:iCs w:val="false"/>
          <w:color w:val="0A6ED1"/>
          <w:sz w:val="26"/>
          <w:szCs w:val="26"/>
        </w:rPr>
        <w:t xml:space="preserve">10.6 Publicar el API y obtener la API Key</w:t>
      </w:r>
    </w:p>
    <w:p>
      <w:pPr>
        <w:pStyle w:val="Heading3"/>
      </w:pPr>
      <w:r>
        <w:rPr>
          <w:rFonts w:ascii="Calibri" w:cs="Calibri" w:eastAsia="Calibri" w:hAnsi="Calibri"/>
          <w:b/>
          <w:bCs/>
          <w:i w:val="false"/>
          <w:iCs w:val="false"/>
          <w:color w:val="0A6ED1"/>
          <w:sz w:val="22"/>
          <w:szCs w:val="22"/>
        </w:rPr>
        <w:t xml:space="preserve">a) Crear el Product</w:t>
      </w:r>
    </w:p>
    <w:p>
      <w:pPr>
        <w:pStyle w:val="ListParagraph"/>
        <w:numPr>
          <w:ilvl w:val="0"/>
          <w:numId w:val="47"/>
        </w:numPr>
        <w:spacing w:after="30" w:before="60" w:line="268"/>
      </w:pPr>
      <w:r>
        <w:rPr>
          <w:rFonts w:ascii="Calibri" w:cs="Calibri" w:eastAsia="Calibri" w:hAnsi="Calibri"/>
          <w:b w:val="false"/>
          <w:bCs w:val="false"/>
          <w:i w:val="false"/>
          <w:iCs w:val="false"/>
          <w:color w:val="32363A"/>
          <w:sz w:val="20"/>
          <w:szCs w:val="20"/>
        </w:rPr>
        <w:t xml:space="preserve">API Portal → </w:t>
      </w:r>
      <w:r>
        <w:rPr>
          <w:rFonts w:ascii="Consolas" w:cs="Consolas" w:eastAsia="Consolas" w:hAnsi="Consolas"/>
          <w:color w:val="1D2D3E"/>
          <w:sz w:val="18"/>
          <w:szCs w:val="18"/>
          <w:shd w:fill="F4F6F8" w:val="clear"/>
        </w:rPr>
        <w:t xml:space="preserve">Engagement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Products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7"/>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95"/>
        <w:gridCol w:w="7851"/>
      </w:tblGrid>
      <w:tr>
        <w:trPr>
          <w:cantSplit/>
          <w:tblHeader/>
        </w:trPr>
        <w:tc>
          <w:tcPr>
            <w:tcW w:type="dxa" w:w="18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8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785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Migración de interfaces</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w:t>
            </w:r>
          </w:p>
        </w:tc>
      </w:tr>
    </w:tbl>
    <w:p>
      <w:pPr>
        <w:spacing w:after="200" w:before="0"/>
      </w:pPr>
      <w:r>
        <w:rPr>
          <w:sz w:val="2"/>
          <w:szCs w:val="2"/>
        </w:rPr>
        <w:t xml:space="preserve"/>
      </w:r>
    </w:p>
    <w:p>
      <w:pPr>
        <w:pStyle w:val="ListParagraph"/>
        <w:numPr>
          <w:ilvl w:val="0"/>
          <w:numId w:val="48"/>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 seleccionar </w:t>
      </w:r>
      <w:r>
        <w:rPr>
          <w:rFonts w:ascii="Consolas" w:cs="Consolas" w:eastAsia="Consolas" w:hAnsi="Consolas"/>
          <w:color w:val="1D2D3E"/>
          <w:sz w:val="18"/>
          <w:szCs w:val="18"/>
          <w:shd w:fill="F4F6F8" w:val="clear"/>
        </w:rPr>
        <w:t xml:space="preserve">PoC_Customer_v1</w:t>
      </w:r>
      <w:r>
        <w:rPr>
          <w:rFonts w:ascii="Calibri" w:cs="Calibri" w:eastAsia="Calibri" w:hAnsi="Calibri"/>
          <w:b w:val="false"/>
          <w:bCs w:val="false"/>
          <w:i w:val="false"/>
          <w:iCs w:val="false"/>
          <w:color w:val="32363A"/>
          <w:sz w:val="20"/>
          <w:szCs w:val="20"/>
        </w:rPr>
        <w:t xml:space="preserve">.</w:t>
      </w:r>
    </w:p>
    <w:p>
      <w:pPr>
        <w:pStyle w:val="ListParagraph"/>
        <w:numPr>
          <w:ilvl w:val="0"/>
          <w:numId w:val="48"/>
        </w:numPr>
        <w:spacing w:after="140" w:before="3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b) Crear la Application</w:t>
      </w:r>
    </w:p>
    <w:p>
      <w:pPr>
        <w:pStyle w:val="ListParagraph"/>
        <w:numPr>
          <w:ilvl w:val="0"/>
          <w:numId w:val="49"/>
        </w:numPr>
        <w:spacing w:after="30" w:before="60" w:line="268"/>
      </w:pPr>
      <w:r>
        <w:rPr>
          <w:rFonts w:ascii="Calibri" w:cs="Calibri" w:eastAsia="Calibri" w:hAnsi="Calibri"/>
          <w:b w:val="false"/>
          <w:bCs w:val="false"/>
          <w:i w:val="false"/>
          <w:iCs w:val="false"/>
          <w:color w:val="32363A"/>
          <w:sz w:val="20"/>
          <w:szCs w:val="20"/>
        </w:rPr>
        <w:t xml:space="preserve">Abrir el </w:t>
      </w:r>
      <w:r>
        <w:rPr>
          <w:rFonts w:ascii="Calibri" w:cs="Calibri" w:eastAsia="Calibri" w:hAnsi="Calibri"/>
          <w:b/>
          <w:bCs/>
          <w:i w:val="false"/>
          <w:iCs w:val="false"/>
          <w:color w:val="32363A"/>
          <w:sz w:val="20"/>
          <w:szCs w:val="20"/>
        </w:rPr>
        <w:t xml:space="preserve">Developer Portal</w:t>
      </w:r>
      <w:r>
        <w:rPr>
          <w:rFonts w:ascii="Calibri" w:cs="Calibri" w:eastAsia="Calibri" w:hAnsi="Calibri"/>
          <w:b w:val="false"/>
          <w:bCs w:val="false"/>
          <w:i w:val="false"/>
          <w:iCs w:val="false"/>
          <w:color w:val="32363A"/>
          <w:sz w:val="20"/>
          <w:szCs w:val="20"/>
        </w:rPr>
        <w:t xml:space="preserve"> (API Business Hub Enterprise).</w:t>
      </w:r>
    </w:p>
    <w:p>
      <w:pPr>
        <w:pStyle w:val="ListParagraph"/>
        <w:numPr>
          <w:ilvl w:val="0"/>
          <w:numId w:val="49"/>
        </w:numPr>
        <w:spacing w:after="30" w:before="30" w:line="268"/>
      </w:pPr>
      <w:r>
        <w:rPr>
          <w:rFonts w:ascii="Consolas" w:cs="Consolas" w:eastAsia="Consolas" w:hAnsi="Consolas"/>
          <w:color w:val="1D2D3E"/>
          <w:sz w:val="18"/>
          <w:szCs w:val="18"/>
          <w:shd w:fill="F4F6F8" w:val="clear"/>
        </w:rPr>
        <w:t xml:space="preserve">Applications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Application</w:t>
      </w:r>
      <w:r>
        <w:rPr>
          <w:rFonts w:ascii="Calibri" w:cs="Calibri" w:eastAsia="Calibri" w:hAnsi="Calibri"/>
          <w:b w:val="false"/>
          <w:bCs w:val="false"/>
          <w:i w:val="false"/>
          <w:iCs w:val="false"/>
          <w:color w:val="32363A"/>
          <w:sz w:val="20"/>
          <w:szCs w:val="20"/>
        </w:rPr>
        <w:t xml:space="preserve">.</w:t>
      </w:r>
    </w:p>
    <w:p>
      <w:pPr>
        <w:pStyle w:val="ListParagraph"/>
        <w:numPr>
          <w:ilvl w:val="0"/>
          <w:numId w:val="49"/>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49"/>
        <w:gridCol w:w="6997"/>
      </w:tblGrid>
      <w:tr>
        <w:trPr>
          <w:cantSplit/>
          <w:tblHeader/>
        </w:trPr>
        <w:tc>
          <w:tcPr>
            <w:tcW w:type="dxa" w:w="27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9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r>
      <w:tr>
        <w:trPr>
          <w:cantSplit/>
          <w:tblHeader w:val="false"/>
        </w:trPr>
        <w:tc>
          <w:tcPr>
            <w:tcW w:type="dxa" w:w="27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9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Cliente de pruebas de la PoC</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Products</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bl>
    <w:p>
      <w:pPr>
        <w:spacing w:after="200" w:before="0"/>
      </w:pPr>
      <w:r>
        <w:rPr>
          <w:sz w:val="2"/>
          <w:szCs w:val="2"/>
        </w:rPr>
        <w:t xml:space="preserve"/>
      </w:r>
    </w:p>
    <w:p>
      <w:pPr>
        <w:pStyle w:val="ListParagraph"/>
        <w:numPr>
          <w:ilvl w:val="0"/>
          <w:numId w:val="50"/>
        </w:numPr>
        <w:spacing w:after="30" w:before="60" w:line="268"/>
      </w:pPr>
      <w:r>
        <w:rPr>
          <w:rFonts w:ascii="Calibri" w:cs="Calibri" w:eastAsia="Calibri" w:hAnsi="Calibri"/>
          <w:b w:val="false"/>
          <w:bCs w:val="false"/>
          <w:i w:val="false"/>
          <w:iCs w:val="false"/>
          <w:color w:val="32363A"/>
          <w:sz w:val="20"/>
          <w:szCs w:val="20"/>
        </w:rPr>
        <w:t xml:space="preserve">Grabar.</w:t>
      </w:r>
    </w:p>
    <w:p>
      <w:pPr>
        <w:pStyle w:val="ListParagraph"/>
        <w:numPr>
          <w:ilvl w:val="0"/>
          <w:numId w:val="50"/>
        </w:numPr>
        <w:spacing w:after="140" w:before="30" w:line="268"/>
      </w:pPr>
      <w:r>
        <w:rPr>
          <w:rFonts w:ascii="Calibri" w:cs="Calibri" w:eastAsia="Calibri" w:hAnsi="Calibri"/>
          <w:b/>
          <w:bCs/>
          <w:i w:val="false"/>
          <w:iCs w:val="false"/>
          <w:color w:val="32363A"/>
          <w:sz w:val="20"/>
          <w:szCs w:val="20"/>
        </w:rPr>
        <w:t xml:space="preserve">Copiar el `Application Key`.</w:t>
      </w:r>
      <w:r>
        <w:rPr>
          <w:rFonts w:ascii="Calibri" w:cs="Calibri" w:eastAsia="Calibri" w:hAnsi="Calibri"/>
          <w:b w:val="false"/>
          <w:bCs w:val="false"/>
          <w:i w:val="false"/>
          <w:iCs w:val="false"/>
          <w:color w:val="32363A"/>
          <w:sz w:val="20"/>
          <w:szCs w:val="20"/>
        </w:rPr>
        <w:t xml:space="preserve"> Es la API Key que consumirá Postman.</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Tratar la Application Key como un secreto. No debe subirse al repositorio, ni exportarse dentro de una colección de Postman, ni compartirse por chat o correo.</w:t>
      </w:r>
    </w:p>
    <w:p>
      <w:pPr>
        <w:pStyle w:val="Heading1"/>
        <w:pageBreakBefore/>
      </w:pPr>
      <w:r>
        <w:rPr>
          <w:rFonts w:ascii="Calibri" w:cs="Calibri" w:eastAsia="Calibri" w:hAnsi="Calibri"/>
          <w:b/>
          <w:bCs/>
          <w:i w:val="false"/>
          <w:iCs w:val="false"/>
          <w:color w:val="1D2D3E"/>
          <w:sz w:val="34"/>
          <w:szCs w:val="34"/>
        </w:rPr>
        <w:t xml:space="preserve">11. Paso a paso — Postman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11.1 Crear el Environment</w:t>
      </w:r>
    </w:p>
    <w:p>
      <w:pPr>
        <w:spacing w:after="140" w:before="60" w:line="276"/>
        <w:jc w:val="both"/>
      </w:pPr>
      <w:r>
        <w:rPr>
          <w:rFonts w:ascii="Calibri" w:cs="Calibri" w:eastAsia="Calibri" w:hAnsi="Calibri"/>
          <w:b w:val="false"/>
          <w:bCs w:val="false"/>
          <w:i w:val="false"/>
          <w:iCs w:val="false"/>
          <w:color w:val="32363A"/>
          <w:sz w:val="20"/>
          <w:szCs w:val="20"/>
        </w:rPr>
        <w:t xml:space="preserve">Ninguna URL, clave o credencial debe escribirse dentro de una petición. Se parametriza todo en un </w:t>
      </w:r>
      <w:r>
        <w:rPr>
          <w:rFonts w:ascii="Calibri" w:cs="Calibri" w:eastAsia="Calibri" w:hAnsi="Calibri"/>
          <w:b w:val="false"/>
          <w:bCs w:val="false"/>
          <w:i/>
          <w:iCs/>
          <w:color w:val="32363A"/>
          <w:sz w:val="20"/>
          <w:szCs w:val="20"/>
        </w:rPr>
        <w:t xml:space="preserve">Environment</w:t>
      </w:r>
      <w:r>
        <w:rPr>
          <w:rFonts w:ascii="Calibri" w:cs="Calibri" w:eastAsia="Calibri" w:hAnsi="Calibri"/>
          <w:b w:val="false"/>
          <w:bCs w:val="false"/>
          <w:i w:val="false"/>
          <w:iCs w:val="false"/>
          <w:color w:val="32363A"/>
          <w:sz w:val="20"/>
          <w:szCs w:val="20"/>
        </w:rPr>
        <w:t xml:space="preserve">, de modo que la misma colección sirva para DEV, QAS y PRD cambiando únicamente el entorno activo.</w:t>
      </w:r>
    </w:p>
    <w:p>
      <w:pPr>
        <w:pStyle w:val="ListParagraph"/>
        <w:numPr>
          <w:ilvl w:val="0"/>
          <w:numId w:val="51"/>
        </w:numPr>
        <w:spacing w:after="30" w:before="60" w:line="268"/>
      </w:pPr>
      <w:r>
        <w:rPr>
          <w:rFonts w:ascii="Calibri" w:cs="Calibri" w:eastAsia="Calibri" w:hAnsi="Calibri"/>
          <w:b w:val="false"/>
          <w:bCs w:val="false"/>
          <w:i w:val="false"/>
          <w:iCs w:val="false"/>
          <w:color w:val="32363A"/>
          <w:sz w:val="20"/>
          <w:szCs w:val="20"/>
        </w:rPr>
        <w:t xml:space="preserve">Postman → </w:t>
      </w:r>
      <w:r>
        <w:rPr>
          <w:rFonts w:ascii="Consolas" w:cs="Consolas" w:eastAsia="Consolas" w:hAnsi="Consolas"/>
          <w:color w:val="1D2D3E"/>
          <w:sz w:val="18"/>
          <w:szCs w:val="18"/>
          <w:shd w:fill="F4F6F8" w:val="clear"/>
        </w:rPr>
        <w:t xml:space="preserve">Environments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Environment</w:t>
      </w:r>
      <w:r>
        <w:rPr>
          <w:rFonts w:ascii="Calibri" w:cs="Calibri" w:eastAsia="Calibri" w:hAnsi="Calibri"/>
          <w:b w:val="false"/>
          <w:bCs w:val="false"/>
          <w:i w:val="false"/>
          <w:iCs w:val="false"/>
          <w:color w:val="32363A"/>
          <w:sz w:val="20"/>
          <w:szCs w:val="20"/>
        </w:rPr>
        <w:t xml:space="preserve">.</w:t>
      </w:r>
    </w:p>
    <w:p>
      <w:pPr>
        <w:pStyle w:val="ListParagraph"/>
        <w:numPr>
          <w:ilvl w:val="0"/>
          <w:numId w:val="51"/>
        </w:numPr>
        <w:spacing w:after="30" w:before="30" w:line="268"/>
      </w:pPr>
      <w:r>
        <w:rPr>
          <w:rFonts w:ascii="Calibri" w:cs="Calibri" w:eastAsia="Calibri" w:hAnsi="Calibri"/>
          <w:b w:val="false"/>
          <w:bCs w:val="false"/>
          <w:i w:val="false"/>
          <w:iCs w:val="false"/>
          <w:color w:val="32363A"/>
          <w:sz w:val="20"/>
          <w:szCs w:val="20"/>
        </w:rPr>
        <w:t xml:space="preserve">Nombre: </w:t>
      </w:r>
      <w:r>
        <w:rPr>
          <w:rFonts w:ascii="Consolas" w:cs="Consolas" w:eastAsia="Consolas" w:hAnsi="Consolas"/>
          <w:color w:val="1D2D3E"/>
          <w:sz w:val="18"/>
          <w:szCs w:val="18"/>
          <w:shd w:fill="F4F6F8" w:val="clear"/>
        </w:rPr>
        <w:t xml:space="preserve">PoC-S4H-API-DEV</w:t>
      </w:r>
      <w:r>
        <w:rPr>
          <w:rFonts w:ascii="Calibri" w:cs="Calibri" w:eastAsia="Calibri" w:hAnsi="Calibri"/>
          <w:b w:val="false"/>
          <w:bCs w:val="false"/>
          <w:i w:val="false"/>
          <w:iCs w:val="false"/>
          <w:color w:val="32363A"/>
          <w:sz w:val="20"/>
          <w:szCs w:val="20"/>
        </w:rPr>
        <w:t xml:space="preserve">.</w:t>
      </w:r>
    </w:p>
    <w:p>
      <w:pPr>
        <w:pStyle w:val="ListParagraph"/>
        <w:numPr>
          <w:ilvl w:val="0"/>
          <w:numId w:val="51"/>
        </w:numPr>
        <w:spacing w:after="140" w:before="30" w:line="268"/>
      </w:pPr>
      <w:r>
        <w:rPr>
          <w:rFonts w:ascii="Calibri" w:cs="Calibri" w:eastAsia="Calibri" w:hAnsi="Calibri"/>
          <w:b w:val="false"/>
          <w:bCs w:val="false"/>
          <w:i w:val="false"/>
          <w:iCs w:val="false"/>
          <w:color w:val="32363A"/>
          <w:sz w:val="20"/>
          <w:szCs w:val="20"/>
        </w:rPr>
        <w:t xml:space="preserve">Variables: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299"/>
        <w:gridCol w:w="910"/>
        <w:gridCol w:w="7537"/>
      </w:tblGrid>
      <w:tr>
        <w:trPr>
          <w:cantSplit/>
          <w:tblHeader/>
        </w:trPr>
        <w:tc>
          <w:tcPr>
            <w:tcW w:type="dxa" w:w="129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Variable</w:t>
            </w:r>
          </w:p>
        </w:tc>
        <w:tc>
          <w:tcPr>
            <w:tcW w:type="dxa" w:w="9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75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29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apim_host</w:t>
            </w:r>
          </w:p>
        </w:tc>
        <w:tc>
          <w:tcPr>
            <w:tcW w:type="dxa" w:w="9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53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w:t>
            </w:r>
          </w:p>
        </w:tc>
      </w:tr>
      <w:tr>
        <w:trPr>
          <w:cantSplit/>
          <w:tblHeader w:val="false"/>
        </w:trPr>
        <w:tc>
          <w:tcPr>
            <w:tcW w:type="dxa" w:w="129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base_path</w:t>
            </w:r>
          </w:p>
        </w:tc>
        <w:tc>
          <w:tcPr>
            <w:tcW w:type="dxa" w:w="9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53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/poc/customer/v1</w:t>
            </w:r>
          </w:p>
        </w:tc>
      </w:tr>
      <w:tr>
        <w:trPr>
          <w:cantSplit/>
          <w:tblHeader w:val="false"/>
        </w:trPr>
        <w:tc>
          <w:tcPr>
            <w:tcW w:type="dxa" w:w="129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entity_set</w:t>
            </w:r>
          </w:p>
        </w:tc>
        <w:tc>
          <w:tcPr>
            <w:tcW w:type="dxa" w:w="9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53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CustomerBasic</w:t>
            </w:r>
          </w:p>
        </w:tc>
      </w:tr>
      <w:tr>
        <w:trPr>
          <w:cantSplit/>
          <w:tblHeader w:val="false"/>
        </w:trPr>
        <w:tc>
          <w:tcPr>
            <w:tcW w:type="dxa" w:w="129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sap_client</w:t>
            </w:r>
          </w:p>
        </w:tc>
        <w:tc>
          <w:tcPr>
            <w:tcW w:type="dxa" w:w="9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53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r>
      <w:tr>
        <w:trPr>
          <w:cantSplit/>
          <w:tblHeader w:val="false"/>
        </w:trPr>
        <w:tc>
          <w:tcPr>
            <w:tcW w:type="dxa" w:w="129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c>
          <w:tcPr>
            <w:tcW w:type="dxa" w:w="91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w:t>
            </w:r>
            <w:r>
              <w:rPr>
                <w:rFonts w:ascii="Calibri" w:cs="Calibri" w:eastAsia="Calibri" w:hAnsi="Calibri"/>
                <w:b w:val="false"/>
                <w:bCs w:val="false"/>
                <w:i/>
                <w:iCs/>
                <w:color w:val="32363A"/>
                <w:sz w:val="17"/>
                <w:szCs w:val="17"/>
              </w:rPr>
              <w:t xml:space="preserve">Application Key</w:t>
            </w:r>
            <w:r>
              <w:rPr>
                <w:rFonts w:ascii="Calibri" w:cs="Calibri" w:eastAsia="Calibri" w:hAnsi="Calibri"/>
                <w:b w:val="false"/>
                <w:bCs w:val="false"/>
                <w:i w:val="false"/>
                <w:iCs w:val="false"/>
                <w:color w:val="32363A"/>
                <w:sz w:val="17"/>
                <w:szCs w:val="17"/>
              </w:rPr>
              <w:t xml:space="preserve"> de §10.6</w:t>
            </w:r>
          </w:p>
        </w:tc>
      </w:tr>
    </w:tbl>
    <w:p>
      <w:pPr>
        <w:spacing w:after="200" w:before="0"/>
      </w:pPr>
      <w:r>
        <w:rPr>
          <w:sz w:val="2"/>
          <w:szCs w:val="2"/>
        </w:rPr>
        <w:t xml:space="preserve"/>
      </w:r>
    </w:p>
    <w:p>
      <w:pPr>
        <w:pStyle w:val="ListParagraph"/>
        <w:numPr>
          <w:ilvl w:val="0"/>
          <w:numId w:val="52"/>
        </w:numPr>
        <w:spacing w:after="140" w:before="60" w:line="268"/>
      </w:pPr>
      <w:r>
        <w:rPr>
          <w:rFonts w:ascii="Calibri" w:cs="Calibri" w:eastAsia="Calibri" w:hAnsi="Calibri"/>
          <w:b w:val="false"/>
          <w:bCs w:val="false"/>
          <w:i w:val="false"/>
          <w:iCs w:val="false"/>
          <w:color w:val="32363A"/>
          <w:sz w:val="20"/>
          <w:szCs w:val="20"/>
        </w:rPr>
        <w:t xml:space="preserve">Activar el entorno en el selector superior derecho.</w:t>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val="false"/>
          <w:bCs w:val="false"/>
          <w:i w:val="false"/>
          <w:iCs w:val="false"/>
          <w:color w:val="32363A"/>
          <w:sz w:val="19"/>
          <w:szCs w:val="19"/>
        </w:rPr>
        <w:t xml:space="preserve">La URL exacta del host figura en el API Portal, en la pantalla de detalle del API Proxy, bajo </w:t>
      </w:r>
      <w:r>
        <w:rPr>
          <w:rFonts w:ascii="Calibri" w:cs="Calibri" w:eastAsia="Calibri" w:hAnsi="Calibri"/>
          <w:b/>
          <w:bCs/>
          <w:i w:val="false"/>
          <w:iCs w:val="false"/>
          <w:color w:val="32363A"/>
          <w:sz w:val="19"/>
          <w:szCs w:val="19"/>
        </w:rPr>
        <w:t xml:space="preserve">`API Proxy URL`</w:t>
      </w:r>
      <w:r>
        <w:rPr>
          <w:rFonts w:ascii="Calibri" w:cs="Calibri" w:eastAsia="Calibri" w:hAnsi="Calibri"/>
          <w:b w:val="false"/>
          <w:bCs w:val="false"/>
          <w:i w:val="false"/>
          <w:iCs w:val="false"/>
          <w:color w:val="32363A"/>
          <w:sz w:val="19"/>
          <w:szCs w:val="19"/>
        </w:rPr>
        <w:t xml:space="preserve">.</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val="false"/>
          <w:bCs w:val="false"/>
          <w:i w:val="false"/>
          <w:iCs w:val="false"/>
          <w:color w:val="32363A"/>
          <w:sz w:val="19"/>
          <w:szCs w:val="19"/>
        </w:rPr>
        <w:t xml:space="preserve">La variable </w:t>
      </w:r>
      <w:r>
        <w:rPr>
          <w:rFonts w:ascii="Consolas" w:cs="Consolas" w:eastAsia="Consolas" w:hAnsi="Consolas"/>
          <w:color w:val="1D2D3E"/>
          <w:sz w:val="17"/>
          <w:szCs w:val="17"/>
          <w:shd w:fill="F4F6F8" w:val="clear"/>
        </w:rPr>
        <w:t xml:space="preserve">api_key</w:t>
      </w:r>
      <w:r>
        <w:rPr>
          <w:rFonts w:ascii="Calibri" w:cs="Calibri" w:eastAsia="Calibri" w:hAnsi="Calibri"/>
          <w:b w:val="false"/>
          <w:bCs w:val="false"/>
          <w:i w:val="false"/>
          <w:iCs w:val="false"/>
          <w:color w:val="32363A"/>
          <w:sz w:val="19"/>
          <w:szCs w:val="19"/>
        </w:rPr>
        <w:t xml:space="preserve"> debe declararse de tipo </w:t>
      </w:r>
      <w:r>
        <w:rPr>
          <w:rFonts w:ascii="Calibri" w:cs="Calibri" w:eastAsia="Calibri" w:hAnsi="Calibri"/>
          <w:b/>
          <w:bCs/>
          <w:i w:val="false"/>
          <w:iCs w:val="false"/>
          <w:color w:val="32363A"/>
          <w:sz w:val="19"/>
          <w:szCs w:val="19"/>
        </w:rPr>
        <w:t xml:space="preserve">`secret`</w:t>
      </w:r>
      <w:r>
        <w:rPr>
          <w:rFonts w:ascii="Calibri" w:cs="Calibri" w:eastAsia="Calibri" w:hAnsi="Calibri"/>
          <w:b w:val="false"/>
          <w:bCs w:val="false"/>
          <w:i w:val="false"/>
          <w:iCs w:val="false"/>
          <w:color w:val="32363A"/>
          <w:sz w:val="19"/>
          <w:szCs w:val="19"/>
        </w:rPr>
        <w:t xml:space="preserve">: Postman la enmascara en pantalla y la excluye de las exportaciones de la colección.</w:t>
      </w:r>
    </w:p>
    <w:p>
      <w:pPr>
        <w:pStyle w:val="Heading2"/>
      </w:pPr>
      <w:r>
        <w:rPr>
          <w:rFonts w:ascii="Calibri" w:cs="Calibri" w:eastAsia="Calibri" w:hAnsi="Calibri"/>
          <w:b/>
          <w:bCs/>
          <w:i w:val="false"/>
          <w:iCs w:val="false"/>
          <w:color w:val="0A6ED1"/>
          <w:sz w:val="26"/>
          <w:szCs w:val="26"/>
        </w:rPr>
        <w:t xml:space="preserve">11.2 Crear la Collection y la autenticación</w:t>
      </w:r>
    </w:p>
    <w:p>
      <w:pPr>
        <w:pStyle w:val="ListParagraph"/>
        <w:numPr>
          <w:ilvl w:val="0"/>
          <w:numId w:val="53"/>
        </w:numPr>
        <w:spacing w:after="30" w:before="60" w:line="268"/>
      </w:pPr>
      <w:r>
        <w:rPr>
          <w:rFonts w:ascii="Consolas" w:cs="Consolas" w:eastAsia="Consolas" w:hAnsi="Consolas"/>
          <w:color w:val="1D2D3E"/>
          <w:sz w:val="18"/>
          <w:szCs w:val="18"/>
          <w:shd w:fill="F4F6F8" w:val="clear"/>
        </w:rPr>
        <w:t xml:space="preserve">Collections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Collection</w:t>
      </w:r>
      <w:r>
        <w:rPr>
          <w:rFonts w:ascii="Calibri" w:cs="Calibri" w:eastAsia="Calibri" w:hAnsi="Calibri"/>
          <w:b w:val="false"/>
          <w:bCs w:val="false"/>
          <w:i w:val="false"/>
          <w:iCs w:val="false"/>
          <w:color w:val="32363A"/>
          <w:sz w:val="20"/>
          <w:szCs w:val="20"/>
        </w:rPr>
        <w:t xml:space="preserve"> → nombre </w:t>
      </w:r>
      <w:r>
        <w:rPr>
          <w:rFonts w:ascii="Consolas" w:cs="Consolas" w:eastAsia="Consolas" w:hAnsi="Consolas"/>
          <w:color w:val="1D2D3E"/>
          <w:sz w:val="18"/>
          <w:szCs w:val="18"/>
          <w:shd w:fill="F4F6F8" w:val="clear"/>
        </w:rPr>
        <w:t xml:space="preserve">PoC - S4H Customer API</w:t>
      </w:r>
      <w:r>
        <w:rPr>
          <w:rFonts w:ascii="Calibri" w:cs="Calibri" w:eastAsia="Calibri" w:hAnsi="Calibri"/>
          <w:b w:val="false"/>
          <w:bCs w:val="false"/>
          <w:i w:val="false"/>
          <w:iCs w:val="false"/>
          <w:color w:val="32363A"/>
          <w:sz w:val="20"/>
          <w:szCs w:val="20"/>
        </w:rPr>
        <w:t xml:space="preserve">.</w:t>
      </w:r>
    </w:p>
    <w:p>
      <w:pPr>
        <w:pStyle w:val="ListParagraph"/>
        <w:numPr>
          <w:ilvl w:val="0"/>
          <w:numId w:val="53"/>
        </w:numPr>
        <w:spacing w:after="3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Authorization</w:t>
      </w:r>
      <w:r>
        <w:rPr>
          <w:rFonts w:ascii="Calibri" w:cs="Calibri" w:eastAsia="Calibri" w:hAnsi="Calibri"/>
          <w:b w:val="false"/>
          <w:bCs w:val="false"/>
          <w:i w:val="false"/>
          <w:iCs w:val="false"/>
          <w:color w:val="32363A"/>
          <w:sz w:val="20"/>
          <w:szCs w:val="20"/>
        </w:rPr>
        <w:t xml:space="preserve"> de la colección → Type: </w:t>
      </w:r>
      <w:r>
        <w:rPr>
          <w:rFonts w:ascii="Consolas" w:cs="Consolas" w:eastAsia="Consolas" w:hAnsi="Consolas"/>
          <w:color w:val="1D2D3E"/>
          <w:sz w:val="18"/>
          <w:szCs w:val="18"/>
          <w:shd w:fill="F4F6F8" w:val="clear"/>
        </w:rPr>
        <w:t xml:space="preserve">No Auth</w:t>
      </w:r>
      <w:r>
        <w:rPr>
          <w:rFonts w:ascii="Calibri" w:cs="Calibri" w:eastAsia="Calibri" w:hAnsi="Calibri"/>
          <w:b w:val="false"/>
          <w:bCs w:val="false"/>
          <w:i w:val="false"/>
          <w:iCs w:val="false"/>
          <w:color w:val="32363A"/>
          <w:sz w:val="20"/>
          <w:szCs w:val="20"/>
        </w:rPr>
        <w:t xml:space="preserve">. La autenticación de API Management viaja por cabecera, no por el mecanismo de auth de Postman.</w:t>
      </w:r>
    </w:p>
    <w:p>
      <w:pPr>
        <w:pStyle w:val="ListParagraph"/>
        <w:numPr>
          <w:ilvl w:val="0"/>
          <w:numId w:val="53"/>
        </w:numPr>
        <w:spacing w:after="14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Headers</w:t>
      </w:r>
      <w:r>
        <w:rPr>
          <w:rFonts w:ascii="Calibri" w:cs="Calibri" w:eastAsia="Calibri" w:hAnsi="Calibri"/>
          <w:b w:val="false"/>
          <w:bCs w:val="false"/>
          <w:i w:val="false"/>
          <w:iCs w:val="false"/>
          <w:color w:val="32363A"/>
          <w:sz w:val="20"/>
          <w:szCs w:val="20"/>
        </w:rPr>
        <w:t xml:space="preserve"> (a nivel de colección, heredada por todas las peticiones):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966"/>
        <w:gridCol w:w="6780"/>
      </w:tblGrid>
      <w:tr>
        <w:trPr>
          <w:cantSplit/>
          <w:tblHeader/>
        </w:trPr>
        <w:tc>
          <w:tcPr>
            <w:tcW w:type="dxa" w:w="29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Key</w:t>
            </w:r>
          </w:p>
        </w:tc>
        <w:tc>
          <w:tcPr>
            <w:tcW w:type="dxa" w:w="67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Value</w:t>
            </w:r>
          </w:p>
        </w:tc>
      </w:tr>
      <w:tr>
        <w:trPr>
          <w:cantSplit/>
          <w:tblHeader w:val="false"/>
        </w:trPr>
        <w:tc>
          <w:tcPr>
            <w:tcW w:type="dxa" w:w="29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APIKey</w:t>
            </w:r>
          </w:p>
        </w:tc>
        <w:tc>
          <w:tcPr>
            <w:tcW w:type="dxa" w:w="67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r>
      <w:tr>
        <w:trPr>
          <w:cantSplit/>
          <w:tblHeader w:val="false"/>
        </w:trPr>
        <w:tc>
          <w:tcPr>
            <w:tcW w:type="dxa" w:w="296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Accept</w:t>
            </w:r>
          </w:p>
        </w:tc>
        <w:tc>
          <w:tcPr>
            <w:tcW w:type="dxa" w:w="67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application/json</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Definir las cabeceras </w:t>
      </w:r>
      <w:r>
        <w:rPr>
          <w:rFonts w:ascii="Calibri" w:cs="Calibri" w:eastAsia="Calibri" w:hAnsi="Calibri"/>
          <w:b/>
          <w:bCs/>
          <w:i w:val="false"/>
          <w:iCs w:val="false"/>
          <w:color w:val="32363A"/>
          <w:sz w:val="19"/>
          <w:szCs w:val="19"/>
        </w:rPr>
        <w:t xml:space="preserve">en la colección</w:t>
      </w:r>
      <w:r>
        <w:rPr>
          <w:rFonts w:ascii="Calibri" w:cs="Calibri" w:eastAsia="Calibri" w:hAnsi="Calibri"/>
          <w:b w:val="false"/>
          <w:bCs w:val="false"/>
          <w:i w:val="false"/>
          <w:iCs w:val="false"/>
          <w:color w:val="32363A"/>
          <w:sz w:val="19"/>
          <w:szCs w:val="19"/>
        </w:rPr>
        <w:t xml:space="preserve"> y no en cada petición: al rotar la clave o cambiar de entorno, se modifica en un único sitio.</w:t>
      </w:r>
    </w:p>
    <w:p>
      <w:pPr>
        <w:pStyle w:val="Heading2"/>
      </w:pPr>
      <w:r>
        <w:rPr>
          <w:rFonts w:ascii="Calibri" w:cs="Calibri" w:eastAsia="Calibri" w:hAnsi="Calibri"/>
          <w:b/>
          <w:bCs/>
          <w:i w:val="false"/>
          <w:iCs w:val="false"/>
          <w:color w:val="0A6ED1"/>
          <w:sz w:val="26"/>
          <w:szCs w:val="26"/>
        </w:rPr>
        <w:t xml:space="preserve">11.3 Peticiones de la colección</w:t>
      </w:r>
    </w:p>
    <w:p>
      <w:pPr>
        <w:pStyle w:val="Heading3"/>
      </w:pPr>
      <w:r>
        <w:rPr>
          <w:rFonts w:ascii="Calibri" w:cs="Calibri" w:eastAsia="Calibri" w:hAnsi="Calibri"/>
          <w:b/>
          <w:bCs/>
          <w:i w:val="false"/>
          <w:iCs w:val="false"/>
          <w:color w:val="0A6ED1"/>
          <w:sz w:val="22"/>
          <w:szCs w:val="22"/>
        </w:rPr>
        <w:t xml:space="preserve">R1 — Documento de servicio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w:t>
      </w:r>
    </w:p>
    <w:p>
      <w:pPr>
        <w:spacing w:after="140" w:before="60" w:line="276"/>
        <w:jc w:val="both"/>
      </w:pPr>
      <w:r>
        <w:rPr>
          <w:rFonts w:ascii="Calibri" w:cs="Calibri" w:eastAsia="Calibri" w:hAnsi="Calibri"/>
          <w:b w:val="false"/>
          <w:bCs w:val="false"/>
          <w:i w:val="false"/>
          <w:iCs w:val="false"/>
          <w:color w:val="32363A"/>
          <w:sz w:val="20"/>
          <w:szCs w:val="20"/>
        </w:rPr>
        <w:t xml:space="preserve">Devuelve el catálogo de entity sets publicados. Es la prueba mínima de que el proxy enruta correctamente.</w:t>
      </w:r>
    </w:p>
    <w:p>
      <w:pPr>
        <w:pStyle w:val="Heading3"/>
      </w:pPr>
      <w:r>
        <w:rPr>
          <w:rFonts w:ascii="Calibri" w:cs="Calibri" w:eastAsia="Calibri" w:hAnsi="Calibri"/>
          <w:b/>
          <w:bCs/>
          <w:i w:val="false"/>
          <w:iCs w:val="false"/>
          <w:color w:val="0A6ED1"/>
          <w:sz w:val="22"/>
          <w:szCs w:val="22"/>
        </w:rPr>
        <w:t xml:space="preserve">R2 — Metadatos (contrato de la API)</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{{apim_host}}{{base_path}}/$metadata</w:t>
      </w:r>
    </w:p>
    <w:p>
      <w:pPr>
        <w:spacing w:after="140" w:before="60" w:line="276"/>
        <w:jc w:val="both"/>
      </w:pPr>
      <w:r>
        <w:rPr>
          <w:rFonts w:ascii="Calibri" w:cs="Calibri" w:eastAsia="Calibri" w:hAnsi="Calibri"/>
          <w:b w:val="false"/>
          <w:bCs w:val="false"/>
          <w:i w:val="false"/>
          <w:iCs w:val="false"/>
          <w:color w:val="32363A"/>
          <w:sz w:val="20"/>
          <w:szCs w:val="20"/>
        </w:rPr>
        <w:t xml:space="preserve">Devuelve el EDMX: el </w:t>
      </w:r>
      <w:r>
        <w:rPr>
          <w:rFonts w:ascii="Calibri" w:cs="Calibri" w:eastAsia="Calibri" w:hAnsi="Calibri"/>
          <w:b/>
          <w:bCs/>
          <w:i w:val="false"/>
          <w:iCs w:val="false"/>
          <w:color w:val="32363A"/>
          <w:sz w:val="20"/>
          <w:szCs w:val="20"/>
        </w:rPr>
        <w:t xml:space="preserve">contrato formal</w:t>
      </w:r>
      <w:r>
        <w:rPr>
          <w:rFonts w:ascii="Calibri" w:cs="Calibri" w:eastAsia="Calibri" w:hAnsi="Calibri"/>
          <w:b w:val="false"/>
          <w:bCs w:val="false"/>
          <w:i w:val="false"/>
          <w:iCs w:val="false"/>
          <w:color w:val="32363A"/>
          <w:sz w:val="20"/>
          <w:szCs w:val="20"/>
        </w:rPr>
        <w:t xml:space="preserve"> de la interfaz, equivalente al WSDL de un servicio SOAP de PI/PO. Es el artefacto que se entrega al equipo consumidor, y se genera solo — no se mantiene a mano.</w:t>
      </w:r>
    </w:p>
    <w:p>
      <w:pPr>
        <w:pStyle w:val="Heading3"/>
      </w:pPr>
      <w:r>
        <w:rPr>
          <w:rFonts w:ascii="Calibri" w:cs="Calibri" w:eastAsia="Calibri" w:hAnsi="Calibri"/>
          <w:b/>
          <w:bCs/>
          <w:i w:val="false"/>
          <w:iCs w:val="false"/>
          <w:color w:val="0A6ED1"/>
          <w:sz w:val="22"/>
          <w:szCs w:val="22"/>
        </w:rPr>
        <w:t xml:space="preserve">R3 — Consulta básica con paginación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{{apim_host}}{{base_path}}/{{entity_set}}?$top=10</w:t>
      </w:r>
    </w:p>
    <w:p>
      <w:pPr>
        <w:pStyle w:val="Heading3"/>
      </w:pPr>
      <w:r>
        <w:rPr>
          <w:rFonts w:ascii="Calibri" w:cs="Calibri" w:eastAsia="Calibri" w:hAnsi="Calibri"/>
          <w:b/>
          <w:bCs/>
          <w:i w:val="false"/>
          <w:iCs w:val="false"/>
          <w:color w:val="0A6ED1"/>
          <w:sz w:val="22"/>
          <w:szCs w:val="22"/>
        </w:rPr>
        <w:t xml:space="preserve">R4 — Filtrado por país</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{{apim_host}}{{base_path}}/{{entity_set}}?$filter=Country eq 'MX'&amp;$top=20</w:t>
      </w:r>
    </w:p>
    <w:p>
      <w:pPr>
        <w:pStyle w:val="Heading3"/>
      </w:pPr>
      <w:r>
        <w:rPr>
          <w:rFonts w:ascii="Calibri" w:cs="Calibri" w:eastAsia="Calibri" w:hAnsi="Calibri"/>
          <w:b/>
          <w:bCs/>
          <w:i w:val="false"/>
          <w:iCs w:val="false"/>
          <w:color w:val="0A6ED1"/>
          <w:sz w:val="22"/>
          <w:szCs w:val="22"/>
        </w:rPr>
        <w:t xml:space="preserve">R5 — Proyección y ordenación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{{apim_host}}{{base_path}}/{{entity_set}}?$select=Customer,CityName&amp;$orderby=CityName asc&amp;$top=10</w:t>
      </w:r>
    </w:p>
    <w:p>
      <w:pPr>
        <w:pStyle w:val="Heading3"/>
      </w:pPr>
      <w:r>
        <w:rPr>
          <w:rFonts w:ascii="Calibri" w:cs="Calibri" w:eastAsia="Calibri" w:hAnsi="Calibri"/>
          <w:b/>
          <w:bCs/>
          <w:i w:val="false"/>
          <w:iCs w:val="false"/>
          <w:color w:val="0A6ED1"/>
          <w:sz w:val="22"/>
          <w:szCs w:val="22"/>
        </w:rPr>
        <w:t xml:space="preserve">R6 — Conteo total</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{{apim_host}}{{base_path}}/{{entity_set}}?$count=true&amp;$top=5</w:t>
      </w:r>
    </w:p>
    <w:p>
      <w:pPr>
        <w:pStyle w:val="Heading3"/>
      </w:pPr>
      <w:r>
        <w:rPr>
          <w:rFonts w:ascii="Calibri" w:cs="Calibri" w:eastAsia="Calibri" w:hAnsi="Calibri"/>
          <w:b/>
          <w:bCs/>
          <w:i w:val="false"/>
          <w:iCs w:val="false"/>
          <w:color w:val="0A6ED1"/>
          <w:sz w:val="22"/>
          <w:szCs w:val="22"/>
        </w:rPr>
        <w:t xml:space="preserve">R7 — Lectura por clave</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{{apim_host}}{{base_path}}/{{entity_set}}('0000001000')</w:t>
      </w:r>
    </w:p>
    <w:p>
      <w:pPr>
        <w:pStyle w:val="Heading3"/>
      </w:pPr>
      <w:r>
        <w:rPr>
          <w:rFonts w:ascii="Calibri" w:cs="Calibri" w:eastAsia="Calibri" w:hAnsi="Calibri"/>
          <w:b/>
          <w:bCs/>
          <w:i w:val="false"/>
          <w:iCs w:val="false"/>
          <w:color w:val="0A6ED1"/>
          <w:sz w:val="22"/>
          <w:szCs w:val="22"/>
        </w:rPr>
        <w:t xml:space="preserve">R8 — Paginación, segunda página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{{apim_host}}{{base_path}}/{{entity_set}}?$top=10&amp;$skip=10</w:t>
      </w:r>
    </w:p>
    <w:p>
      <w:pPr>
        <w:pStyle w:val="Heading3"/>
      </w:pPr>
      <w:r>
        <w:rPr>
          <w:rFonts w:ascii="Calibri" w:cs="Calibri" w:eastAsia="Calibri" w:hAnsi="Calibri"/>
          <w:b/>
          <w:bCs/>
          <w:i w:val="false"/>
          <w:iCs w:val="false"/>
          <w:color w:val="0A6ED1"/>
          <w:sz w:val="22"/>
          <w:szCs w:val="22"/>
        </w:rPr>
        <w:t xml:space="preserve">R9 — Filtro combinado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{{apim_host}}{{base_path}}/{{entity_set}}?$filter=Country eq 'MX' and Region eq 'NLE'&amp;$select=Customer,CityName&amp;$top=50</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R3 a R9 no requieren ni una línea de ABAP adicional.</w:t>
      </w:r>
      <w:r>
        <w:rPr>
          <w:rFonts w:ascii="Calibri" w:cs="Calibri" w:eastAsia="Calibri" w:hAnsi="Calibri"/>
          <w:b w:val="false"/>
          <w:bCs w:val="false"/>
          <w:i w:val="false"/>
          <w:iCs w:val="false"/>
          <w:color w:val="32363A"/>
          <w:sz w:val="19"/>
          <w:szCs w:val="19"/>
        </w:rPr>
        <w:t xml:space="preserve"> En PI/PO, cada una de estas variantes de consulta habría exigido un proxy o un mapeo nuevo. Esta es la ganancia concreta del patrón, y conviene demostrarla explícitamente en la presentación de la PoC.</w:t>
      </w:r>
    </w:p>
    <w:p>
      <w:pPr>
        <w:pStyle w:val="Heading2"/>
      </w:pPr>
      <w:r>
        <w:rPr>
          <w:rFonts w:ascii="Calibri" w:cs="Calibri" w:eastAsia="Calibri" w:hAnsi="Calibri"/>
          <w:b/>
          <w:bCs/>
          <w:i w:val="false"/>
          <w:iCs w:val="false"/>
          <w:color w:val="0A6ED1"/>
          <w:sz w:val="26"/>
          <w:szCs w:val="26"/>
        </w:rPr>
        <w:t xml:space="preserve">11.4 Validación F4 — Prueba de aceptación</w:t>
      </w:r>
    </w:p>
    <w:p>
      <w:pPr>
        <w:spacing w:after="140" w:before="60" w:line="276"/>
        <w:jc w:val="both"/>
      </w:pPr>
      <w:r>
        <w:rPr>
          <w:rFonts w:ascii="Calibri" w:cs="Calibri" w:eastAsia="Calibri" w:hAnsi="Calibri"/>
          <w:b w:val="false"/>
          <w:bCs w:val="false"/>
          <w:i w:val="false"/>
          <w:iCs w:val="false"/>
          <w:color w:val="32363A"/>
          <w:sz w:val="20"/>
          <w:szCs w:val="20"/>
        </w:rPr>
        <w:t xml:space="preserve">Ejecutar R2 </w:t>
      </w:r>
      <w:r>
        <w:rPr>
          <w:rFonts w:ascii="Calibri" w:cs="Calibri" w:eastAsia="Calibri" w:hAnsi="Calibri"/>
          <w:b/>
          <w:bCs/>
          <w:i w:val="false"/>
          <w:iCs w:val="false"/>
          <w:color w:val="32363A"/>
          <w:sz w:val="20"/>
          <w:szCs w:val="20"/>
        </w:rPr>
        <w:t xml:space="preserve">desde fuera de la red corporativa</w:t>
      </w:r>
      <w:r>
        <w:rPr>
          <w:rFonts w:ascii="Calibri" w:cs="Calibri" w:eastAsia="Calibri" w:hAnsi="Calibri"/>
          <w:b w:val="false"/>
          <w:bCs w:val="false"/>
          <w:i w:val="false"/>
          <w:iCs w:val="false"/>
          <w:color w:val="32363A"/>
          <w:sz w:val="20"/>
          <w:szCs w:val="20"/>
        </w:rPr>
        <w:t xml:space="preserve"> (por ejemplo, con el portátil en red móvil). Es la prueba que demuestra la cadena completa.</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de R3:</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"@odata.context": "$metadata#CustomerBasic",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"value":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"Guadalajara",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"JAL",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2"/>
      </w:pPr>
      <w:r>
        <w:rPr>
          <w:rFonts w:ascii="Calibri" w:cs="Calibri" w:eastAsia="Calibri" w:hAnsi="Calibri"/>
          <w:b/>
          <w:bCs/>
          <w:i w:val="false"/>
          <w:iCs w:val="false"/>
          <w:color w:val="0A6ED1"/>
          <w:sz w:val="26"/>
          <w:szCs w:val="26"/>
        </w:rPr>
        <w:t xml:space="preserve">11.5 Scripts de prueba automatizada</w:t>
      </w:r>
    </w:p>
    <w:p>
      <w:pPr>
        <w:spacing w:after="140" w:before="60" w:line="276"/>
        <w:jc w:val="both"/>
      </w:pPr>
      <w:r>
        <w:rPr>
          <w:rFonts w:ascii="Calibri" w:cs="Calibri" w:eastAsia="Calibri" w:hAnsi="Calibri"/>
          <w:b w:val="false"/>
          <w:bCs w:val="false"/>
          <w:i w:val="false"/>
          <w:iCs w:val="false"/>
          <w:color w:val="32363A"/>
          <w:sz w:val="20"/>
          <w:szCs w:val="20"/>
        </w:rPr>
        <w:t xml:space="preserve">En la pestaña </w:t>
      </w:r>
      <w:r>
        <w:rPr>
          <w:rFonts w:ascii="Consolas" w:cs="Consolas" w:eastAsia="Consolas" w:hAnsi="Consolas"/>
          <w:color w:val="1D2D3E"/>
          <w:sz w:val="18"/>
          <w:szCs w:val="18"/>
          <w:shd w:fill="F4F6F8" w:val="clear"/>
        </w:rPr>
        <w:t xml:space="preserve">Scripts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Post-response</w:t>
      </w:r>
      <w:r>
        <w:rPr>
          <w:rFonts w:ascii="Calibri" w:cs="Calibri" w:eastAsia="Calibri" w:hAnsi="Calibri"/>
          <w:b w:val="false"/>
          <w:bCs w:val="false"/>
          <w:i w:val="false"/>
          <w:iCs w:val="false"/>
          <w:color w:val="32363A"/>
          <w:sz w:val="20"/>
          <w:szCs w:val="20"/>
        </w:rPr>
        <w:t xml:space="preserve"> de cada petición: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pm.test("Código de estado 200",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pm.test("La respuesta contiene la propiedad 'value'",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pm.expect(pm.response.json()).to.have.property('value');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pm.test("Se devuelven registros",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pm.expect(pm.response.json().value.length).to.be.above(0);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pm.test("Los cuatro campos del contrato están presentes",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const registro = pm.response.json().value[0];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pm.expect(registro).to.have.all.keys('Customer', 'CityName', 'Region', 'Country');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pm.test("Tiempo de respuesta por debajo de 2000 ms",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pm.expect(pm.response.responseTime).to.be.below(2000);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Con la colección así instrumentada puede ejecutarse desde el </w:t>
      </w:r>
      <w:r>
        <w:rPr>
          <w:rFonts w:ascii="Calibri" w:cs="Calibri" w:eastAsia="Calibri" w:hAnsi="Calibri"/>
          <w:b/>
          <w:bCs/>
          <w:i w:val="false"/>
          <w:iCs w:val="false"/>
          <w:color w:val="32363A"/>
          <w:sz w:val="20"/>
          <w:szCs w:val="20"/>
        </w:rPr>
        <w:t xml:space="preserve">Collection Runner</w:t>
      </w:r>
      <w:r>
        <w:rPr>
          <w:rFonts w:ascii="Calibri" w:cs="Calibri" w:eastAsia="Calibri" w:hAnsi="Calibri"/>
          <w:b w:val="false"/>
          <w:bCs w:val="false"/>
          <w:i w:val="false"/>
          <w:iCs w:val="false"/>
          <w:color w:val="32363A"/>
          <w:sz w:val="20"/>
          <w:szCs w:val="20"/>
        </w:rPr>
        <w:t xml:space="preserve">, y más adelante desde </w:t>
      </w:r>
      <w:r>
        <w:rPr>
          <w:rFonts w:ascii="Calibri" w:cs="Calibri" w:eastAsia="Calibri" w:hAnsi="Calibri"/>
          <w:b/>
          <w:bCs/>
          <w:i w:val="false"/>
          <w:iCs w:val="false"/>
          <w:color w:val="32363A"/>
          <w:sz w:val="20"/>
          <w:szCs w:val="20"/>
        </w:rPr>
        <w:t xml:space="preserve">Newman</w:t>
      </w:r>
      <w:r>
        <w:rPr>
          <w:rFonts w:ascii="Calibri" w:cs="Calibri" w:eastAsia="Calibri" w:hAnsi="Calibri"/>
          <w:b w:val="false"/>
          <w:bCs w:val="false"/>
          <w:i w:val="false"/>
          <w:iCs w:val="false"/>
          <w:color w:val="32363A"/>
          <w:sz w:val="20"/>
          <w:szCs w:val="20"/>
        </w:rPr>
        <w:t xml:space="preserve"> dentro de un pipeline de CI/CD — que es como deberían validarse las interfaces migradas de forma continua.</w:t>
      </w:r>
    </w:p>
    <w:p>
      <w:pPr>
        <w:pStyle w:val="Heading2"/>
      </w:pPr>
      <w:r>
        <w:rPr>
          <w:rFonts w:ascii="Calibri" w:cs="Calibri" w:eastAsia="Calibri" w:hAnsi="Calibri"/>
          <w:b/>
          <w:bCs/>
          <w:i w:val="false"/>
          <w:iCs w:val="false"/>
          <w:color w:val="0A6ED1"/>
          <w:sz w:val="26"/>
          <w:szCs w:val="26"/>
        </w:rPr>
        <w:t xml:space="preserve">11.6 Consideraciones de OData V4</w:t>
      </w:r>
    </w:p>
    <w:p>
      <w:pPr>
        <w:pStyle w:val="Heading3"/>
      </w:pPr>
      <w:r>
        <w:rPr>
          <w:rFonts w:ascii="Calibri" w:cs="Calibri" w:eastAsia="Calibri" w:hAnsi="Calibri"/>
          <w:b/>
          <w:bCs/>
          <w:i w:val="false"/>
          <w:iCs w:val="false"/>
          <w:color w:val="0A6ED1"/>
          <w:sz w:val="22"/>
          <w:szCs w:val="22"/>
        </w:rPr>
        <w:t xml:space="preserve">a) Formato interno de la clave (conversión ALPHA)</w:t>
      </w:r>
    </w:p>
    <w:p>
      <w:pPr>
        <w:spacing w:after="140" w:before="60" w:line="276"/>
        <w:jc w:val="both"/>
      </w:pPr>
      <w:r>
        <w:rPr>
          <w:rFonts w:ascii="Consolas" w:cs="Consolas" w:eastAsia="Consolas" w:hAnsi="Consolas"/>
          <w:color w:val="1D2D3E"/>
          <w:sz w:val="18"/>
          <w:szCs w:val="18"/>
          <w:shd w:fill="F4F6F8" w:val="clear"/>
        </w:rPr>
        <w:t xml:space="preserve">KUNNR</w:t>
      </w:r>
      <w:r>
        <w:rPr>
          <w:rFonts w:ascii="Calibri" w:cs="Calibri" w:eastAsia="Calibri" w:hAnsi="Calibri"/>
          <w:b w:val="false"/>
          <w:bCs w:val="false"/>
          <w:i w:val="false"/>
          <w:iCs w:val="false"/>
          <w:color w:val="32363A"/>
          <w:sz w:val="20"/>
          <w:szCs w:val="20"/>
        </w:rPr>
        <w:t xml:space="preserve"> es </w:t>
      </w:r>
      <w:r>
        <w:rPr>
          <w:rFonts w:ascii="Consolas" w:cs="Consolas" w:eastAsia="Consolas" w:hAnsi="Consolas"/>
          <w:color w:val="1D2D3E"/>
          <w:sz w:val="18"/>
          <w:szCs w:val="18"/>
          <w:shd w:fill="F4F6F8" w:val="clear"/>
        </w:rPr>
        <w:t xml:space="preserve">CHAR(10)</w:t>
      </w:r>
      <w:r>
        <w:rPr>
          <w:rFonts w:ascii="Calibri" w:cs="Calibri" w:eastAsia="Calibri" w:hAnsi="Calibri"/>
          <w:b w:val="false"/>
          <w:bCs w:val="false"/>
          <w:i w:val="false"/>
          <w:iCs w:val="false"/>
          <w:color w:val="32363A"/>
          <w:sz w:val="20"/>
          <w:szCs w:val="20"/>
        </w:rPr>
        <w:t xml:space="preserve"> y SAP lo almacena con </w:t>
      </w:r>
      <w:r>
        <w:rPr>
          <w:rFonts w:ascii="Calibri" w:cs="Calibri" w:eastAsia="Calibri" w:hAnsi="Calibri"/>
          <w:b/>
          <w:bCs/>
          <w:i w:val="false"/>
          <w:iCs w:val="false"/>
          <w:color w:val="32363A"/>
          <w:sz w:val="20"/>
          <w:szCs w:val="20"/>
        </w:rPr>
        <w:t xml:space="preserve">ceros a la izquierda</w:t>
      </w:r>
      <w:r>
        <w:rPr>
          <w:rFonts w:ascii="Calibri" w:cs="Calibri" w:eastAsia="Calibri" w:hAnsi="Calibri"/>
          <w:b w:val="false"/>
          <w:bCs w:val="false"/>
          <w:i w:val="false"/>
          <w:iCs w:val="false"/>
          <w:color w:val="32363A"/>
          <w:sz w:val="20"/>
          <w:szCs w:val="20"/>
        </w:rPr>
        <w:t xml:space="preserve">. El cliente que el usuario final conoce como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se almacena y se devuelve como </w:t>
      </w:r>
      <w:r>
        <w:rPr>
          <w:rFonts w:ascii="Consolas" w:cs="Consolas" w:eastAsia="Consolas" w:hAnsi="Consolas"/>
          <w:color w:val="1D2D3E"/>
          <w:sz w:val="18"/>
          <w:szCs w:val="18"/>
          <w:shd w:fill="F4F6F8" w:val="clear"/>
        </w:rPr>
        <w:t xml:space="preserve">0000001000</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362"/>
        <w:gridCol w:w="5384"/>
      </w:tblGrid>
      <w:tr>
        <w:trPr>
          <w:cantSplit/>
          <w:tblHeader/>
        </w:trPr>
        <w:tc>
          <w:tcPr>
            <w:tcW w:type="dxa" w:w="436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Consecuencia</w:t>
            </w:r>
          </w:p>
        </w:tc>
        <w:tc>
          <w:tcPr>
            <w:tcW w:type="dxa" w:w="538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Tratamiento</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R7 falla con </w:t>
            </w:r>
            <w:r>
              <w:rPr>
                <w:rFonts w:ascii="Consolas" w:cs="Consolas" w:eastAsia="Consolas" w:hAnsi="Consolas"/>
                <w:color w:val="1D2D3E"/>
                <w:sz w:val="15"/>
                <w:szCs w:val="15"/>
                <w:shd w:fill="F4F6F8" w:val="clear"/>
              </w:rPr>
              <w:t xml:space="preserve">1000</w:t>
            </w:r>
            <w:r>
              <w:rPr>
                <w:rFonts w:ascii="Calibri" w:cs="Calibri" w:eastAsia="Calibri" w:hAnsi="Calibri"/>
                <w:b w:val="false"/>
                <w:bCs w:val="false"/>
                <w:i w:val="false"/>
                <w:iCs w:val="false"/>
                <w:color w:val="32363A"/>
                <w:sz w:val="17"/>
                <w:szCs w:val="17"/>
              </w:rPr>
              <w:t xml:space="preserve"> y funciona con </w:t>
            </w:r>
            <w:r>
              <w:rPr>
                <w:rFonts w:ascii="Consolas" w:cs="Consolas" w:eastAsia="Consolas" w:hAnsi="Consolas"/>
                <w:color w:val="1D2D3E"/>
                <w:sz w:val="15"/>
                <w:szCs w:val="15"/>
                <w:shd w:fill="F4F6F8" w:val="clear"/>
              </w:rPr>
              <w:t xml:space="preserve">0000001000</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Documentarlo en el contrato entregado al consumidor</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externo no conoce esta convención</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Opciones: (a) que el consumidor normalice; (b) aplicar la conversión en la projection view; (c) normalizar con una policy </w:t>
            </w:r>
            <w:r>
              <w:rPr>
                <w:rFonts w:ascii="Consolas" w:cs="Consolas" w:eastAsia="Consolas" w:hAnsi="Consolas"/>
                <w:color w:val="1D2D3E"/>
                <w:sz w:val="15"/>
                <w:szCs w:val="15"/>
                <w:shd w:fill="F4F6F8" w:val="clear"/>
              </w:rPr>
              <w:t xml:space="preserve">Assign Message</w:t>
            </w:r>
            <w:r>
              <w:rPr>
                <w:rFonts w:ascii="Calibri" w:cs="Calibri" w:eastAsia="Calibri" w:hAnsi="Calibri"/>
                <w:b w:val="false"/>
                <w:bCs w:val="false"/>
                <w:i w:val="false"/>
                <w:iCs w:val="false"/>
                <w:color w:val="32363A"/>
                <w:sz w:val="17"/>
                <w:szCs w:val="17"/>
              </w:rPr>
              <w:t xml:space="preserve"> en API Management</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Este punto es crítico en una migración desde PI/PO.</w:t>
      </w:r>
      <w:r>
        <w:rPr>
          <w:rFonts w:ascii="Calibri" w:cs="Calibri" w:eastAsia="Calibri" w:hAnsi="Calibri"/>
          <w:b w:val="false"/>
          <w:bCs w:val="false"/>
          <w:i w:val="false"/>
          <w:iCs w:val="false"/>
          <w:color w:val="32363A"/>
          <w:sz w:val="19"/>
          <w:szCs w:val="19"/>
        </w:rPr>
        <w:t xml:space="preserve"> El mapeo de PI/PO absorbía silenciosamente estas conversiones. Al retirarlo, la responsabilidad se traslada y debe asignarse de forma explícita interfaz por interfaz. Es una fuente previsible de incidencias en los primeros escenarios migrados.</w:t>
      </w:r>
    </w:p>
    <w:p>
      <w:pPr>
        <w:pStyle w:val="Heading3"/>
      </w:pPr>
      <w:r>
        <w:rPr>
          <w:rFonts w:ascii="Calibri" w:cs="Calibri" w:eastAsia="Calibri" w:hAnsi="Calibri"/>
          <w:b/>
          <w:bCs/>
          <w:i w:val="false"/>
          <w:iCs w:val="false"/>
          <w:color w:val="0A6ED1"/>
          <w:sz w:val="22"/>
          <w:szCs w:val="22"/>
        </w:rPr>
        <w:t xml:space="preserve">b) Diferencias entre OData V2 y V4</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4"/>
        <w:gridCol w:w="4386"/>
        <w:gridCol w:w="1786"/>
      </w:tblGrid>
      <w:tr>
        <w:trPr>
          <w:cantSplit/>
          <w:tblHeader/>
        </w:trPr>
        <w:tc>
          <w:tcPr>
            <w:tcW w:type="dxa" w:w="357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Aspecto</w:t>
            </w:r>
          </w:p>
        </w:tc>
        <w:tc>
          <w:tcPr>
            <w:tcW w:type="dxa" w:w="43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V2</w:t>
            </w:r>
          </w:p>
        </w:tc>
        <w:tc>
          <w:tcPr>
            <w:tcW w:type="dxa" w:w="17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V4</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Conteo en línea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$inlinecount=allpages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$count=true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Formato por defecto</w:t>
            </w:r>
          </w:p>
        </w:tc>
        <w:tc>
          <w:tcPr>
            <w:tcW w:type="dxa" w:w="43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XML (requería </w:t>
            </w:r>
            <w:r>
              <w:rPr>
                <w:rFonts w:ascii="Consolas" w:cs="Consolas" w:eastAsia="Consolas" w:hAnsi="Consolas"/>
                <w:color w:val="1D2D3E"/>
                <w:sz w:val="15"/>
                <w:szCs w:val="15"/>
                <w:shd w:fill="F4F6F8" w:val="clear"/>
              </w:rPr>
              <w:t xml:space="preserve">$format=json</w:t>
            </w:r>
            <w:r>
              <w:rPr>
                <w:rFonts w:ascii="Calibri" w:cs="Calibri" w:eastAsia="Calibri" w:hAnsi="Calibri"/>
                <w:b w:val="false"/>
                <w:bCs w:val="false"/>
                <w:i w:val="false"/>
                <w:iCs w:val="false"/>
                <w:color w:val="32363A"/>
                <w:sz w:val="17"/>
                <w:szCs w:val="17"/>
              </w:rPr>
              <w:t xml:space="preserve">)</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JSON</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de respuesta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d.results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value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Fechas</w:t>
            </w:r>
          </w:p>
        </w:tc>
        <w:tc>
          <w:tcPr>
            <w:tcW w:type="dxa" w:w="43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/Date(1234567890)/</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ISO 8601</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Relevante al migrar consumidores que ya hubieran integrado servicios OData V2 vía Gateway.</w:t>
      </w:r>
    </w:p>
    <w:p>
      <w:pPr>
        <w:pStyle w:val="Heading3"/>
      </w:pPr>
      <w:r>
        <w:rPr>
          <w:rFonts w:ascii="Calibri" w:cs="Calibri" w:eastAsia="Calibri" w:hAnsi="Calibri"/>
          <w:b/>
          <w:bCs/>
          <w:i w:val="false"/>
          <w:iCs w:val="false"/>
          <w:color w:val="0A6ED1"/>
          <w:sz w:val="22"/>
          <w:szCs w:val="22"/>
        </w:rPr>
        <w:t xml:space="preserve">c) Token CSRF</w:t>
      </w:r>
    </w:p>
    <w:p>
      <w:pPr>
        <w:spacing w:after="140" w:before="60" w:line="276"/>
        <w:jc w:val="both"/>
      </w:pPr>
      <w:r>
        <w:rPr>
          <w:rFonts w:ascii="Calibri" w:cs="Calibri" w:eastAsia="Calibri" w:hAnsi="Calibri"/>
          <w:b w:val="false"/>
          <w:bCs w:val="false"/>
          <w:i w:val="false"/>
          <w:iCs w:val="false"/>
          <w:color w:val="32363A"/>
          <w:sz w:val="20"/>
          <w:szCs w:val="20"/>
        </w:rPr>
        <w:t xml:space="preserve">Las peticiones </w:t>
      </w:r>
      <w:r>
        <w:rPr>
          <w:rFonts w:ascii="Consolas" w:cs="Consolas" w:eastAsia="Consolas" w:hAnsi="Consolas"/>
          <w:color w:val="1D2D3E"/>
          <w:sz w:val="18"/>
          <w:szCs w:val="18"/>
          <w:shd w:fill="F4F6F8" w:val="clear"/>
        </w:rPr>
        <w:t xml:space="preserve">GET</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no requieren token CSRF</w:t>
      </w:r>
      <w:r>
        <w:rPr>
          <w:rFonts w:ascii="Calibri" w:cs="Calibri" w:eastAsia="Calibri" w:hAnsi="Calibri"/>
          <w:b w:val="false"/>
          <w:bCs w:val="false"/>
          <w:i w:val="false"/>
          <w:iCs w:val="false"/>
          <w:color w:val="32363A"/>
          <w:sz w:val="20"/>
          <w:szCs w:val="20"/>
        </w:rPr>
        <w:t xml:space="preserve">. Toda la PoC es de lectura, de modo que no aplica.</w:t>
      </w:r>
    </w:p>
    <w:p>
      <w:pPr>
        <w:spacing w:after="140" w:before="60" w:line="276"/>
        <w:jc w:val="both"/>
      </w:pPr>
      <w:r>
        <w:rPr>
          <w:rFonts w:ascii="Calibri" w:cs="Calibri" w:eastAsia="Calibri" w:hAnsi="Calibri"/>
          <w:b w:val="false"/>
          <w:bCs w:val="false"/>
          <w:i w:val="false"/>
          <w:iCs w:val="false"/>
          <w:color w:val="32363A"/>
          <w:sz w:val="20"/>
          <w:szCs w:val="20"/>
        </w:rPr>
        <w:t xml:space="preserve">Si se extiende a escritura (§13), el flujo obligatorio es:</w:t>
      </w:r>
    </w:p>
    <w:p>
      <w:pPr>
        <w:pStyle w:val="ListParagraph"/>
        <w:numPr>
          <w:ilvl w:val="0"/>
          <w:numId w:val="54"/>
        </w:numPr>
        <w:spacing w:after="30" w:before="60" w:line="268"/>
      </w:pPr>
      <w:r>
        <w:rPr>
          <w:rFonts w:ascii="Consolas" w:cs="Consolas" w:eastAsia="Consolas" w:hAnsi="Consolas"/>
          <w:color w:val="1D2D3E"/>
          <w:sz w:val="18"/>
          <w:szCs w:val="18"/>
          <w:shd w:fill="F4F6F8" w:val="clear"/>
        </w:rPr>
        <w:t xml:space="preserve">GET</w:t>
      </w:r>
      <w:r>
        <w:rPr>
          <w:rFonts w:ascii="Calibri" w:cs="Calibri" w:eastAsia="Calibri" w:hAnsi="Calibri"/>
          <w:b w:val="false"/>
          <w:bCs w:val="false"/>
          <w:i w:val="false"/>
          <w:iCs w:val="false"/>
          <w:color w:val="32363A"/>
          <w:sz w:val="20"/>
          <w:szCs w:val="20"/>
        </w:rPr>
        <w:t xml:space="preserve"> al documento de servicio con la cabecera </w:t>
      </w:r>
      <w:r>
        <w:rPr>
          <w:rFonts w:ascii="Consolas" w:cs="Consolas" w:eastAsia="Consolas" w:hAnsi="Consolas"/>
          <w:color w:val="1D2D3E"/>
          <w:sz w:val="18"/>
          <w:szCs w:val="18"/>
          <w:shd w:fill="F4F6F8" w:val="clear"/>
        </w:rPr>
        <w:t xml:space="preserve">X-CSRF-Token: Fetch</w:t>
      </w:r>
      <w:r>
        <w:rPr>
          <w:rFonts w:ascii="Calibri" w:cs="Calibri" w:eastAsia="Calibri" w:hAnsi="Calibri"/>
          <w:b w:val="false"/>
          <w:bCs w:val="false"/>
          <w:i w:val="false"/>
          <w:iCs w:val="false"/>
          <w:color w:val="32363A"/>
          <w:sz w:val="20"/>
          <w:szCs w:val="20"/>
        </w:rPr>
        <w:t xml:space="preserve">.</w:t>
      </w:r>
    </w:p>
    <w:p>
      <w:pPr>
        <w:pStyle w:val="ListParagraph"/>
        <w:numPr>
          <w:ilvl w:val="0"/>
          <w:numId w:val="54"/>
        </w:numPr>
        <w:spacing w:after="30" w:before="30" w:line="268"/>
      </w:pPr>
      <w:r>
        <w:rPr>
          <w:rFonts w:ascii="Calibri" w:cs="Calibri" w:eastAsia="Calibri" w:hAnsi="Calibri"/>
          <w:b w:val="false"/>
          <w:bCs w:val="false"/>
          <w:i w:val="false"/>
          <w:iCs w:val="false"/>
          <w:color w:val="32363A"/>
          <w:sz w:val="20"/>
          <w:szCs w:val="20"/>
        </w:rPr>
        <w:t xml:space="preserve">Leer el token de la cabecera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 de la respuesta y conservar la cookie de sesión.</w:t>
      </w:r>
    </w:p>
    <w:p>
      <w:pPr>
        <w:pStyle w:val="ListParagraph"/>
        <w:numPr>
          <w:ilvl w:val="0"/>
          <w:numId w:val="54"/>
        </w:numPr>
        <w:spacing w:after="140" w:before="30" w:line="268"/>
      </w:pPr>
      <w:r>
        <w:rPr>
          <w:rFonts w:ascii="Calibri" w:cs="Calibri" w:eastAsia="Calibri" w:hAnsi="Calibri"/>
          <w:b w:val="false"/>
          <w:bCs w:val="false"/>
          <w:i w:val="false"/>
          <w:iCs w:val="false"/>
          <w:color w:val="32363A"/>
          <w:sz w:val="20"/>
          <w:szCs w:val="20"/>
        </w:rPr>
        <w:t xml:space="preserve">Enviarlo en cada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PATCH</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DELETE</w:t>
      </w:r>
      <w:r>
        <w:rPr>
          <w:rFonts w:ascii="Calibri" w:cs="Calibri" w:eastAsia="Calibri" w:hAnsi="Calibri"/>
          <w:b w:val="false"/>
          <w:bCs w:val="false"/>
          <w:i w:val="false"/>
          <w:iCs w:val="false"/>
          <w:color w:val="32363A"/>
          <w:sz w:val="20"/>
          <w:szCs w:val="20"/>
        </w:rPr>
        <w:t xml:space="preserve"> posterior.</w:t>
      </w:r>
    </w:p>
    <w:p>
      <w:pPr>
        <w:spacing w:after="140" w:before="60" w:line="276"/>
        <w:jc w:val="both"/>
      </w:pPr>
      <w:r>
        <w:rPr>
          <w:rFonts w:ascii="Calibri" w:cs="Calibri" w:eastAsia="Calibri" w:hAnsi="Calibri"/>
          <w:b w:val="false"/>
          <w:bCs w:val="false"/>
          <w:i w:val="false"/>
          <w:iCs w:val="false"/>
          <w:color w:val="32363A"/>
          <w:sz w:val="20"/>
          <w:szCs w:val="20"/>
        </w:rPr>
        <w:t xml:space="preserve">Script de Postman para automatizar el paso 2:</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const token = pm.response.headers.get("X-CSRF-Token");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if (token)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pm.environment.set("csrf_token", token);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1"/>
        <w:pageBreakBefore/>
      </w:pPr>
      <w:r>
        <w:rPr>
          <w:rFonts w:ascii="Calibri" w:cs="Calibri" w:eastAsia="Calibri" w:hAnsi="Calibri"/>
          <w:b/>
          <w:bCs/>
          <w:i w:val="false"/>
          <w:iCs w:val="false"/>
          <w:color w:val="1D2D3E"/>
          <w:sz w:val="34"/>
          <w:szCs w:val="34"/>
        </w:rPr>
        <w:t xml:space="preserve">12. Seguridad: brecha entre la PoC y productivo</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PoC prioriza demostrar la cadena de extremo a extremo. </w:t>
      </w:r>
      <w:r>
        <w:rPr>
          <w:rFonts w:ascii="Calibri" w:cs="Calibri" w:eastAsia="Calibri" w:hAnsi="Calibri"/>
          <w:b/>
          <w:bCs/>
          <w:i w:val="false"/>
          <w:iCs w:val="false"/>
          <w:color w:val="32363A"/>
          <w:sz w:val="20"/>
          <w:szCs w:val="20"/>
        </w:rPr>
        <w:t xml:space="preserve">No es una configuración apta para productivo.</w:t>
      </w:r>
      <w:r>
        <w:rPr>
          <w:rFonts w:ascii="Calibri" w:cs="Calibri" w:eastAsia="Calibri" w:hAnsi="Calibri"/>
          <w:b w:val="false"/>
          <w:bCs w:val="false"/>
          <w:i w:val="false"/>
          <w:iCs w:val="false"/>
          <w:color w:val="32363A"/>
          <w:sz w:val="20"/>
          <w:szCs w:val="20"/>
        </w:rPr>
        <w:t xml:space="preserve"> La tabla siguiente es el trabajo pendiente antes de que el patrón se aplique a una interfaz real.</w:t>
      </w:r>
    </w:p>
    <w:p>
      <w:pPr>
        <w:pStyle w:val="Heading2"/>
      </w:pPr>
      <w:r>
        <w:rPr>
          <w:rFonts w:ascii="Calibri" w:cs="Calibri" w:eastAsia="Calibri" w:hAnsi="Calibri"/>
          <w:b/>
          <w:bCs/>
          <w:i w:val="false"/>
          <w:iCs w:val="false"/>
          <w:color w:val="0A6ED1"/>
          <w:sz w:val="26"/>
          <w:szCs w:val="26"/>
        </w:rPr>
        <w:t xml:space="preserve">12.1 Resumen de la brecha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69"/>
        <w:gridCol w:w="3898"/>
        <w:gridCol w:w="4711"/>
        <w:gridCol w:w="568"/>
      </w:tblGrid>
      <w:tr>
        <w:trPr>
          <w:cantSplit/>
          <w:tblHeader/>
        </w:trPr>
        <w:tc>
          <w:tcPr>
            <w:tcW w:type="dxa" w:w="56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38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Concesión de la PoC</w:t>
            </w:r>
          </w:p>
        </w:tc>
        <w:tc>
          <w:tcPr>
            <w:tcW w:type="dxa" w:w="471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 productivo</w:t>
            </w:r>
          </w:p>
        </w:tc>
        <w:tc>
          <w:tcPr>
            <w:tcW w:type="dxa" w:w="56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5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3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471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w:t>
            </w:r>
            <w:r>
              <w:rPr>
                <w:rFonts w:ascii="Calibri" w:cs="Calibri" w:eastAsia="Calibri" w:hAnsi="Calibri"/>
                <w:b w:val="false"/>
                <w:bCs w:val="false"/>
                <w:i w:val="false"/>
                <w:iCs w:val="false"/>
                <w:color w:val="32363A"/>
                <w:sz w:val="17"/>
                <w:szCs w:val="17"/>
              </w:rPr>
              <w:t xml:space="preserve"> con rol DCL</w:t>
            </w:r>
          </w:p>
        </w:tc>
        <w:tc>
          <w:tcPr>
            <w:tcW w:type="dxa" w:w="56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5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3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 del usuario técnico en la Destination</w:t>
            </w:r>
          </w:p>
        </w:tc>
        <w:tc>
          <w:tcPr>
            <w:tcW w:type="dxa" w:w="47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gestionada, o certificado X.509</w:t>
            </w:r>
          </w:p>
        </w:tc>
        <w:tc>
          <w:tcPr>
            <w:tcW w:type="dxa" w:w="56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§12.3</w:t>
            </w:r>
          </w:p>
        </w:tc>
      </w:tr>
      <w:tr>
        <w:trPr>
          <w:cantSplit/>
          <w:tblHeader w:val="false"/>
        </w:trPr>
        <w:tc>
          <w:tcPr>
            <w:tcW w:type="dxa" w:w="5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3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como único control de acceso</w:t>
            </w:r>
          </w:p>
        </w:tc>
        <w:tc>
          <w:tcPr>
            <w:tcW w:type="dxa" w:w="47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OAuth 2.0 con XSUAA</w:t>
            </w:r>
          </w:p>
        </w:tc>
        <w:tc>
          <w:tcPr>
            <w:tcW w:type="dxa" w:w="56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§12.4</w:t>
            </w:r>
          </w:p>
        </w:tc>
      </w:tr>
      <w:tr>
        <w:trPr>
          <w:cantSplit/>
          <w:tblHeader w:val="false"/>
        </w:trPr>
        <w:tc>
          <w:tcPr>
            <w:tcW w:type="dxa" w:w="5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3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límites de tráfico</w:t>
            </w:r>
          </w:p>
        </w:tc>
        <w:tc>
          <w:tcPr>
            <w:tcW w:type="dxa" w:w="47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w:t>
            </w:r>
            <w:r>
              <w:rPr>
                <w:rFonts w:ascii="Consolas" w:cs="Consolas" w:eastAsia="Consolas" w:hAnsi="Consolas"/>
                <w:color w:val="1D2D3E"/>
                <w:sz w:val="15"/>
                <w:szCs w:val="15"/>
                <w:shd w:fill="F4F6F8" w:val="clear"/>
              </w:rPr>
              <w:t xml:space="preserve">Quota</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Spike Arrest</w:t>
            </w:r>
          </w:p>
        </w:tc>
        <w:tc>
          <w:tcPr>
            <w:tcW w:type="dxa" w:w="56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§10.5c</w:t>
            </w:r>
          </w:p>
        </w:tc>
      </w:tr>
      <w:tr>
        <w:trPr>
          <w:cantSplit/>
          <w:tblHeader w:val="false"/>
        </w:trPr>
        <w:tc>
          <w:tcPr>
            <w:tcW w:type="dxa" w:w="5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3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trazabilidad del consumidor final</w:t>
            </w:r>
          </w:p>
        </w:tc>
        <w:tc>
          <w:tcPr>
            <w:tcW w:type="dxa" w:w="47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Principal propagation</w:t>
            </w:r>
            <w:r>
              <w:rPr>
                <w:rFonts w:ascii="Calibri" w:cs="Calibri" w:eastAsia="Calibri" w:hAnsi="Calibri"/>
                <w:b w:val="false"/>
                <w:bCs w:val="false"/>
                <w:i w:val="false"/>
                <w:iCs w:val="false"/>
                <w:color w:val="32363A"/>
                <w:sz w:val="17"/>
                <w:szCs w:val="17"/>
              </w:rPr>
              <w:t xml:space="preserve">, o registro de auditoría en API Management</w:t>
            </w:r>
          </w:p>
        </w:tc>
        <w:tc>
          <w:tcPr>
            <w:tcW w:type="dxa" w:w="56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§12.5</w:t>
            </w:r>
          </w:p>
        </w:tc>
      </w:tr>
      <w:tr>
        <w:trPr>
          <w:cantSplit/>
          <w:tblHeader w:val="false"/>
        </w:trPr>
        <w:tc>
          <w:tcPr>
            <w:tcW w:type="dxa" w:w="5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3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único mandante y entorno</w:t>
            </w:r>
          </w:p>
        </w:tc>
        <w:tc>
          <w:tcPr>
            <w:tcW w:type="dxa" w:w="47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Cadena DEV → QAS → PRD con transportes</w:t>
            </w:r>
          </w:p>
        </w:tc>
        <w:tc>
          <w:tcPr>
            <w:tcW w:type="dxa" w:w="56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§12.6</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12.2 Control de autorizaciones con DCL</w:t>
      </w:r>
    </w:p>
    <w:p>
      <w:pPr>
        <w:spacing w:after="140" w:before="60" w:line="276"/>
        <w:jc w:val="both"/>
      </w:pPr>
      <w:r>
        <w:rPr>
          <w:rFonts w:ascii="Calibri" w:cs="Calibri" w:eastAsia="Calibri" w:hAnsi="Calibri"/>
          <w:b w:val="false"/>
          <w:bCs w:val="false"/>
          <w:i w:val="false"/>
          <w:iCs w:val="false"/>
          <w:color w:val="32363A"/>
          <w:sz w:val="20"/>
          <w:szCs w:val="20"/>
        </w:rPr>
        <w:t xml:space="preserve">Con </w:t>
      </w:r>
      <w:r>
        <w:rPr>
          <w:rFonts w:ascii="Consolas" w:cs="Consolas" w:eastAsia="Consolas" w:hAnsi="Consolas"/>
          <w:color w:val="1D2D3E"/>
          <w:sz w:val="18"/>
          <w:szCs w:val="18"/>
          <w:shd w:fill="F4F6F8" w:val="clear"/>
        </w:rPr>
        <w:t xml:space="preserve">#NOT_REQUIRED</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el servicio devuelve la totalidad del maestro de clientes a quien posea la API Key</w:t>
      </w:r>
      <w:r>
        <w:rPr>
          <w:rFonts w:ascii="Calibri" w:cs="Calibri" w:eastAsia="Calibri" w:hAnsi="Calibri"/>
          <w:b w:val="false"/>
          <w:bCs w:val="false"/>
          <w:i w:val="false"/>
          <w:iCs w:val="false"/>
          <w:color w:val="32363A"/>
          <w:sz w:val="20"/>
          <w:szCs w:val="20"/>
        </w:rPr>
        <w:t xml:space="preserve">. En productivo hay que restringirlo.</w:t>
      </w:r>
    </w:p>
    <w:p>
      <w:pPr>
        <w:pStyle w:val="ListParagraph"/>
        <w:numPr>
          <w:ilvl w:val="0"/>
          <w:numId w:val="55"/>
        </w:numPr>
        <w:spacing w:after="30" w:before="60" w:line="268"/>
      </w:pPr>
      <w:r>
        <w:rPr>
          <w:rFonts w:ascii="Calibri" w:cs="Calibri" w:eastAsia="Calibri" w:hAnsi="Calibri"/>
          <w:b w:val="false"/>
          <w:bCs w:val="false"/>
          <w:i w:val="false"/>
          <w:iCs w:val="false"/>
          <w:color w:val="32363A"/>
          <w:sz w:val="20"/>
          <w:szCs w:val="20"/>
        </w:rPr>
        <w:t xml:space="preserve">En SU21, crear el objeto de autorización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con los campos </w:t>
      </w:r>
      <w:r>
        <w:rPr>
          <w:rFonts w:ascii="Consolas" w:cs="Consolas" w:eastAsia="Consolas" w:hAnsi="Consolas"/>
          <w:color w:val="1D2D3E"/>
          <w:sz w:val="18"/>
          <w:szCs w:val="18"/>
          <w:shd w:fill="F4F6F8" w:val="clear"/>
        </w:rPr>
        <w:t xml:space="preserve">LAND1</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ACTVT</w:t>
      </w:r>
      <w:r>
        <w:rPr>
          <w:rFonts w:ascii="Calibri" w:cs="Calibri" w:eastAsia="Calibri" w:hAnsi="Calibri"/>
          <w:b w:val="false"/>
          <w:bCs w:val="false"/>
          <w:i w:val="false"/>
          <w:iCs w:val="false"/>
          <w:color w:val="32363A"/>
          <w:sz w:val="20"/>
          <w:szCs w:val="20"/>
        </w:rPr>
        <w:t xml:space="preserve">.</w:t>
      </w:r>
    </w:p>
    <w:p>
      <w:pPr>
        <w:pStyle w:val="ListParagraph"/>
        <w:numPr>
          <w:ilvl w:val="0"/>
          <w:numId w:val="55"/>
        </w:numPr>
        <w:spacing w:after="140" w:before="30" w:line="268"/>
      </w:pPr>
      <w:r>
        <w:rPr>
          <w:rFonts w:ascii="Calibri" w:cs="Calibri" w:eastAsia="Calibri" w:hAnsi="Calibri"/>
          <w:b w:val="false"/>
          <w:bCs w:val="false"/>
          <w:i w:val="false"/>
          <w:iCs w:val="false"/>
          <w:color w:val="32363A"/>
          <w:sz w:val="20"/>
          <w:szCs w:val="20"/>
        </w:rPr>
        <w:t xml:space="preserve">En ADT, crear un </w:t>
      </w:r>
      <w:r>
        <w:rPr>
          <w:rFonts w:ascii="Calibri" w:cs="Calibri" w:eastAsia="Calibri" w:hAnsi="Calibri"/>
          <w:b w:val="false"/>
          <w:bCs w:val="false"/>
          <w:i/>
          <w:iCs/>
          <w:color w:val="32363A"/>
          <w:sz w:val="20"/>
          <w:szCs w:val="20"/>
        </w:rPr>
        <w:t xml:space="preserve">Access Control</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'Control de acceso - Datos básicos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@MappingRole: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role ZR_CUSTOMERBASIC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grant select on ZR_CUSTOMERBASIC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where ( Country ) = aspect pfcg_auth( ZPOC_CUST, LAND1, ACTVT = '03'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56"/>
        </w:numPr>
        <w:spacing w:after="30" w:before="60" w:line="268"/>
      </w:pPr>
      <w:r>
        <w:rPr>
          <w:rFonts w:ascii="Calibri" w:cs="Calibri" w:eastAsia="Calibri" w:hAnsi="Calibri"/>
          <w:b w:val="false"/>
          <w:bCs w:val="false"/>
          <w:i w:val="false"/>
          <w:iCs w:val="false"/>
          <w:color w:val="32363A"/>
          <w:sz w:val="20"/>
          <w:szCs w:val="20"/>
        </w:rPr>
        <w:t xml:space="preserve">Cambiar la anotación de la vista base a </w:t>
      </w:r>
      <w:r>
        <w:rPr>
          <w:rFonts w:ascii="Consolas" w:cs="Consolas" w:eastAsia="Consolas" w:hAnsi="Consolas"/>
          <w:color w:val="1D2D3E"/>
          <w:sz w:val="18"/>
          <w:szCs w:val="18"/>
          <w:shd w:fill="F4F6F8" w:val="clear"/>
        </w:rPr>
        <w:t xml:space="preserve">@AccessControl.authorizationCheck: #CHECK</w:t>
      </w:r>
      <w:r>
        <w:rPr>
          <w:rFonts w:ascii="Calibri" w:cs="Calibri" w:eastAsia="Calibri" w:hAnsi="Calibri"/>
          <w:b w:val="false"/>
          <w:bCs w:val="false"/>
          <w:i w:val="false"/>
          <w:iCs w:val="false"/>
          <w:color w:val="32363A"/>
          <w:sz w:val="20"/>
          <w:szCs w:val="20"/>
        </w:rPr>
        <w:t xml:space="preserve"> y reactivar.</w:t>
      </w:r>
    </w:p>
    <w:p>
      <w:pPr>
        <w:pStyle w:val="ListParagraph"/>
        <w:numPr>
          <w:ilvl w:val="0"/>
          <w:numId w:val="56"/>
        </w:numPr>
        <w:spacing w:after="140" w:before="30" w:line="268"/>
      </w:pPr>
      <w:r>
        <w:rPr>
          <w:rFonts w:ascii="Calibri" w:cs="Calibri" w:eastAsia="Calibri" w:hAnsi="Calibri"/>
          <w:b w:val="false"/>
          <w:bCs w:val="false"/>
          <w:i w:val="false"/>
          <w:iCs w:val="false"/>
          <w:color w:val="32363A"/>
          <w:sz w:val="20"/>
          <w:szCs w:val="20"/>
        </w:rPr>
        <w:t xml:space="preserve">Incorporar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al 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(§7.3), acotando los países autorizados.</w:t>
      </w:r>
    </w:p>
    <w:p>
      <w:pPr>
        <w:spacing w:after="140" w:before="60" w:line="276"/>
        <w:jc w:val="both"/>
      </w:pPr>
      <w:r>
        <w:rPr>
          <w:rFonts w:ascii="Calibri" w:cs="Calibri" w:eastAsia="Calibri" w:hAnsi="Calibri"/>
          <w:b w:val="false"/>
          <w:bCs w:val="false"/>
          <w:i w:val="false"/>
          <w:iCs w:val="false"/>
          <w:color w:val="32363A"/>
          <w:sz w:val="20"/>
          <w:szCs w:val="20"/>
        </w:rPr>
        <w:t xml:space="preserve">A partir de ese momento, cada usuario técnico solo obtiene los clientes de los países que su rol le concede. Es el mecanismo que permite que varios consumidores compartan el mismo API con visibilidades distintas.</w:t>
      </w:r>
    </w:p>
    <w:p>
      <w:pPr>
        <w:pStyle w:val="Heading2"/>
      </w:pPr>
      <w:r>
        <w:rPr>
          <w:rFonts w:ascii="Calibri" w:cs="Calibri" w:eastAsia="Calibri" w:hAnsi="Calibri"/>
          <w:b/>
          <w:bCs/>
          <w:i w:val="false"/>
          <w:iCs w:val="false"/>
          <w:color w:val="0A6ED1"/>
          <w:sz w:val="26"/>
          <w:szCs w:val="26"/>
        </w:rPr>
        <w:t xml:space="preserve">12.3 Gestión de credenciales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95"/>
        <w:gridCol w:w="6351"/>
      </w:tblGrid>
      <w:tr>
        <w:trPr>
          <w:cantSplit/>
          <w:tblHeader/>
        </w:trPr>
        <w:tc>
          <w:tcPr>
            <w:tcW w:type="dxa" w:w="33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Práctica</w:t>
            </w:r>
          </w:p>
        </w:tc>
        <w:tc>
          <w:tcPr>
            <w:tcW w:type="dxa" w:w="63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usuario técnico por interfaz</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compartir </w:t>
            </w:r>
            <w:r>
              <w:rPr>
                <w:rFonts w:ascii="Consolas" w:cs="Consolas" w:eastAsia="Consolas" w:hAnsi="Consolas"/>
                <w:color w:val="1D2D3E"/>
                <w:sz w:val="15"/>
                <w:szCs w:val="15"/>
                <w:shd w:fill="F4F6F8" w:val="clear"/>
              </w:rPr>
              <w:t xml:space="preserve">POC_API_USER</w:t>
            </w:r>
            <w:r>
              <w:rPr>
                <w:rFonts w:ascii="Calibri" w:cs="Calibri" w:eastAsia="Calibri" w:hAnsi="Calibri"/>
                <w:b w:val="false"/>
                <w:bCs w:val="false"/>
                <w:i w:val="false"/>
                <w:iCs w:val="false"/>
                <w:color w:val="32363A"/>
                <w:sz w:val="17"/>
                <w:szCs w:val="17"/>
              </w:rPr>
              <w:t xml:space="preserve"> entre escenarios: impide revocar un acceso sin afectar al resto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periódica</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el periodo con Seguridad y automatizar la actualización en Destination y Key Value Map</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Bóveda corporativa</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contraseña nunca en documentos, tickets, chats ni en el repositorio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preferente</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lugar de contraseña, eliminando la rotación</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12.4 Evolución a OAuth 2.0</w:t>
      </w:r>
    </w:p>
    <w:p>
      <w:pPr>
        <w:spacing w:after="140" w:before="60" w:line="276"/>
        <w:jc w:val="both"/>
      </w:pPr>
      <w:r>
        <w:rPr>
          <w:rFonts w:ascii="Calibri" w:cs="Calibri" w:eastAsia="Calibri" w:hAnsi="Calibri"/>
          <w:b w:val="false"/>
          <w:bCs w:val="false"/>
          <w:i w:val="false"/>
          <w:iCs w:val="false"/>
          <w:color w:val="32363A"/>
          <w:sz w:val="20"/>
          <w:szCs w:val="20"/>
        </w:rPr>
        <w:t xml:space="preserve">La API Key es suficiente para una PoC. Para productivo se recomienda OAuth 2.0:</w:t>
      </w:r>
    </w:p>
    <w:p>
      <w:pPr>
        <w:pStyle w:val="ListParagraph"/>
        <w:numPr>
          <w:ilvl w:val="0"/>
          <w:numId w:val="57"/>
        </w:numPr>
        <w:spacing w:after="30" w:before="60" w:line="268"/>
      </w:pPr>
      <w:r>
        <w:rPr>
          <w:rFonts w:ascii="Calibri" w:cs="Calibri" w:eastAsia="Calibri" w:hAnsi="Calibri"/>
          <w:b w:val="false"/>
          <w:bCs w:val="false"/>
          <w:i w:val="false"/>
          <w:iCs w:val="false"/>
          <w:color w:val="32363A"/>
          <w:sz w:val="20"/>
          <w:szCs w:val="20"/>
        </w:rPr>
        <w:t xml:space="preserve">Crear una instancia del servicio </w:t>
      </w:r>
      <w:r>
        <w:rPr>
          <w:rFonts w:ascii="Calibri" w:cs="Calibri" w:eastAsia="Calibri" w:hAnsi="Calibri"/>
          <w:b/>
          <w:bCs/>
          <w:i w:val="false"/>
          <w:iCs w:val="false"/>
          <w:color w:val="32363A"/>
          <w:sz w:val="20"/>
          <w:szCs w:val="20"/>
        </w:rPr>
        <w:t xml:space="preserve">XSUAA</w:t>
      </w:r>
      <w:r>
        <w:rPr>
          <w:rFonts w:ascii="Calibri" w:cs="Calibri" w:eastAsia="Calibri" w:hAnsi="Calibri"/>
          <w:b w:val="false"/>
          <w:bCs w:val="false"/>
          <w:i w:val="false"/>
          <w:iCs w:val="false"/>
          <w:color w:val="32363A"/>
          <w:sz w:val="20"/>
          <w:szCs w:val="20"/>
        </w:rPr>
        <w:t xml:space="preserve"> en la subaccount.</w:t>
      </w:r>
    </w:p>
    <w:p>
      <w:pPr>
        <w:pStyle w:val="ListParagraph"/>
        <w:numPr>
          <w:ilvl w:val="0"/>
          <w:numId w:val="57"/>
        </w:numPr>
        <w:spacing w:after="30" w:before="30" w:line="268"/>
      </w:pPr>
      <w:r>
        <w:rPr>
          <w:rFonts w:ascii="Calibri" w:cs="Calibri" w:eastAsia="Calibri" w:hAnsi="Calibri"/>
          <w:b w:val="false"/>
          <w:bCs w:val="false"/>
          <w:i w:val="false"/>
          <w:iCs w:val="false"/>
          <w:color w:val="32363A"/>
          <w:sz w:val="20"/>
          <w:szCs w:val="20"/>
        </w:rPr>
        <w:t xml:space="preserve">Sustituir la policy </w:t>
      </w:r>
      <w:r>
        <w:rPr>
          <w:rFonts w:ascii="Consolas" w:cs="Consolas" w:eastAsia="Consolas" w:hAnsi="Consolas"/>
          <w:color w:val="1D2D3E"/>
          <w:sz w:val="18"/>
          <w:szCs w:val="18"/>
          <w:shd w:fill="F4F6F8" w:val="clear"/>
        </w:rPr>
        <w:t xml:space="preserve">Verify API Key</w:t>
      </w:r>
      <w:r>
        <w:rPr>
          <w:rFonts w:ascii="Calibri" w:cs="Calibri" w:eastAsia="Calibri" w:hAnsi="Calibri"/>
          <w:b w:val="false"/>
          <w:bCs w:val="false"/>
          <w:i w:val="false"/>
          <w:iCs w:val="false"/>
          <w:color w:val="32363A"/>
          <w:sz w:val="20"/>
          <w:szCs w:val="20"/>
        </w:rPr>
        <w:t xml:space="preserve"> por </w:t>
      </w:r>
      <w:r>
        <w:rPr>
          <w:rFonts w:ascii="Calibri" w:cs="Calibri" w:eastAsia="Calibri" w:hAnsi="Calibri"/>
          <w:b/>
          <w:bCs/>
          <w:i w:val="false"/>
          <w:iCs w:val="false"/>
          <w:color w:val="32363A"/>
          <w:sz w:val="20"/>
          <w:szCs w:val="20"/>
        </w:rPr>
        <w:t xml:space="preserve">`OAuth v2.0`</w:t>
      </w:r>
      <w:r>
        <w:rPr>
          <w:rFonts w:ascii="Calibri" w:cs="Calibri" w:eastAsia="Calibri" w:hAnsi="Calibri"/>
          <w:b w:val="false"/>
          <w:bCs w:val="false"/>
          <w:i w:val="false"/>
          <w:iCs w:val="false"/>
          <w:color w:val="32363A"/>
          <w:sz w:val="20"/>
          <w:szCs w:val="20"/>
        </w:rPr>
        <w:t xml:space="preserve"> en el API Proxy.</w:t>
      </w:r>
    </w:p>
    <w:p>
      <w:pPr>
        <w:pStyle w:val="ListParagraph"/>
        <w:numPr>
          <w:ilvl w:val="0"/>
          <w:numId w:val="57"/>
        </w:numPr>
        <w:spacing w:after="140" w:before="30" w:line="268"/>
      </w:pPr>
      <w:r>
        <w:rPr>
          <w:rFonts w:ascii="Calibri" w:cs="Calibri" w:eastAsia="Calibri" w:hAnsi="Calibri"/>
          <w:b w:val="false"/>
          <w:bCs w:val="false"/>
          <w:i w:val="false"/>
          <w:iCs w:val="false"/>
          <w:color w:val="32363A"/>
          <w:sz w:val="20"/>
          <w:szCs w:val="20"/>
        </w:rPr>
        <w:t xml:space="preserve">El consumidor obtiene un token en el endpoint </w:t>
      </w:r>
      <w:r>
        <w:rPr>
          <w:rFonts w:ascii="Consolas" w:cs="Consolas" w:eastAsia="Consolas" w:hAnsi="Consolas"/>
          <w:color w:val="1D2D3E"/>
          <w:sz w:val="18"/>
          <w:szCs w:val="18"/>
          <w:shd w:fill="F4F6F8" w:val="clear"/>
        </w:rPr>
        <w:t xml:space="preserve">/oauth/token</w:t>
      </w:r>
      <w:r>
        <w:rPr>
          <w:rFonts w:ascii="Calibri" w:cs="Calibri" w:eastAsia="Calibri" w:hAnsi="Calibri"/>
          <w:b w:val="false"/>
          <w:bCs w:val="false"/>
          <w:i w:val="false"/>
          <w:iCs w:val="false"/>
          <w:color w:val="32363A"/>
          <w:sz w:val="20"/>
          <w:szCs w:val="20"/>
        </w:rPr>
        <w:t xml:space="preserve"> mediante </w:t>
      </w:r>
      <w:r>
        <w:rPr>
          <w:rFonts w:ascii="Calibri" w:cs="Calibri" w:eastAsia="Calibri" w:hAnsi="Calibri"/>
          <w:b w:val="false"/>
          <w:bCs w:val="false"/>
          <w:i/>
          <w:iCs/>
          <w:color w:val="32363A"/>
          <w:sz w:val="20"/>
          <w:szCs w:val="20"/>
        </w:rPr>
        <w:t xml:space="preserve">client credentials</w:t>
      </w:r>
      <w:r>
        <w:rPr>
          <w:rFonts w:ascii="Calibri" w:cs="Calibri" w:eastAsia="Calibri" w:hAnsi="Calibri"/>
          <w:b w:val="false"/>
          <w:bCs w:val="false"/>
          <w:i w:val="false"/>
          <w:iCs w:val="false"/>
          <w:color w:val="32363A"/>
          <w:sz w:val="20"/>
          <w:szCs w:val="20"/>
        </w:rPr>
        <w:t xml:space="preserve"> y lo envía como </w:t>
      </w:r>
      <w:r>
        <w:rPr>
          <w:rFonts w:ascii="Consolas" w:cs="Consolas" w:eastAsia="Consolas" w:hAnsi="Consolas"/>
          <w:color w:val="1D2D3E"/>
          <w:sz w:val="18"/>
          <w:szCs w:val="18"/>
          <w:shd w:fill="F4F6F8" w:val="clear"/>
        </w:rPr>
        <w:t xml:space="preserve">Authorization: Bearer &lt;token&gt;</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Ventajas: los tokens caducan, admiten </w:t>
      </w:r>
      <w:r>
        <w:rPr>
          <w:rFonts w:ascii="Calibri" w:cs="Calibri" w:eastAsia="Calibri" w:hAnsi="Calibri"/>
          <w:b w:val="false"/>
          <w:bCs w:val="false"/>
          <w:i/>
          <w:iCs/>
          <w:color w:val="32363A"/>
          <w:sz w:val="20"/>
          <w:szCs w:val="20"/>
        </w:rPr>
        <w:t xml:space="preserve">scopes</w:t>
      </w:r>
      <w:r>
        <w:rPr>
          <w:rFonts w:ascii="Calibri" w:cs="Calibri" w:eastAsia="Calibri" w:hAnsi="Calibri"/>
          <w:b w:val="false"/>
          <w:bCs w:val="false"/>
          <w:i w:val="false"/>
          <w:iCs w:val="false"/>
          <w:color w:val="32363A"/>
          <w:sz w:val="20"/>
          <w:szCs w:val="20"/>
        </w:rPr>
        <w:t xml:space="preserve"> diferenciados por operación y se revocan de forma centralizada.</w:t>
      </w:r>
    </w:p>
    <w:p>
      <w:pPr>
        <w:pStyle w:val="Heading2"/>
      </w:pPr>
      <w:r>
        <w:rPr>
          <w:rFonts w:ascii="Calibri" w:cs="Calibri" w:eastAsia="Calibri" w:hAnsi="Calibri"/>
          <w:b/>
          <w:bCs/>
          <w:i w:val="false"/>
          <w:iCs w:val="false"/>
          <w:color w:val="0A6ED1"/>
          <w:sz w:val="26"/>
          <w:szCs w:val="26"/>
        </w:rPr>
        <w:t xml:space="preserve">12.5 Trazabilidad</w:t>
      </w:r>
    </w:p>
    <w:p>
      <w:pPr>
        <w:spacing w:after="140" w:before="60" w:line="276"/>
        <w:jc w:val="both"/>
      </w:pPr>
      <w:r>
        <w:rPr>
          <w:rFonts w:ascii="Calibri" w:cs="Calibri" w:eastAsia="Calibri" w:hAnsi="Calibri"/>
          <w:b w:val="false"/>
          <w:bCs w:val="false"/>
          <w:i w:val="false"/>
          <w:iCs w:val="false"/>
          <w:color w:val="32363A"/>
          <w:sz w:val="20"/>
          <w:szCs w:val="20"/>
        </w:rPr>
        <w:t xml:space="preserve">Con el patrón de esta PoC, S/4HANA registra todas las llamadas bajo el mismo usuario técnico: </w:t>
      </w:r>
      <w:r>
        <w:rPr>
          <w:rFonts w:ascii="Calibri" w:cs="Calibri" w:eastAsia="Calibri" w:hAnsi="Calibri"/>
          <w:b/>
          <w:bCs/>
          <w:i w:val="false"/>
          <w:iCs w:val="false"/>
          <w:color w:val="32363A"/>
          <w:sz w:val="20"/>
          <w:szCs w:val="20"/>
        </w:rPr>
        <w:t xml:space="preserve">se pierde la identidad del consumidor final</w:t>
      </w:r>
      <w:r>
        <w:rPr>
          <w:rFonts w:ascii="Calibri" w:cs="Calibri" w:eastAsia="Calibri" w:hAnsi="Calibri"/>
          <w:b w:val="false"/>
          <w:bCs w:val="false"/>
          <w:i w:val="false"/>
          <w:iCs w:val="false"/>
          <w:color w:val="32363A"/>
          <w:sz w:val="20"/>
          <w:szCs w:val="20"/>
        </w:rPr>
        <w:t xml:space="preserve">. Opciones: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49"/>
        <w:gridCol w:w="4187"/>
        <w:gridCol w:w="3610"/>
      </w:tblGrid>
      <w:tr>
        <w:trPr>
          <w:cantSplit/>
          <w:tblHeader/>
        </w:trPr>
        <w:tc>
          <w:tcPr>
            <w:tcW w:type="dxa" w:w="19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Opción</w:t>
            </w:r>
          </w:p>
        </w:tc>
        <w:tc>
          <w:tcPr>
            <w:tcW w:type="dxa" w:w="4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Cómo</w:t>
            </w:r>
          </w:p>
        </w:tc>
        <w:tc>
          <w:tcPr>
            <w:tcW w:type="dxa" w:w="36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Auditoría en API Management</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Cada llamada queda asociada a su Application</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Suficiente en la mayoría de casos</w:t>
            </w:r>
          </w:p>
        </w:tc>
      </w:tr>
      <w:tr>
        <w:trPr>
          <w:cantSplit/>
          <w:tblHeader w:val="false"/>
        </w:trPr>
        <w:tc>
          <w:tcPr>
            <w:tcW w:type="dxa" w:w="19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Propagation</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el Cloud Connector, mapeo de usuario en S/4</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Cuando se exige trazabilidad nominal en el backend</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Cabecera de correlación</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envía un ID de correlación que se propaga y registra</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Recomendado siempre, para diagnóstico</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12.6 Transporte y ciclo de vida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978"/>
        <w:gridCol w:w="5768"/>
      </w:tblGrid>
      <w:tr>
        <w:trPr>
          <w:cantSplit/>
          <w:tblHeader/>
        </w:trPr>
        <w:tc>
          <w:tcPr>
            <w:tcW w:type="dxa" w:w="39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576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Mecanismo de transporte</w:t>
            </w:r>
          </w:p>
        </w:tc>
      </w:tr>
      <w:tr>
        <w:trPr>
          <w:cantSplit/>
          <w:tblHeader w:val="false"/>
        </w:trPr>
        <w:tc>
          <w:tcPr>
            <w:tcW w:type="dxa" w:w="3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Service Definition, Service Binding</w:t>
            </w:r>
          </w:p>
        </w:tc>
        <w:tc>
          <w:tcPr>
            <w:tcW w:type="dxa" w:w="576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workbench (§6.2)</w:t>
            </w:r>
          </w:p>
        </w:tc>
      </w:tr>
      <w:tr>
        <w:trPr>
          <w:cantSplit/>
          <w:tblHeader w:val="false"/>
        </w:trPr>
        <w:tc>
          <w:tcPr>
            <w:tcW w:type="dxa" w:w="3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576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customizing</w:t>
            </w:r>
          </w:p>
        </w:tc>
      </w:tr>
      <w:tr>
        <w:trPr>
          <w:cantSplit/>
          <w:tblHeader w:val="false"/>
        </w:trPr>
        <w:tc>
          <w:tcPr>
            <w:tcW w:type="dxa" w:w="3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5768"/>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w:t>
            </w:r>
            <w:r>
              <w:rPr>
                <w:rFonts w:ascii="Calibri" w:cs="Calibri" w:eastAsia="Calibri" w:hAnsi="Calibri"/>
                <w:b w:val="false"/>
                <w:bCs w:val="false"/>
                <w:i w:val="false"/>
                <w:iCs w:val="false"/>
                <w:color w:val="32363A"/>
                <w:sz w:val="17"/>
                <w:szCs w:val="17"/>
              </w:rPr>
              <w:t xml:space="preserve"> Se crea manualmente en cada entorno</w:t>
            </w:r>
          </w:p>
        </w:tc>
      </w:tr>
      <w:tr>
        <w:trPr>
          <w:cantSplit/>
          <w:tblHeader w:val="false"/>
        </w:trPr>
        <w:tc>
          <w:tcPr>
            <w:tcW w:type="dxa" w:w="3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Destination, API Proxy</w:t>
            </w:r>
          </w:p>
        </w:tc>
        <w:tc>
          <w:tcPr>
            <w:tcW w:type="dxa" w:w="5768"/>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transportan.</w:t>
            </w:r>
            <w:r>
              <w:rPr>
                <w:rFonts w:ascii="Calibri" w:cs="Calibri" w:eastAsia="Calibri" w:hAnsi="Calibri"/>
                <w:b w:val="false"/>
                <w:bCs w:val="false"/>
                <w:i w:val="false"/>
                <w:iCs w:val="false"/>
                <w:color w:val="32363A"/>
                <w:sz w:val="17"/>
                <w:szCs w:val="17"/>
              </w:rPr>
              <w:t xml:space="preserve"> Se replican por entorno; el API Proxy admite exportación e importación</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configuración de BTP y del Cloud Connector queda fuera del sistema de transportes de SAP. Mantener este documento actualizado como fuente de verdad, o automatizarla con Terraform mediante el provider de BTP.</w:t>
      </w:r>
    </w:p>
    <w:p>
      <w:pPr>
        <w:pStyle w:val="Heading1"/>
        <w:pageBreakBefore/>
      </w:pPr>
      <w:r>
        <w:rPr>
          <w:rFonts w:ascii="Calibri" w:cs="Calibri" w:eastAsia="Calibri" w:hAnsi="Calibri"/>
          <w:b/>
          <w:bCs/>
          <w:i w:val="false"/>
          <w:iCs w:val="false"/>
          <w:color w:val="1D2D3E"/>
          <w:sz w:val="34"/>
          <w:szCs w:val="34"/>
        </w:rPr>
        <w:t xml:space="preserve">13. Extensión al patrón transaccional</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Cuando una interfaz migrada requiera escritura, se añade la capa transaccional de RAP. Tres advertencias antes de hacerlo.</w:t>
      </w:r>
    </w:p>
    <w:p>
      <w:pPr>
        <w:pStyle w:val="Heading2"/>
      </w:pPr>
      <w:r>
        <w:rPr>
          <w:rFonts w:ascii="Calibri" w:cs="Calibri" w:eastAsia="Calibri" w:hAnsi="Calibri"/>
          <w:b/>
          <w:bCs/>
          <w:i w:val="false"/>
          <w:iCs w:val="false"/>
          <w:color w:val="0A6ED1"/>
          <w:sz w:val="26"/>
          <w:szCs w:val="26"/>
        </w:rPr>
        <w:t xml:space="preserve">13.1 No escribir sobre </w:t>
      </w:r>
      <w:r>
        <w:rPr>
          <w:rFonts w:ascii="Consolas" w:cs="Consolas" w:eastAsia="Consolas" w:hAnsi="Consolas"/>
          <w:color w:val="1D2D3E"/>
          <w:sz w:val="24"/>
          <w:szCs w:val="24"/>
          <w:shd w:fill="F4F6F8" w:val="clear"/>
        </w:rPr>
        <w:t xml:space="preserve">KNA1</w:t>
      </w:r>
    </w:p>
    <w:p>
      <w:pPr>
        <w:spacing w:after="140" w:before="60" w:line="276"/>
        <w:jc w:val="both"/>
      </w:pPr>
      <w:r>
        <w:rPr>
          <w:rFonts w:ascii="Calibri" w:cs="Calibri" w:eastAsia="Calibri" w:hAnsi="Calibri"/>
          <w:b/>
          <w:bCs/>
          <w:i w:val="false"/>
          <w:iCs w:val="false"/>
          <w:color w:val="32363A"/>
          <w:sz w:val="20"/>
          <w:szCs w:val="20"/>
        </w:rPr>
        <w:t xml:space="preserve">El maestro de clientes no debe actualizarse mediante un RAP BO `managed` sobre `KNA1`.</w:t>
      </w:r>
      <w:r>
        <w:rPr>
          <w:rFonts w:ascii="Calibri" w:cs="Calibri" w:eastAsia="Calibri" w:hAnsi="Calibri"/>
          <w:b w:val="false"/>
          <w:bCs w:val="false"/>
          <w:i w:val="false"/>
          <w:iCs w:val="false"/>
          <w:color w:val="32363A"/>
          <w:sz w:val="20"/>
          <w:szCs w:val="20"/>
        </w:rPr>
        <w:t xml:space="preserve"> La entidad está sujeta a la sincronización CVI con Business Partner y a lógica de negocio que una escritura directa en tabla omitiría, dejando el maestro inconsistente y provocando errores diferidos difíciles de rastrear.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23"/>
        <w:gridCol w:w="6423"/>
      </w:tblGrid>
      <w:tr>
        <w:trPr>
          <w:cantSplit/>
          <w:tblHeader/>
        </w:trPr>
        <w:tc>
          <w:tcPr>
            <w:tcW w:type="dxa" w:w="33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Necesidad</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Vía correcta</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o modificar clientes</w:t>
            </w:r>
          </w:p>
        </w:tc>
        <w:tc>
          <w:tcPr>
            <w:tcW w:type="dxa" w:w="64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estándar </w:t>
            </w:r>
            <w:r>
              <w:rPr>
                <w:rFonts w:ascii="Consolas" w:cs="Consolas" w:eastAsia="Consolas" w:hAnsi="Consolas"/>
                <w:color w:val="1D2D3E"/>
                <w:sz w:val="15"/>
                <w:szCs w:val="15"/>
                <w:shd w:fill="F4F6F8" w:val="clear"/>
              </w:rPr>
              <w:t xml:space="preserve">API_BUSINESS_PARTNER</w:t>
            </w:r>
            <w:r>
              <w:rPr>
                <w:rFonts w:ascii="Calibri" w:cs="Calibri" w:eastAsia="Calibri" w:hAnsi="Calibri"/>
                <w:b w:val="false"/>
                <w:bCs w:val="false"/>
                <w:i w:val="false"/>
                <w:iCs w:val="false"/>
                <w:color w:val="32363A"/>
                <w:sz w:val="17"/>
                <w:szCs w:val="17"/>
              </w:rPr>
              <w:t xml:space="preserve">, o el BO </w:t>
            </w:r>
            <w:r>
              <w:rPr>
                <w:rFonts w:ascii="Consolas" w:cs="Consolas" w:eastAsia="Consolas" w:hAnsi="Consolas"/>
                <w:color w:val="1D2D3E"/>
                <w:sz w:val="15"/>
                <w:szCs w:val="15"/>
                <w:shd w:fill="F4F6F8" w:val="clear"/>
              </w:rPr>
              <w:t xml:space="preserve">BusinessPartner</w:t>
            </w:r>
            <w:r>
              <w:rPr>
                <w:rFonts w:ascii="Calibri" w:cs="Calibri" w:eastAsia="Calibri" w:hAnsi="Calibri"/>
                <w:b w:val="false"/>
                <w:bCs w:val="false"/>
                <w:i w:val="false"/>
                <w:iCs w:val="false"/>
                <w:color w:val="32363A"/>
                <w:sz w:val="17"/>
                <w:szCs w:val="17"/>
              </w:rPr>
              <w:t xml:space="preserve"> de RAP</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propios de la migración</w:t>
            </w:r>
          </w:p>
        </w:tc>
        <w:tc>
          <w:tcPr>
            <w:tcW w:type="dxa" w:w="64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sobre una tabla Z propia</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compleja sobre estándar</w:t>
            </w:r>
          </w:p>
        </w:tc>
        <w:tc>
          <w:tcPr>
            <w:tcW w:type="dxa" w:w="64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unmanaged</w:t>
            </w:r>
            <w:r>
              <w:rPr>
                <w:rFonts w:ascii="Calibri" w:cs="Calibri" w:eastAsia="Calibri" w:hAnsi="Calibri"/>
                <w:b w:val="false"/>
                <w:bCs w:val="false"/>
                <w:i w:val="false"/>
                <w:iCs w:val="false"/>
                <w:color w:val="32363A"/>
                <w:sz w:val="17"/>
                <w:szCs w:val="17"/>
              </w:rPr>
              <w:t xml:space="preserve"> que delegue en BAPIs</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13.2 Esqueleto de un RAP BO </w:t>
      </w:r>
      <w:r>
        <w:rPr>
          <w:rFonts w:ascii="Consolas" w:cs="Consolas" w:eastAsia="Consolas" w:hAnsi="Consolas"/>
          <w:color w:val="1D2D3E"/>
          <w:sz w:val="24"/>
          <w:szCs w:val="24"/>
          <w:shd w:fill="F4F6F8" w:val="clear"/>
        </w:rPr>
        <w:t xml:space="preserve">managed</w:t>
      </w:r>
      <w:r>
        <w:rPr>
          <w:rFonts w:ascii="Calibri" w:cs="Calibri" w:eastAsia="Calibri" w:hAnsi="Calibri"/>
          <w:b/>
          <w:bCs/>
          <w:i w:val="false"/>
          <w:iCs w:val="false"/>
          <w:color w:val="0A6ED1"/>
          <w:sz w:val="26"/>
          <w:szCs w:val="26"/>
        </w:rPr>
        <w:t xml:space="preserve"> sobre tabla propia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managed implementation in class zbp_r_pocentity unique;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strict ( 2 );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behavior for ZR_POCENTITY alias PocEntity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persistent table zpoc_tabla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lock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master ( instance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etag master LastChangedAt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create;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update;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delete;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readonly ) Uuid, CreatedAt, CreatedBy, LastChangedAt;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mandatory ) Descripcion;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mapping for zpoc_tabla corresponding;</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Objetos adicionales que esto implica: </w:t>
      </w:r>
      <w:r>
        <w:rPr>
          <w:rFonts w:ascii="Calibri" w:cs="Calibri" w:eastAsia="Calibri" w:hAnsi="Calibri"/>
          <w:b w:val="false"/>
          <w:bCs w:val="false"/>
          <w:i/>
          <w:iCs/>
          <w:color w:val="32363A"/>
          <w:sz w:val="20"/>
          <w:szCs w:val="20"/>
        </w:rPr>
        <w:t xml:space="preserve">behavior definition</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val="false"/>
          <w:bCs w:val="false"/>
          <w:i/>
          <w:iCs/>
          <w:color w:val="32363A"/>
          <w:sz w:val="20"/>
          <w:szCs w:val="20"/>
        </w:rPr>
        <w:t xml:space="preserve">behavior implementation class</w:t>
      </w:r>
      <w:r>
        <w:rPr>
          <w:rFonts w:ascii="Calibri" w:cs="Calibri" w:eastAsia="Calibri" w:hAnsi="Calibri"/>
          <w:b w:val="false"/>
          <w:bCs w:val="false"/>
          <w:i w:val="false"/>
          <w:iCs w:val="false"/>
          <w:color w:val="32363A"/>
          <w:sz w:val="20"/>
          <w:szCs w:val="20"/>
        </w:rPr>
        <w:t xml:space="preserve"> (behavior pool), </w:t>
      </w:r>
      <w:r>
        <w:rPr>
          <w:rFonts w:ascii="Calibri" w:cs="Calibri" w:eastAsia="Calibri" w:hAnsi="Calibri"/>
          <w:b w:val="false"/>
          <w:bCs w:val="false"/>
          <w:i/>
          <w:iCs/>
          <w:color w:val="32363A"/>
          <w:sz w:val="20"/>
          <w:szCs w:val="20"/>
        </w:rPr>
        <w:t xml:space="preserve">behavior projection</w:t>
      </w:r>
      <w:r>
        <w:rPr>
          <w:rFonts w:ascii="Calibri" w:cs="Calibri" w:eastAsia="Calibri" w:hAnsi="Calibri"/>
          <w:b w:val="false"/>
          <w:bCs w:val="false"/>
          <w:i w:val="false"/>
          <w:iCs w:val="false"/>
          <w:color w:val="32363A"/>
          <w:sz w:val="20"/>
          <w:szCs w:val="20"/>
        </w:rPr>
        <w:t xml:space="preserve"> sobre la projection view y, si se requiere borrador, gestión de </w:t>
      </w:r>
      <w:r>
        <w:rPr>
          <w:rFonts w:ascii="Calibri" w:cs="Calibri" w:eastAsia="Calibri" w:hAnsi="Calibri"/>
          <w:b w:val="false"/>
          <w:bCs w:val="false"/>
          <w:i/>
          <w:iCs/>
          <w:color w:val="32363A"/>
          <w:sz w:val="20"/>
          <w:szCs w:val="20"/>
        </w:rPr>
        <w:t xml:space="preserve">draft</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13.3 Implicaciones en el consumo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17"/>
        <w:gridCol w:w="6729"/>
      </w:tblGrid>
      <w:tr>
        <w:trPr>
          <w:cantSplit/>
          <w:tblHeader/>
        </w:trPr>
        <w:tc>
          <w:tcPr>
            <w:tcW w:type="dxa" w:w="301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Aspecto</w:t>
            </w:r>
          </w:p>
        </w:tc>
        <w:tc>
          <w:tcPr>
            <w:tcW w:type="dxa" w:w="672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Cambio</w:t>
            </w:r>
          </w:p>
        </w:tc>
      </w:tr>
      <w:tr>
        <w:trPr>
          <w:cantSplit/>
          <w:tblHeader w:val="false"/>
        </w:trPr>
        <w:tc>
          <w:tcPr>
            <w:tcW w:type="dxa" w:w="301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CSRF</w:t>
            </w:r>
          </w:p>
        </w:tc>
        <w:tc>
          <w:tcPr>
            <w:tcW w:type="dxa" w:w="67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Pasa a ser </w:t>
            </w:r>
            <w:r>
              <w:rPr>
                <w:rFonts w:ascii="Calibri" w:cs="Calibri" w:eastAsia="Calibri" w:hAnsi="Calibri"/>
                <w:b/>
                <w:bCs/>
                <w:i w:val="false"/>
                <w:iCs w:val="false"/>
                <w:color w:val="32363A"/>
                <w:sz w:val="17"/>
                <w:szCs w:val="17"/>
              </w:rPr>
              <w:t xml:space="preserve">obligatorio</w:t>
            </w:r>
            <w:r>
              <w:rPr>
                <w:rFonts w:ascii="Calibri" w:cs="Calibri" w:eastAsia="Calibri" w:hAnsi="Calibri"/>
                <w:b w:val="false"/>
                <w:bCs w:val="false"/>
                <w:i w:val="false"/>
                <w:iCs w:val="false"/>
                <w:color w:val="32363A"/>
                <w:sz w:val="17"/>
                <w:szCs w:val="17"/>
              </w:rPr>
              <w:t xml:space="preserve"> (§11.6c)</w:t>
            </w:r>
          </w:p>
        </w:tc>
      </w:tr>
      <w:tr>
        <w:trPr>
          <w:cantSplit/>
          <w:tblHeader w:val="false"/>
        </w:trPr>
        <w:tc>
          <w:tcPr>
            <w:tcW w:type="dxa" w:w="301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Autorizaciones</w:t>
            </w:r>
          </w:p>
        </w:tc>
        <w:tc>
          <w:tcPr>
            <w:tcW w:type="dxa" w:w="672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ACTVT</w:t>
            </w:r>
            <w:r>
              <w:rPr>
                <w:rFonts w:ascii="Calibri" w:cs="Calibri" w:eastAsia="Calibri" w:hAnsi="Calibri"/>
                <w:b w:val="false"/>
                <w:bCs w:val="false"/>
                <w:i w:val="false"/>
                <w:iCs w:val="false"/>
                <w:color w:val="32363A"/>
                <w:sz w:val="17"/>
                <w:szCs w:val="17"/>
              </w:rPr>
              <w:t xml:space="preserve"> deja de ser solo </w:t>
            </w:r>
            <w:r>
              <w:rPr>
                <w:rFonts w:ascii="Consolas" w:cs="Consolas" w:eastAsia="Consolas" w:hAnsi="Consolas"/>
                <w:color w:val="1D2D3E"/>
                <w:sz w:val="15"/>
                <w:szCs w:val="15"/>
                <w:shd w:fill="F4F6F8" w:val="clear"/>
              </w:rPr>
              <w:t xml:space="preserve">03</w:t>
            </w:r>
            <w:r>
              <w:rPr>
                <w:rFonts w:ascii="Calibri" w:cs="Calibri" w:eastAsia="Calibri" w:hAnsi="Calibri"/>
                <w:b w:val="false"/>
                <w:bCs w:val="false"/>
                <w:i w:val="false"/>
                <w:iCs w:val="false"/>
                <w:color w:val="32363A"/>
                <w:sz w:val="17"/>
                <w:szCs w:val="17"/>
              </w:rPr>
              <w:t xml:space="preserve">: hay que conceder </w:t>
            </w:r>
            <w:r>
              <w:rPr>
                <w:rFonts w:ascii="Consolas" w:cs="Consolas" w:eastAsia="Consolas" w:hAnsi="Consolas"/>
                <w:color w:val="1D2D3E"/>
                <w:sz w:val="15"/>
                <w:szCs w:val="15"/>
                <w:shd w:fill="F4F6F8" w:val="clear"/>
              </w:rPr>
              <w:t xml:space="preserve">01</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02</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06</w:t>
            </w:r>
          </w:p>
        </w:tc>
      </w:tr>
      <w:tr>
        <w:trPr>
          <w:cantSplit/>
          <w:tblHeader w:val="false"/>
        </w:trPr>
        <w:tc>
          <w:tcPr>
            <w:tcW w:type="dxa" w:w="301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de API Management</w:t>
            </w:r>
          </w:p>
        </w:tc>
        <w:tc>
          <w:tcPr>
            <w:tcW w:type="dxa" w:w="67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Restringir los verbos HTTP permitidos por consumidor</w:t>
            </w:r>
          </w:p>
        </w:tc>
      </w:tr>
      <w:tr>
        <w:trPr>
          <w:cantSplit/>
          <w:tblHeader w:val="false"/>
        </w:trPr>
        <w:tc>
          <w:tcPr>
            <w:tcW w:type="dxa" w:w="301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Idempotencia</w:t>
            </w:r>
          </w:p>
        </w:tc>
        <w:tc>
          <w:tcPr>
            <w:tcW w:type="dxa" w:w="67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el comportamiento ante reintentos, responsabilidad que antes asumía PI/PO</w:t>
            </w:r>
          </w:p>
        </w:tc>
      </w:tr>
      <w:tr>
        <w:trPr>
          <w:cantSplit/>
          <w:tblHeader w:val="false"/>
        </w:trPr>
        <w:tc>
          <w:tcPr>
            <w:tcW w:type="dxa" w:w="301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Transaccionalidad</w:t>
            </w:r>
          </w:p>
        </w:tc>
        <w:tc>
          <w:tcPr>
            <w:tcW w:type="dxa" w:w="67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confirma por petición. Las operaciones multi-entidad requieren </w:t>
            </w:r>
            <w:r>
              <w:rPr>
                <w:rFonts w:ascii="Consolas" w:cs="Consolas" w:eastAsia="Consolas" w:hAnsi="Consolas"/>
                <w:color w:val="1D2D3E"/>
                <w:sz w:val="15"/>
                <w:szCs w:val="15"/>
                <w:shd w:fill="F4F6F8" w:val="clear"/>
              </w:rPr>
              <w:t xml:space="preserve">$batch</w:t>
            </w:r>
            <w:r>
              <w:rPr>
                <w:rFonts w:ascii="Calibri" w:cs="Calibri" w:eastAsia="Calibri" w:hAnsi="Calibri"/>
                <w:b w:val="false"/>
                <w:bCs w:val="false"/>
                <w:i w:val="false"/>
                <w:iCs w:val="false"/>
                <w:color w:val="32363A"/>
                <w:sz w:val="17"/>
                <w:szCs w:val="17"/>
              </w:rPr>
              <w:t xml:space="preserve"> con </w:t>
            </w:r>
            <w:r>
              <w:rPr>
                <w:rFonts w:ascii="Calibri" w:cs="Calibri" w:eastAsia="Calibri" w:hAnsi="Calibri"/>
                <w:b w:val="false"/>
                <w:bCs w:val="false"/>
                <w:i/>
                <w:iCs/>
                <w:color w:val="32363A"/>
                <w:sz w:val="17"/>
                <w:szCs w:val="17"/>
              </w:rPr>
              <w:t xml:space="preserve">changeset</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14. Replicación del patrón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14.1 Qué se reutiliza a partir de la segunda interfaz</w:t>
      </w:r>
    </w:p>
    <w:p>
      <w:pPr>
        <w:spacing w:after="140" w:before="60" w:line="276"/>
        <w:jc w:val="both"/>
      </w:pPr>
      <w:r>
        <w:rPr>
          <w:rFonts w:ascii="Calibri" w:cs="Calibri" w:eastAsia="Calibri" w:hAnsi="Calibri"/>
          <w:b w:val="false"/>
          <w:bCs w:val="false"/>
          <w:i w:val="false"/>
          <w:iCs w:val="false"/>
          <w:color w:val="32363A"/>
          <w:sz w:val="20"/>
          <w:szCs w:val="20"/>
        </w:rPr>
        <w:t xml:space="preserve">La PoC construye infraestructura que ya no vuelve a crearse. Ese es su valor real: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769"/>
        <w:gridCol w:w="4977"/>
      </w:tblGrid>
      <w:tr>
        <w:trPr>
          <w:cantSplit/>
          <w:tblHeader/>
        </w:trPr>
        <w:tc>
          <w:tcPr>
            <w:tcW w:type="dxa" w:w="476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w:t>
            </w:r>
          </w:p>
        </w:tc>
        <w:tc>
          <w:tcPr>
            <w:tcW w:type="dxa" w:w="49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 repite por interfaz?</w:t>
            </w:r>
          </w:p>
        </w:tc>
      </w:tr>
      <w:tr>
        <w:trPr>
          <w:cantSplit/>
          <w:tblHeader w:val="false"/>
        </w:trPr>
        <w:tc>
          <w:tcPr>
            <w:tcW w:type="dxa" w:w="47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y túnel a la subaccount</w:t>
            </w:r>
          </w:p>
        </w:tc>
        <w:tc>
          <w:tcPr>
            <w:tcW w:type="dxa" w:w="497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se configura una vez</w:t>
            </w:r>
          </w:p>
        </w:tc>
      </w:tr>
      <w:tr>
        <w:trPr>
          <w:cantSplit/>
          <w:tblHeader w:val="false"/>
        </w:trPr>
        <w:tc>
          <w:tcPr>
            <w:tcW w:type="dxa" w:w="47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Control sobre </w:t>
            </w:r>
            <w:r>
              <w:rPr>
                <w:rFonts w:ascii="Consolas" w:cs="Consolas" w:eastAsia="Consolas" w:hAnsi="Consolas"/>
                <w:color w:val="1D2D3E"/>
                <w:sz w:val="15"/>
                <w:szCs w:val="15"/>
                <w:shd w:fill="F4F6F8" w:val="clear"/>
              </w:rPr>
              <w:t xml:space="preserve">/sap/opu/odata4</w:t>
            </w:r>
          </w:p>
        </w:tc>
        <w:tc>
          <w:tcPr>
            <w:tcW w:type="dxa" w:w="497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cubre todos los servicios OData V4</w:t>
            </w:r>
          </w:p>
        </w:tc>
      </w:tr>
      <w:tr>
        <w:trPr>
          <w:cantSplit/>
          <w:tblHeader w:val="false"/>
        </w:trPr>
        <w:tc>
          <w:tcPr>
            <w:tcW w:type="dxa" w:w="47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 </w:t>
            </w:r>
            <w:r>
              <w:rPr>
                <w:rFonts w:ascii="Consolas" w:cs="Consolas" w:eastAsia="Consolas" w:hAnsi="Consolas"/>
                <w:color w:val="1D2D3E"/>
                <w:sz w:val="15"/>
                <w:szCs w:val="15"/>
                <w:shd w:fill="F4F6F8" w:val="clear"/>
              </w:rPr>
              <w:t xml:space="preserve">S4H_POC_PROVIDER</w:t>
            </w:r>
          </w:p>
        </w:tc>
        <w:tc>
          <w:tcPr>
            <w:tcW w:type="dxa" w:w="497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sirve para todos los APIs del mismo backend</w:t>
            </w:r>
          </w:p>
        </w:tc>
      </w:tr>
      <w:tr>
        <w:trPr>
          <w:cantSplit/>
          <w:tblHeader w:val="false"/>
        </w:trPr>
        <w:tc>
          <w:tcPr>
            <w:tcW w:type="dxa" w:w="47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 de credenciales</w:t>
            </w:r>
          </w:p>
        </w:tc>
        <w:tc>
          <w:tcPr>
            <w:tcW w:type="dxa" w:w="497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salvo que se use un usuario técnico distinto</w:t>
            </w:r>
          </w:p>
        </w:tc>
      </w:tr>
      <w:tr>
        <w:trPr>
          <w:cantSplit/>
          <w:tblHeader w:val="false"/>
        </w:trPr>
        <w:tc>
          <w:tcPr>
            <w:tcW w:type="dxa" w:w="47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y role collections</w:t>
            </w:r>
          </w:p>
        </w:tc>
        <w:tc>
          <w:tcPr>
            <w:tcW w:type="dxa" w:w="497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p>
        </w:tc>
      </w:tr>
      <w:tr>
        <w:trPr>
          <w:cantSplit/>
          <w:tblHeader w:val="false"/>
        </w:trPr>
        <w:tc>
          <w:tcPr>
            <w:tcW w:type="dxa" w:w="47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Vistas CDS y Service Definition/Binding</w:t>
            </w:r>
          </w:p>
        </w:tc>
        <w:tc>
          <w:tcPr>
            <w:tcW w:type="dxa" w:w="497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476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y Product</w:t>
            </w:r>
          </w:p>
        </w:tc>
        <w:tc>
          <w:tcPr>
            <w:tcW w:type="dxa" w:w="497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476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 y rol PFCG</w:t>
            </w:r>
          </w:p>
        </w:tc>
        <w:tc>
          <w:tcPr>
            <w:tcW w:type="dxa" w:w="497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Recomendable uno por interfaz (§12.3)</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Coste estimado por interfaz adicional del mismo patrón: </w:t>
      </w:r>
      <w:r>
        <w:rPr>
          <w:rFonts w:ascii="Calibri" w:cs="Calibri" w:eastAsia="Calibri" w:hAnsi="Calibri"/>
          <w:b/>
          <w:bCs/>
          <w:i w:val="false"/>
          <w:iCs w:val="false"/>
          <w:color w:val="32363A"/>
          <w:sz w:val="20"/>
          <w:szCs w:val="20"/>
        </w:rPr>
        <w:t xml:space="preserve">entre medio día y dos días</w:t>
      </w:r>
      <w:r>
        <w:rPr>
          <w:rFonts w:ascii="Calibri" w:cs="Calibri" w:eastAsia="Calibri" w:hAnsi="Calibri"/>
          <w:b w:val="false"/>
          <w:bCs w:val="false"/>
          <w:i w:val="false"/>
          <w:iCs w:val="false"/>
          <w:color w:val="32363A"/>
          <w:sz w:val="20"/>
          <w:szCs w:val="20"/>
        </w:rPr>
        <w:t xml:space="preserve">, frente a las semanas que consume la construcción inicial de la cadena.</w:t>
      </w:r>
    </w:p>
    <w:p>
      <w:pPr>
        <w:pStyle w:val="Heading2"/>
      </w:pPr>
      <w:r>
        <w:rPr>
          <w:rFonts w:ascii="Calibri" w:cs="Calibri" w:eastAsia="Calibri" w:hAnsi="Calibri"/>
          <w:b/>
          <w:bCs/>
          <w:i w:val="false"/>
          <w:iCs w:val="false"/>
          <w:color w:val="0A6ED1"/>
          <w:sz w:val="26"/>
          <w:szCs w:val="26"/>
        </w:rPr>
        <w:t xml:space="preserve">14.2 Convención de nombres</w:t>
      </w:r>
    </w:p>
    <w:p>
      <w:pPr>
        <w:spacing w:after="140" w:before="60" w:line="276"/>
        <w:jc w:val="both"/>
      </w:pPr>
      <w:r>
        <w:rPr>
          <w:rFonts w:ascii="Calibri" w:cs="Calibri" w:eastAsia="Calibri" w:hAnsi="Calibri"/>
          <w:b w:val="false"/>
          <w:bCs w:val="false"/>
          <w:i w:val="false"/>
          <w:iCs w:val="false"/>
          <w:color w:val="32363A"/>
          <w:sz w:val="20"/>
          <w:szCs w:val="20"/>
        </w:rPr>
        <w:t xml:space="preserve">Fijarla ahora, antes de migrar decenas de interfaces.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849"/>
        <w:gridCol w:w="3748"/>
        <w:gridCol w:w="3149"/>
      </w:tblGrid>
      <w:tr>
        <w:trPr>
          <w:cantSplit/>
          <w:tblHeader/>
        </w:trPr>
        <w:tc>
          <w:tcPr>
            <w:tcW w:type="dxa" w:w="28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374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w:t>
            </w:r>
          </w:p>
        </w:tc>
        <w:tc>
          <w:tcPr>
            <w:tcW w:type="dxa" w:w="31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Ejemplo</w:t>
            </w:r>
          </w:p>
        </w:tc>
      </w:tr>
      <w:tr>
        <w:trPr>
          <w:cantSplit/>
          <w:tblHeader w:val="false"/>
        </w:trPr>
        <w:tc>
          <w:tcPr>
            <w:tcW w:type="dxa" w:w="2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base</w:t>
            </w:r>
          </w:p>
        </w:tc>
        <w:tc>
          <w:tcPr>
            <w:tcW w:type="dxa" w:w="374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ZR_&lt;Entidad&gt;</w:t>
            </w:r>
          </w:p>
        </w:tc>
        <w:tc>
          <w:tcPr>
            <w:tcW w:type="dxa" w:w="314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ZR_CUSTOMERBASIC</w:t>
            </w:r>
          </w:p>
        </w:tc>
      </w:tr>
      <w:tr>
        <w:trPr>
          <w:cantSplit/>
          <w:tblHeader w:val="false"/>
        </w:trPr>
        <w:tc>
          <w:tcPr>
            <w:tcW w:type="dxa" w:w="2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Projection view</w:t>
            </w:r>
          </w:p>
        </w:tc>
        <w:tc>
          <w:tcPr>
            <w:tcW w:type="dxa" w:w="374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ZC_&lt;Entidad&gt;</w:t>
            </w:r>
          </w:p>
        </w:tc>
        <w:tc>
          <w:tcPr>
            <w:tcW w:type="dxa" w:w="314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ZC_CUSTOMERBASIC</w:t>
            </w:r>
          </w:p>
        </w:tc>
      </w:tr>
      <w:tr>
        <w:trPr>
          <w:cantSplit/>
          <w:tblHeader w:val="false"/>
        </w:trPr>
        <w:tc>
          <w:tcPr>
            <w:tcW w:type="dxa" w:w="2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374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ZR_&lt;Entidad&gt;</w:t>
            </w:r>
          </w:p>
        </w:tc>
        <w:tc>
          <w:tcPr>
            <w:tcW w:type="dxa" w:w="314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ZR_POCENTITY</w:t>
            </w:r>
          </w:p>
        </w:tc>
      </w:tr>
      <w:tr>
        <w:trPr>
          <w:cantSplit/>
          <w:tblHeader w:val="false"/>
        </w:trPr>
        <w:tc>
          <w:tcPr>
            <w:tcW w:type="dxa" w:w="2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pool</w:t>
            </w:r>
          </w:p>
        </w:tc>
        <w:tc>
          <w:tcPr>
            <w:tcW w:type="dxa" w:w="374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ZBP_R_&lt;Entidad&gt;</w:t>
            </w:r>
          </w:p>
        </w:tc>
        <w:tc>
          <w:tcPr>
            <w:tcW w:type="dxa" w:w="314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ZBP_R_POCENTITY</w:t>
            </w:r>
          </w:p>
        </w:tc>
      </w:tr>
      <w:tr>
        <w:trPr>
          <w:cantSplit/>
          <w:tblHeader w:val="false"/>
        </w:trPr>
        <w:tc>
          <w:tcPr>
            <w:tcW w:type="dxa" w:w="2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374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314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w:t>
            </w:r>
          </w:p>
        </w:tc>
      </w:tr>
      <w:tr>
        <w:trPr>
          <w:cantSplit/>
          <w:tblHeader w:val="false"/>
        </w:trPr>
        <w:tc>
          <w:tcPr>
            <w:tcW w:type="dxa" w:w="2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374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ZAPI_&lt;Entidad&gt;_O4</w:t>
            </w:r>
          </w:p>
        </w:tc>
        <w:tc>
          <w:tcPr>
            <w:tcW w:type="dxa" w:w="314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ZAPI_CUSTOMERBASIC_O4</w:t>
            </w:r>
          </w:p>
        </w:tc>
      </w:tr>
      <w:tr>
        <w:trPr>
          <w:cantSplit/>
          <w:tblHeader w:val="false"/>
        </w:trPr>
        <w:tc>
          <w:tcPr>
            <w:tcW w:type="dxa" w:w="2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374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314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w:t>
            </w:r>
          </w:p>
        </w:tc>
      </w:tr>
      <w:tr>
        <w:trPr>
          <w:cantSplit/>
          <w:tblHeader w:val="false"/>
        </w:trPr>
        <w:tc>
          <w:tcPr>
            <w:tcW w:type="dxa" w:w="2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374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API_&lt;ENTIDAD&gt;</w:t>
            </w:r>
          </w:p>
        </w:tc>
        <w:tc>
          <w:tcPr>
            <w:tcW w:type="dxa" w:w="314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API_CUSTOMER</w:t>
            </w:r>
          </w:p>
        </w:tc>
      </w:tr>
      <w:tr>
        <w:trPr>
          <w:cantSplit/>
          <w:tblHeader w:val="false"/>
        </w:trPr>
        <w:tc>
          <w:tcPr>
            <w:tcW w:type="dxa" w:w="2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Base Path</w:t>
            </w:r>
          </w:p>
        </w:tc>
        <w:tc>
          <w:tcPr>
            <w:tcW w:type="dxa" w:w="374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/&lt;dominio&gt;/&lt;recurso&gt;/v&lt;n&gt;</w:t>
            </w:r>
          </w:p>
        </w:tc>
        <w:tc>
          <w:tcPr>
            <w:tcW w:type="dxa" w:w="314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/ventas/clientes/v1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14.3 Checklist por interfaz migrada</w:t>
      </w:r>
    </w:p>
    <w:p>
      <w:pPr>
        <w:spacing w:after="30" w:before="6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Clasificar la interfaz PI/PO según la matriz de §2.1</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Confirmar que el patrón destino es API OData (si no, aplicar el que corresponda)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Identificar las tablas o vistas origen y los campos del contrato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Inventariar las conversiones que hacía el mapeo de PI/PO (ALPHA, fechas, unidades) y reasignar su responsabilidad (§11.6a)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Construir CDS base y projection view</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Service Definition y Service Binding, y publicar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Definir el control de autorizaciones DCL (§12.2)</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usuario técnico y rol</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F2 contra el backend</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y desplegar el API Proxy con sus policies</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Publicar Product y crear la Application del consumidor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F4 desde fuera de la red</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Entregar al consumidor el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y la documentación del contrato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Ejecutar en paralelo con la interfaz PI/PO y contrastar resultados</w:t>
      </w:r>
    </w:p>
    <w:p>
      <w:pPr>
        <w:spacing w:after="14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Planificar la baja de la interfaz PI/PO</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El penúltimo punto no es opcional.</w:t>
      </w:r>
      <w:r>
        <w:rPr>
          <w:rFonts w:ascii="Calibri" w:cs="Calibri" w:eastAsia="Calibri" w:hAnsi="Calibri"/>
          <w:b w:val="false"/>
          <w:bCs w:val="false"/>
          <w:i w:val="false"/>
          <w:iCs w:val="false"/>
          <w:color w:val="32363A"/>
          <w:sz w:val="19"/>
          <w:szCs w:val="19"/>
        </w:rPr>
        <w:t xml:space="preserve"> La ejecución en paralelo contrastando resultados entre la interfaz antigua y la nueva es lo que permite retirar PI/PO con respaldo objetivo en lugar de con un acto de fe.</w:t>
      </w:r>
    </w:p>
    <w:p>
      <w:pPr>
        <w:pStyle w:val="Heading1"/>
        <w:pageBreakBefore/>
      </w:pPr>
      <w:r>
        <w:rPr>
          <w:rFonts w:ascii="Calibri" w:cs="Calibri" w:eastAsia="Calibri" w:hAnsi="Calibri"/>
          <w:b/>
          <w:bCs/>
          <w:i w:val="false"/>
          <w:iCs w:val="false"/>
          <w:color w:val="1D2D3E"/>
          <w:sz w:val="34"/>
          <w:szCs w:val="34"/>
        </w:rPr>
        <w:t xml:space="preserve">15. Criterios de aceptación de la PoC</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638"/>
        <w:gridCol w:w="4919"/>
        <w:gridCol w:w="3552"/>
        <w:gridCol w:w="637"/>
      </w:tblGrid>
      <w:tr>
        <w:trPr>
          <w:cantSplit/>
          <w:tblHeader/>
        </w:trPr>
        <w:tc>
          <w:tcPr>
            <w:tcW w:type="dxa" w:w="63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Criterio</w:t>
            </w:r>
          </w:p>
        </w:tc>
        <w:tc>
          <w:tcPr>
            <w:tcW w:type="dxa" w:w="355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Verificación</w:t>
            </w:r>
          </w:p>
        </w:tc>
        <w:tc>
          <w:tcPr>
            <w:tcW w:type="dxa" w:w="6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Estado</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vista CDS devuelve datos en ADT</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(§6.3)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CA-02</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Service Binding está publicado y muestra su URL</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Editor del binding (§6.7)</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CA-03</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servicio responde 200 desde la red corporativa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(§7.5)</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CA-04</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del Cloud Connector figura como </w:t>
            </w:r>
            <w:r>
              <w:rPr>
                <w:rFonts w:ascii="Consolas" w:cs="Consolas" w:eastAsia="Consolas" w:hAnsi="Consolas"/>
                <w:color w:val="1D2D3E"/>
                <w:sz w:val="15"/>
                <w:szCs w:val="15"/>
                <w:shd w:fill="F4F6F8" w:val="clear"/>
              </w:rPr>
              <w:t xml:space="preserve">Connected</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(§8.2)</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CA-05</w:t>
            </w:r>
          </w:p>
        </w:tc>
        <w:tc>
          <w:tcPr>
            <w:tcW w:type="dxa" w:w="4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 Connection</w:t>
            </w:r>
            <w:r>
              <w:rPr>
                <w:rFonts w:ascii="Calibri" w:cs="Calibri" w:eastAsia="Calibri" w:hAnsi="Calibri"/>
                <w:b w:val="false"/>
                <w:bCs w:val="false"/>
                <w:i w:val="false"/>
                <w:iCs w:val="false"/>
                <w:color w:val="32363A"/>
                <w:sz w:val="17"/>
                <w:szCs w:val="17"/>
              </w:rPr>
              <w:t xml:space="preserve"> de la Destination es satisfactorio</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F3 (§9.3)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CA-06</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está desplegado y accesible</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 (§10.4)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CA-07</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 obtiene 200 desde fuera de la red corporativa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F4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CA-08</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opciones </w:t>
            </w:r>
            <w:r>
              <w:rPr>
                <w:rFonts w:ascii="Consolas" w:cs="Consolas" w:eastAsia="Consolas" w:hAnsi="Consolas"/>
                <w:color w:val="1D2D3E"/>
                <w:sz w:val="15"/>
                <w:szCs w:val="15"/>
                <w:shd w:fill="F4F6F8" w:val="clear"/>
              </w:rPr>
              <w:t xml:space="preserve">$filter</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$select</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$top</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$count</w:t>
            </w:r>
            <w:r>
              <w:rPr>
                <w:rFonts w:ascii="Calibri" w:cs="Calibri" w:eastAsia="Calibri" w:hAnsi="Calibri"/>
                <w:b w:val="false"/>
                <w:bCs w:val="false"/>
                <w:i w:val="false"/>
                <w:iCs w:val="false"/>
                <w:color w:val="32363A"/>
                <w:sz w:val="17"/>
                <w:szCs w:val="17"/>
              </w:rPr>
              <w:t xml:space="preserve"> funcionan</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R4 a R6 (§11.3)</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CA-09</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Una llamada sin API Key es rechazada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Repetir R3 sin la cabecera </w:t>
            </w:r>
            <w:r>
              <w:rPr>
                <w:rFonts w:ascii="Consolas" w:cs="Consolas" w:eastAsia="Consolas" w:hAnsi="Consolas"/>
                <w:color w:val="1D2D3E"/>
                <w:sz w:val="15"/>
                <w:szCs w:val="15"/>
                <w:shd w:fill="F4F6F8" w:val="clear"/>
              </w:rPr>
              <w:t xml:space="preserve">APIKey</w:t>
            </w:r>
            <w:r>
              <w:rPr>
                <w:rFonts w:ascii="Calibri" w:cs="Calibri" w:eastAsia="Calibri" w:hAnsi="Calibri"/>
                <w:b w:val="false"/>
                <w:bCs w:val="false"/>
                <w:i w:val="false"/>
                <w:iCs w:val="false"/>
                <w:color w:val="32363A"/>
                <w:sz w:val="17"/>
                <w:szCs w:val="17"/>
              </w:rPr>
              <w:t xml:space="preserve"> → 401</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CA-10</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scripts de prueba pasan en el Collection Runner</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§11.5</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brecha de seguridad está documentada y aceptada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§12.1 revisado con Seguridad</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CA-09 se verifica de forma explícita.</w:t>
      </w:r>
      <w:r>
        <w:rPr>
          <w:rFonts w:ascii="Calibri" w:cs="Calibri" w:eastAsia="Calibri" w:hAnsi="Calibri"/>
          <w:b w:val="false"/>
          <w:bCs w:val="false"/>
          <w:i w:val="false"/>
          <w:iCs w:val="false"/>
          <w:color w:val="32363A"/>
          <w:sz w:val="19"/>
          <w:szCs w:val="19"/>
        </w:rPr>
        <w:t xml:space="preserve"> Un API que responde igual con clave y sin ella indica que la policy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no está activa o que el despliegue posterior no se ejecutó (§10.5).</w:t>
      </w:r>
    </w:p>
    <w:p>
      <w:pPr>
        <w:pStyle w:val="Heading1"/>
        <w:pageBreakBefore/>
      </w:pPr>
      <w:r>
        <w:rPr>
          <w:rFonts w:ascii="Calibri" w:cs="Calibri" w:eastAsia="Calibri" w:hAnsi="Calibri"/>
          <w:b/>
          <w:bCs/>
          <w:i w:val="false"/>
          <w:iCs w:val="false"/>
          <w:color w:val="1D2D3E"/>
          <w:sz w:val="34"/>
          <w:szCs w:val="34"/>
        </w:rPr>
        <w:t xml:space="preserve">16. Diagnóstico de errores frecuentes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465"/>
        <w:gridCol w:w="4187"/>
        <w:gridCol w:w="2094"/>
      </w:tblGrid>
      <w:tr>
        <w:trPr>
          <w:cantSplit/>
          <w:tblHeader/>
        </w:trPr>
        <w:tc>
          <w:tcPr>
            <w:tcW w:type="dxa" w:w="346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Síntoma</w:t>
            </w:r>
          </w:p>
        </w:tc>
        <w:tc>
          <w:tcPr>
            <w:tcW w:type="dxa" w:w="4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Causa probable</w:t>
            </w:r>
          </w:p>
        </w:tc>
        <w:tc>
          <w:tcPr>
            <w:tcW w:type="dxa" w:w="209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mirar</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404 Not Found</w:t>
            </w:r>
            <w:r>
              <w:rPr>
                <w:rFonts w:ascii="Calibri" w:cs="Calibri" w:eastAsia="Calibri" w:hAnsi="Calibri"/>
                <w:b w:val="false"/>
                <w:bCs w:val="false"/>
                <w:i w:val="false"/>
                <w:iCs w:val="false"/>
                <w:color w:val="32363A"/>
                <w:sz w:val="17"/>
                <w:szCs w:val="17"/>
              </w:rPr>
              <w:t xml:space="preserve"> desde el backend</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o binding sin publicar</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§7.1, §6.7</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 Unauthorized</w:t>
            </w:r>
            <w:r>
              <w:rPr>
                <w:rFonts w:ascii="Calibri" w:cs="Calibri" w:eastAsia="Calibri" w:hAnsi="Calibri"/>
                <w:b w:val="false"/>
                <w:bCs w:val="false"/>
                <w:i w:val="false"/>
                <w:iCs w:val="false"/>
                <w:color w:val="32363A"/>
                <w:sz w:val="17"/>
                <w:szCs w:val="17"/>
              </w:rPr>
              <w:t xml:space="preserve"> desde el backend</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usuario bloqueado o contraseña inicial</w:t>
            </w:r>
          </w:p>
        </w:tc>
        <w:tc>
          <w:tcPr>
            <w:tcW w:type="dxa" w:w="209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 SM19</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backend</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en el rol</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STAUTHTRACE, SU53 (§7.3)</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Cloud Connector</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Ruta no publicada en </w:t>
            </w:r>
            <w:r>
              <w:rPr>
                <w:rFonts w:ascii="Consolas" w:cs="Consolas" w:eastAsia="Consolas" w:hAnsi="Consolas"/>
                <w:color w:val="1D2D3E"/>
                <w:sz w:val="15"/>
                <w:szCs w:val="15"/>
                <w:shd w:fill="F4F6F8" w:val="clear"/>
              </w:rPr>
              <w:t xml:space="preserve">Resources</w:t>
            </w:r>
          </w:p>
        </w:tc>
        <w:tc>
          <w:tcPr>
            <w:tcW w:type="dxa" w:w="209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§8.4</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503 Service Unavailable</w:t>
            </w:r>
            <w:r>
              <w:rPr>
                <w:rFonts w:ascii="Calibri" w:cs="Calibri" w:eastAsia="Calibri" w:hAnsi="Calibri"/>
                <w:b w:val="false"/>
                <w:bCs w:val="false"/>
                <w:i w:val="false"/>
                <w:iCs w:val="false"/>
                <w:color w:val="32363A"/>
                <w:sz w:val="17"/>
                <w:szCs w:val="17"/>
              </w:rPr>
              <w:t xml:space="preserve"> en BTP</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desconectado</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w:t>
            </w:r>
            <w:r>
              <w:rPr>
                <w:rFonts w:ascii="Calibri" w:cs="Calibri" w:eastAsia="Calibri" w:hAnsi="Calibri"/>
                <w:b w:val="false"/>
                <w:bCs w:val="false"/>
                <w:i w:val="false"/>
                <w:iCs w:val="false"/>
                <w:color w:val="32363A"/>
                <w:sz w:val="17"/>
                <w:szCs w:val="17"/>
              </w:rPr>
              <w:t xml:space="preserve"> en Check Connection</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caído, o host virtual mal mapeado</w:t>
            </w:r>
          </w:p>
        </w:tc>
        <w:tc>
          <w:tcPr>
            <w:tcW w:type="dxa" w:w="209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 §8.5</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devuelve </w:t>
            </w:r>
            <w:r>
              <w:rPr>
                <w:rFonts w:ascii="Consolas" w:cs="Consolas" w:eastAsia="Consolas" w:hAnsi="Consolas"/>
                <w:color w:val="1D2D3E"/>
                <w:sz w:val="15"/>
                <w:szCs w:val="15"/>
                <w:shd w:fill="F4F6F8" w:val="clear"/>
              </w:rPr>
              <w:t xml:space="preserve">500</w:t>
            </w:r>
            <w:r>
              <w:rPr>
                <w:rFonts w:ascii="Calibri" w:cs="Calibri" w:eastAsia="Calibri" w:hAnsi="Calibri"/>
                <w:b w:val="false"/>
                <w:bCs w:val="false"/>
                <w:i w:val="false"/>
                <w:iCs w:val="false"/>
                <w:color w:val="32363A"/>
                <w:sz w:val="17"/>
                <w:szCs w:val="17"/>
              </w:rPr>
              <w:t xml:space="preserve"> sin llegar al backend</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Policy mal formada, o Key Value Map inexistente</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Trazas del API Portal (§10.5)</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w:t>
            </w:r>
            <w:r>
              <w:rPr>
                <w:rFonts w:ascii="Calibri" w:cs="Calibri" w:eastAsia="Calibri" w:hAnsi="Calibri"/>
                <w:b w:val="false"/>
                <w:bCs w:val="false"/>
                <w:i w:val="false"/>
                <w:iCs w:val="false"/>
                <w:color w:val="32363A"/>
                <w:sz w:val="17"/>
                <w:szCs w:val="17"/>
              </w:rPr>
              <w:t xml:space="preserve"> desde el API Proxy con clave correcta</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 no asignada al Product, o Product sin publicar</w:t>
            </w:r>
          </w:p>
        </w:tc>
        <w:tc>
          <w:tcPr>
            <w:tcW w:type="dxa" w:w="209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policies no surten efecto</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volver a desplegar tras modificarlas</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R7 (lectura por clave) devuelve </w:t>
            </w:r>
            <w:r>
              <w:rPr>
                <w:rFonts w:ascii="Consolas" w:cs="Consolas" w:eastAsia="Consolas" w:hAnsi="Consolas"/>
                <w:color w:val="1D2D3E"/>
                <w:sz w:val="15"/>
                <w:szCs w:val="15"/>
                <w:shd w:fill="F4F6F8" w:val="clear"/>
              </w:rPr>
              <w:t xml:space="preserve">404</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el relleno con ceros a la izquierda en </w:t>
            </w:r>
            <w:r>
              <w:rPr>
                <w:rFonts w:ascii="Consolas" w:cs="Consolas" w:eastAsia="Consolas" w:hAnsi="Consolas"/>
                <w:color w:val="1D2D3E"/>
                <w:sz w:val="15"/>
                <w:szCs w:val="15"/>
                <w:shd w:fill="F4F6F8" w:val="clear"/>
              </w:rPr>
              <w:t xml:space="preserve">KUNNR</w:t>
            </w:r>
          </w:p>
        </w:tc>
        <w:tc>
          <w:tcPr>
            <w:tcW w:type="dxa" w:w="209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§11.6a</w:t>
            </w:r>
          </w:p>
        </w:tc>
      </w:tr>
      <w:tr>
        <w:trPr>
          <w:cantSplit/>
          <w:tblHeader w:val="false"/>
        </w:trPr>
        <w:tc>
          <w:tcPr>
            <w:tcW w:type="dxa" w:w="34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vacíos o sin entidades</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Service Definition no expone la vista</w:t>
            </w:r>
          </w:p>
        </w:tc>
        <w:tc>
          <w:tcPr>
            <w:tcW w:type="dxa" w:w="209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§6.6</w:t>
            </w:r>
          </w:p>
        </w:tc>
      </w:tr>
      <w:tr>
        <w:trPr>
          <w:cantSplit/>
          <w:tblHeader w:val="false"/>
        </w:trPr>
        <w:tc>
          <w:tcPr>
            <w:tcW w:type="dxa" w:w="346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Cambios en la CDS no se reflejan</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Caché de metadatos</w:t>
            </w:r>
          </w:p>
        </w:tc>
        <w:tc>
          <w:tcPr>
            <w:tcW w:type="dxa" w:w="209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/IWFND/CACHE_CLEANUP</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17. Anexos</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A — Código fuente completo</w:t>
      </w:r>
    </w:p>
    <w:p>
      <w:pPr>
        <w:spacing w:after="140" w:before="60" w:line="276"/>
        <w:jc w:val="both"/>
      </w:pPr>
      <w:r>
        <w:rPr>
          <w:rFonts w:ascii="Calibri" w:cs="Calibri" w:eastAsia="Calibri" w:hAnsi="Calibri"/>
          <w:b/>
          <w:bCs/>
          <w:i w:val="false"/>
          <w:iCs w:val="false"/>
          <w:color w:val="32363A"/>
          <w:sz w:val="20"/>
          <w:szCs w:val="20"/>
        </w:rPr>
        <w:t xml:space="preserve">A.1 — `ZR_CUSTOMERBASIC` (Data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Datos básicos de cliente (KNA1)'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@Metadata.ignorePropagatedAnnotations: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@ObjectModel.usageType.serviceQuality: #D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@ObjectModel.usageType.sizeCategory: #L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@ObjectModel.usageType.dataClass: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view entity ZR_CUSTOMERBASIC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kna1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A.2 — `ZC_CUSTOMERBASIC` (Data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consulta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@Search.searchable: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view entity ZC_CUSTOMERBASIC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projection on ZR_CUSTOMERBASIC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@Search.defaultSearchElement: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@Search.defaultSearchElement: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A.3 — `ZAPI_CUSTOMERBASIC` (Service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Servicio consulta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ZAPI_CUSTOMERBASIC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ZC_CUSTOMERBASIC as CustomerBasic;</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A.4 — `ZAPI_CUSTOMERBASIC_O4` (Service Binding)</w:t>
      </w:r>
    </w:p>
    <w:p>
      <w:pPr>
        <w:spacing w:after="140" w:before="60" w:line="276"/>
        <w:jc w:val="both"/>
      </w:pPr>
      <w:r>
        <w:rPr>
          <w:rFonts w:ascii="Calibri" w:cs="Calibri" w:eastAsia="Calibri" w:hAnsi="Calibri"/>
          <w:b w:val="false"/>
          <w:bCs w:val="false"/>
          <w:i w:val="false"/>
          <w:iCs w:val="false"/>
          <w:color w:val="32363A"/>
          <w:sz w:val="20"/>
          <w:szCs w:val="20"/>
        </w:rPr>
        <w:t xml:space="preserve">Objeto sin código fuente. Se crea por asistente en ADT con </w:t>
      </w:r>
      <w:r>
        <w:rPr>
          <w:rFonts w:ascii="Consolas" w:cs="Consolas" w:eastAsia="Consolas" w:hAnsi="Consolas"/>
          <w:color w:val="1D2D3E"/>
          <w:sz w:val="18"/>
          <w:szCs w:val="18"/>
          <w:shd w:fill="F4F6F8" w:val="clear"/>
        </w:rPr>
        <w:t xml:space="preserve">Binding Type = OData V4 - Web API</w:t>
      </w:r>
      <w:r>
        <w:rPr>
          <w:rFonts w:ascii="Calibri" w:cs="Calibri" w:eastAsia="Calibri" w:hAnsi="Calibri"/>
          <w:b w:val="false"/>
          <w:bCs w:val="false"/>
          <w:i w:val="false"/>
          <w:iCs w:val="false"/>
          <w:color w:val="32363A"/>
          <w:sz w:val="20"/>
          <w:szCs w:val="20"/>
        </w:rPr>
        <w:t xml:space="preserve"> (§6.7).</w:t>
      </w:r>
    </w:p>
    <w:p>
      <w:pPr>
        <w:pStyle w:val="Heading2"/>
      </w:pPr>
      <w:r>
        <w:rPr>
          <w:rFonts w:ascii="Calibri" w:cs="Calibri" w:eastAsia="Calibri" w:hAnsi="Calibri"/>
          <w:b/>
          <w:bCs/>
          <w:i w:val="false"/>
          <w:iCs w:val="false"/>
          <w:color w:val="0A6ED1"/>
          <w:sz w:val="26"/>
          <w:szCs w:val="26"/>
        </w:rPr>
        <w:t xml:space="preserve">Anexo B — Inventario de objetos nuevos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898"/>
        <w:gridCol w:w="3078"/>
        <w:gridCol w:w="2821"/>
        <w:gridCol w:w="2052"/>
        <w:gridCol w:w="897"/>
      </w:tblGrid>
      <w:tr>
        <w:trPr>
          <w:cantSplit/>
          <w:tblHeader/>
        </w:trPr>
        <w:tc>
          <w:tcPr>
            <w:tcW w:type="dxa" w:w="8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28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205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8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§6.2</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ZR_CUSTOMERBASIC</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Definition</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§6.3</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ZC_CUSTOMERBASIC</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Definition</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§6.6</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ZAPI_CUSTOMERBASIC_O4</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§6.7</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(tipo Sistema)</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§7.2</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PFCG</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§7.3</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BTP Cockpit</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§10.3</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§10.4</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8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14</w:t>
            </w:r>
          </w:p>
        </w:tc>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c>
          <w:tcPr>
            <w:tcW w:type="dxa" w:w="28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w:t>
            </w:r>
          </w:p>
        </w:tc>
        <w:tc>
          <w:tcPr>
            <w:tcW w:type="dxa" w:w="20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Developer Portal</w:t>
            </w:r>
          </w:p>
        </w:tc>
        <w:tc>
          <w:tcPr>
            <w:tcW w:type="dxa" w:w="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8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15</w:t>
            </w:r>
          </w:p>
        </w:tc>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S4H Customer API</w:t>
            </w:r>
          </w:p>
        </w:tc>
        <w:tc>
          <w:tcPr>
            <w:tcW w:type="dxa" w:w="28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Collection</w:t>
            </w:r>
          </w:p>
        </w:tc>
        <w:tc>
          <w:tcPr>
            <w:tcW w:type="dxa" w:w="20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C — URLs de referencia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23"/>
        <w:gridCol w:w="6423"/>
      </w:tblGrid>
      <w:tr>
        <w:trPr>
          <w:cantSplit/>
          <w:tblHeader/>
        </w:trPr>
        <w:tc>
          <w:tcPr>
            <w:tcW w:type="dxa" w:w="33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Capa</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URL</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directo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https://&lt;host_s4&gt;:44300/sap/opu/odata4/sap/zapi_customerbasic_o4/srvd_a2x/sap/zapi_customerbasic/0001/</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(backend)</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.../0001/$metadata?sap-client=100</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(Cloud Connector)</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https://s4h-poc.virtual:44300/sap/opu/odata4/...</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(público)</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(público)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https://&lt;org&gt;.prod.apimanagement.&lt;region&gt;.hana.ondemand.com/poc/customer/v1/$metadata</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Cloud Connector</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https://&lt;host_cc&gt;:8443</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D — Glosario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554"/>
        <w:gridCol w:w="8192"/>
      </w:tblGrid>
      <w:tr>
        <w:trPr>
          <w:cantSplit/>
          <w:tblHeader/>
        </w:trPr>
        <w:tc>
          <w:tcPr>
            <w:tcW w:type="dxa" w:w="155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Término</w:t>
            </w:r>
          </w:p>
        </w:tc>
        <w:tc>
          <w:tcPr>
            <w:tcW w:type="dxa" w:w="819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A2X</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Application to Anything</w:t>
            </w:r>
            <w:r>
              <w:rPr>
                <w:rFonts w:ascii="Calibri" w:cs="Calibri" w:eastAsia="Calibri" w:hAnsi="Calibri"/>
                <w:b w:val="false"/>
                <w:bCs w:val="false"/>
                <w:i w:val="false"/>
                <w:iCs w:val="false"/>
                <w:color w:val="32363A"/>
                <w:sz w:val="17"/>
                <w:szCs w:val="17"/>
              </w:rPr>
              <w:t xml:space="preserve">. Servicio orientado a consumo máquina a máquina, sin anotaciones de interfaz de usuario</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ADT</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Development Tools</w:t>
            </w:r>
            <w:r>
              <w:rPr>
                <w:rFonts w:ascii="Calibri" w:cs="Calibri" w:eastAsia="Calibri" w:hAnsi="Calibri"/>
                <w:b w:val="false"/>
                <w:bCs w:val="false"/>
                <w:i w:val="false"/>
                <w:iCs w:val="false"/>
                <w:color w:val="32363A"/>
                <w:sz w:val="17"/>
                <w:szCs w:val="17"/>
              </w:rPr>
              <w:t xml:space="preserve">. Plugin de Eclipse para desarrollo ABAP moderno</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CDS</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Core Data Services</w:t>
            </w:r>
            <w:r>
              <w:rPr>
                <w:rFonts w:ascii="Calibri" w:cs="Calibri" w:eastAsia="Calibri" w:hAnsi="Calibri"/>
                <w:b w:val="false"/>
                <w:bCs w:val="false"/>
                <w:i w:val="false"/>
                <w:iCs w:val="false"/>
                <w:color w:val="32363A"/>
                <w:sz w:val="17"/>
                <w:szCs w:val="17"/>
              </w:rPr>
              <w:t xml:space="preserve">. Lenguaje declarativo de modelado de datos en la base de datos</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CVI</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Customer Vendor Integration</w:t>
            </w:r>
            <w:r>
              <w:rPr>
                <w:rFonts w:ascii="Calibri" w:cs="Calibri" w:eastAsia="Calibri" w:hAnsi="Calibri"/>
                <w:b w:val="false"/>
                <w:bCs w:val="false"/>
                <w:i w:val="false"/>
                <w:iCs w:val="false"/>
                <w:color w:val="32363A"/>
                <w:sz w:val="17"/>
                <w:szCs w:val="17"/>
              </w:rPr>
              <w:t xml:space="preserve">. Sincronización entre maestros de cliente/proveedor y Business Partner</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DCL</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Data Control Language</w:t>
            </w:r>
            <w:r>
              <w:rPr>
                <w:rFonts w:ascii="Calibri" w:cs="Calibri" w:eastAsia="Calibri" w:hAnsi="Calibri"/>
                <w:b w:val="false"/>
                <w:bCs w:val="false"/>
                <w:i w:val="false"/>
                <w:iCs w:val="false"/>
                <w:color w:val="32363A"/>
                <w:sz w:val="17"/>
                <w:szCs w:val="17"/>
              </w:rPr>
              <w:t xml:space="preserve">. Definición declarativa de autorizaciones sobre vistas CDS</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EDMX</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Entity Data Model XML</w:t>
            </w:r>
            <w:r>
              <w:rPr>
                <w:rFonts w:ascii="Calibri" w:cs="Calibri" w:eastAsia="Calibri" w:hAnsi="Calibri"/>
                <w:b w:val="false"/>
                <w:bCs w:val="false"/>
                <w:i w:val="false"/>
                <w:iCs w:val="false"/>
                <w:color w:val="32363A"/>
                <w:sz w:val="17"/>
                <w:szCs w:val="17"/>
              </w:rPr>
              <w:t xml:space="preserve">. Formato del documento </w:t>
            </w:r>
            <w:r>
              <w:rPr>
                <w:rFonts w:ascii="Consolas" w:cs="Consolas" w:eastAsia="Consolas" w:hAnsi="Consolas"/>
                <w:color w:val="1D2D3E"/>
                <w:sz w:val="15"/>
                <w:szCs w:val="15"/>
                <w:shd w:fill="F4F6F8" w:val="clear"/>
              </w:rPr>
              <w:t xml:space="preserve">$metadata</w:t>
            </w:r>
            <w:r>
              <w:rPr>
                <w:rFonts w:ascii="Calibri" w:cs="Calibri" w:eastAsia="Calibri" w:hAnsi="Calibri"/>
                <w:b w:val="false"/>
                <w:bCs w:val="false"/>
                <w:i w:val="false"/>
                <w:iCs w:val="false"/>
                <w:color w:val="32363A"/>
                <w:sz w:val="17"/>
                <w:szCs w:val="17"/>
              </w:rPr>
              <w:t xml:space="preserve">, el contrato de un servicio OData</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ICF</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Internet Communication Framework</w:t>
            </w:r>
            <w:r>
              <w:rPr>
                <w:rFonts w:ascii="Calibri" w:cs="Calibri" w:eastAsia="Calibri" w:hAnsi="Calibri"/>
                <w:b w:val="false"/>
                <w:bCs w:val="false"/>
                <w:i w:val="false"/>
                <w:iCs w:val="false"/>
                <w:color w:val="32363A"/>
                <w:sz w:val="17"/>
                <w:szCs w:val="17"/>
              </w:rPr>
              <w:t xml:space="preserve">. Capa HTTP del servidor de aplicaciones ABAP</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KVM</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Key Value Map</w:t>
            </w:r>
            <w:r>
              <w:rPr>
                <w:rFonts w:ascii="Calibri" w:cs="Calibri" w:eastAsia="Calibri" w:hAnsi="Calibri"/>
                <w:b w:val="false"/>
                <w:bCs w:val="false"/>
                <w:i w:val="false"/>
                <w:iCs w:val="false"/>
                <w:color w:val="32363A"/>
                <w:sz w:val="17"/>
                <w:szCs w:val="17"/>
              </w:rPr>
              <w:t xml:space="preserve">. Almacén cifrado de secretos de API Management</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RAP</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RESTful Application Programming Model</w:t>
            </w:r>
            <w:r>
              <w:rPr>
                <w:rFonts w:ascii="Calibri" w:cs="Calibri" w:eastAsia="Calibri" w:hAnsi="Calibri"/>
                <w:b w:val="false"/>
                <w:bCs w:val="false"/>
                <w:i w:val="false"/>
                <w:iCs w:val="false"/>
                <w:color w:val="32363A"/>
                <w:sz w:val="17"/>
                <w:szCs w:val="17"/>
              </w:rPr>
              <w:t xml:space="preserve">. Modelo de programación para servicios en S/4HANA</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View Entity</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de nueva generación, sin vista SQL asociada en DDIC</w:t>
            </w:r>
          </w:p>
        </w:tc>
      </w:tr>
      <w:tr>
        <w:trPr>
          <w:cantSplit/>
          <w:tblHeader w:val="false"/>
        </w:trPr>
        <w:tc>
          <w:tcPr>
            <w:tcW w:type="dxa" w:w="155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VDM</w:t>
            </w:r>
          </w:p>
        </w:tc>
        <w:tc>
          <w:tcPr>
            <w:tcW w:type="dxa" w:w="819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Virtual Data Model</w:t>
            </w:r>
            <w:r>
              <w:rPr>
                <w:rFonts w:ascii="Calibri" w:cs="Calibri" w:eastAsia="Calibri" w:hAnsi="Calibri"/>
                <w:b w:val="false"/>
                <w:bCs w:val="false"/>
                <w:i w:val="false"/>
                <w:iCs w:val="false"/>
                <w:color w:val="32363A"/>
                <w:sz w:val="17"/>
                <w:szCs w:val="17"/>
              </w:rPr>
              <w:t xml:space="preserve">. Modelo de datos virtual de SAP basado en vistas CDS</w:t>
            </w:r>
          </w:p>
        </w:tc>
      </w:tr>
      <w:tr>
        <w:trPr>
          <w:cantSplit/>
          <w:tblHeader w:val="false"/>
        </w:trPr>
        <w:tc>
          <w:tcPr>
            <w:tcW w:type="dxa" w:w="155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XSUAA</w:t>
            </w:r>
          </w:p>
        </w:tc>
        <w:tc>
          <w:tcPr>
            <w:tcW w:type="dxa" w:w="819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Extended Services UAA</w:t>
            </w:r>
            <w:r>
              <w:rPr>
                <w:rFonts w:ascii="Calibri" w:cs="Calibri" w:eastAsia="Calibri" w:hAnsi="Calibri"/>
                <w:b w:val="false"/>
                <w:bCs w:val="false"/>
                <w:i w:val="false"/>
                <w:iCs w:val="false"/>
                <w:color w:val="32363A"/>
                <w:sz w:val="17"/>
                <w:szCs w:val="17"/>
              </w:rPr>
              <w:t xml:space="preserve">. Servicio de autorización y autenticación de BTP</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Fin del documento ET-001 v1.0</w:t>
      </w:r>
    </w:p>
    <w:sectPr>
      <w:headerReference w:type="default" r:id="rId7"/>
      <w:headerReference w:type="first" r:id="rId8"/>
      <w:footerReference w:type="default" r:id="rId9"/>
      <w:footerReference w:type="first" r:id="rId10"/>
      <w:pgSz w:w="11906" w:h="16838" w:orient="portrait"/>
      <w:pgMar w:top="1080" w:right="1080" w:bottom="1080" w:left="108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8" w:sz="4" w:space="6"/>
      </w:pBdr>
      <w:tabs>
        <w:tab w:val="right" w:pos="9746"/>
      </w:tabs>
      <w:spacing w:before="60"/>
    </w:pPr>
    <w:r>
      <w:rPr>
        <w:rFonts w:ascii="Calibri" w:cs="Calibri" w:eastAsia="Calibri" w:hAnsi="Calibri"/>
        <w:color w:val="6A6D70"/>
        <w:sz w:val="16"/>
        <w:szCs w:val="16"/>
      </w:rPr>
      <w:t xml:space="preserve">Especificación Técnica · v1.0 · Onibex</w:t>
    </w:r>
    <w:r>
      <w:rPr>
        <w:rFonts w:ascii="Calibri" w:cs="Calibri" w:eastAsia="Calibri" w:hAnsi="Calibri"/>
        <w:sz w:val="16"/>
        <w:szCs w:val="16"/>
      </w:rPr>
      <w:t xml:space="preserve">	</w:t>
    </w:r>
    <w:r>
      <w:rPr>
        <w:rFonts w:ascii="Calibri" w:cs="Calibri" w:eastAsia="Calibri" w:hAnsi="Calibri"/>
        <w:color w:val="6A6D7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sz w:val="2"/>
        <w:szCs w:val="2"/>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8" w:sz="4" w:space="4"/>
      </w:pBdr>
      <w:spacing w:after="60"/>
      <w:jc w:val="right"/>
    </w:pPr>
    <w:r>
      <w:rPr>
        <w:rFonts w:ascii="Calibri" w:cs="Calibri" w:eastAsia="Calibri" w:hAnsi="Calibri"/>
        <w:color w:val="6A6D70"/>
        <w:sz w:val="16"/>
        <w:szCs w:val="16"/>
      </w:rPr>
      <w:t xml:space="preserve">ET-001 — PoC: S/4HANA como API OData V4 vía BTP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rFonts w:ascii="Calibri" w:cs="Calibri" w:eastAsia="Calibri" w:hAnsi="Calibri"/>
        <w:color w:val="0A6ED1"/>
        <w:sz w:val="20"/>
        <w:szCs w:val="20"/>
      </w:rPr>
    </w:lvl>
  </w:abstractNum>
  <w:abstractNum w:abstractNumId="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2363A"/>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0"/>
      <w:outlineLvl w:val="0"/>
    </w:pPr>
    <w:rPr>
      <w:rFonts w:ascii="Calibri" w:cs="Calibri" w:eastAsia="Calibri" w:hAnsi="Calibri"/>
      <w:b/>
      <w:bCs/>
      <w:color w:val="1D2D3E"/>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0A6ED1"/>
      <w:sz w:val="26"/>
      <w:szCs w:val="26"/>
    </w:rPr>
  </w:style>
  <w:style w:type="paragraph" w:styleId="Heading3">
    <w:name w:val="Heading 3"/>
    <w:basedOn w:val="Normal"/>
    <w:next w:val="Normal"/>
    <w:qFormat/>
    <w:pPr>
      <w:keepNext/>
      <w:spacing w:after="100" w:before="240"/>
      <w:outlineLvl w:val="2"/>
    </w:pPr>
    <w:rPr>
      <w:rFonts w:ascii="Calibri" w:cs="Calibri" w:eastAsia="Calibri" w:hAnsi="Calibri"/>
      <w:b/>
      <w:bCs/>
      <w:color w:val="1D2D3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ET-001 — Especificación Técnica</dc:title>
  <dc:creator>Onibex</dc:creator>
  <dc:description>PoC: Exposición de datos de S/4HANA como API OData V4 vía BTP</dc:description>
  <cp:lastModifiedBy>Un-named</cp:lastModifiedBy>
  <cp:revision>1</cp:revision>
  <dcterms:created xsi:type="dcterms:W3CDTF">2026-09-14T23:13:35.886Z</dcterms:created>
  <dcterms:modified xsi:type="dcterms:W3CDTF">2026-09-14T23:13:35.887Z</dcterms:modified>
</cp:coreProperties>
</file>

<file path=docProps/custom.xml><?xml version="1.0" encoding="utf-8"?>
<Properties xmlns="http://schemas.openxmlformats.org/officeDocument/2006/custom-properties" xmlns:vt="http://schemas.openxmlformats.org/officeDocument/2006/docPropsVTypes"/>
</file>