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871F" w14:textId="397E9FC9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Style w:val="Ttulo1Car"/>
          <w:sz w:val="22"/>
          <w:szCs w:val="22"/>
          <w:lang w:val="es-UY"/>
        </w:rPr>
        <w:t>GUÍA</w:t>
      </w:r>
      <w:r w:rsidRPr="009E2AA8">
        <w:rPr>
          <w:rStyle w:val="Ttulo1Car"/>
          <w:sz w:val="22"/>
          <w:szCs w:val="22"/>
        </w:rPr>
        <w:t xml:space="preserve"> </w:t>
      </w:r>
      <w:r w:rsidRPr="009E2AA8">
        <w:rPr>
          <w:rStyle w:val="Ttulo1Car"/>
          <w:sz w:val="22"/>
          <w:szCs w:val="22"/>
          <w:lang w:val="es-UY"/>
        </w:rPr>
        <w:t>NORMATIVA:</w:t>
      </w:r>
      <w:r w:rsidRPr="009E2AA8">
        <w:rPr>
          <w:rStyle w:val="Ttulo1Car"/>
          <w:sz w:val="22"/>
          <w:szCs w:val="22"/>
          <w:lang w:val="es-UY"/>
        </w:rPr>
        <w:br/>
      </w:r>
      <w:hyperlink r:id="rId5" w:tgtFrame="_blank" w:history="1">
        <w:r w:rsidRPr="009E2AA8">
          <w:rPr>
            <w:rStyle w:val="Hipervnculo"/>
            <w:rFonts w:asciiTheme="minorHAnsi" w:hAnsiTheme="minorHAnsi" w:cstheme="minorHAnsi"/>
            <w:sz w:val="22"/>
            <w:szCs w:val="22"/>
            <w:lang w:val="es-UY"/>
          </w:rPr>
          <w:t>Ley N° 19.829</w:t>
        </w:r>
      </w:hyperlink>
      <w:r w:rsidRPr="009E2AA8">
        <w:rPr>
          <w:rFonts w:asciiTheme="minorHAnsi" w:hAnsiTheme="minorHAnsi" w:cstheme="minorHAnsi"/>
          <w:sz w:val="22"/>
          <w:szCs w:val="22"/>
          <w:lang w:val="es-UY"/>
        </w:rPr>
        <w:t> de 18/09/2019.</w:t>
      </w:r>
    </w:p>
    <w:p w14:paraId="55AAAA8B" w14:textId="222CE138" w:rsidR="009E2AA8" w:rsidRPr="009E2AA8" w:rsidRDefault="009E2AA8" w:rsidP="009E2AA8">
      <w:pPr>
        <w:pStyle w:val="Ttulo1"/>
      </w:pPr>
      <w:r w:rsidRPr="009E2AA8">
        <w:t>¿Sabías que…se aprobó una Ley que regula la gestión de los residuos para proteger el medio ambiente?</w:t>
      </w:r>
    </w:p>
    <w:p w14:paraId="0F5D811F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Su objetivo es prevenir y reducir el impacto negativo de la generación y del manejo de los residuos y el reconocimiento de sus posibilidades de generar valor y empleo de calidad.</w:t>
      </w:r>
    </w:p>
    <w:p w14:paraId="112F47F3" w14:textId="77777777" w:rsidR="009E2AA8" w:rsidRPr="009E2AA8" w:rsidRDefault="009E2AA8" w:rsidP="009E2AA8">
      <w:pPr>
        <w:pStyle w:val="Ttulo1"/>
      </w:pPr>
      <w:r w:rsidRPr="009E2AA8">
        <w:t>¿Qué es un residuo o desecho?</w:t>
      </w:r>
    </w:p>
    <w:p w14:paraId="5DE7E5E8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Toda sustancia, material u objeto del cual alguien se desprende o da disposición final.</w:t>
      </w:r>
    </w:p>
    <w:p w14:paraId="246BCAB4" w14:textId="77777777" w:rsidR="009E2AA8" w:rsidRPr="009E2AA8" w:rsidRDefault="009E2AA8" w:rsidP="009E2AA8">
      <w:pPr>
        <w:pStyle w:val="Ttulo1"/>
      </w:pPr>
      <w:r w:rsidRPr="009E2AA8">
        <w:t>¿Qué residuos están comprendidos?</w:t>
      </w:r>
    </w:p>
    <w:p w14:paraId="564C1190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Todos los residuos, de cualquier tipo y origen, con excepción de los radiactivos y de los generados en actividades mineras cuando se puedan gestionar en el sitio donde se desarrolla la actividad.</w:t>
      </w:r>
    </w:p>
    <w:p w14:paraId="3F4AA7AA" w14:textId="77777777" w:rsidR="009E2AA8" w:rsidRPr="009E2AA8" w:rsidRDefault="009E2AA8" w:rsidP="009E2AA8">
      <w:pPr>
        <w:pStyle w:val="Ttulo1"/>
      </w:pPr>
      <w:r w:rsidRPr="009E2AA8">
        <w:t>¿Cuáles son los tipos de residuos?</w:t>
      </w:r>
    </w:p>
    <w:p w14:paraId="2E0F033E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Sin perjuicio de otros que se definan, son los siguientes: </w:t>
      </w:r>
    </w:p>
    <w:p w14:paraId="10FC3D3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Domiciliarios: se generan de las actividades domésticas y cotidianas, y obras menores de reparación en los hogares.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Incluye los generados en establecimientos comerciales o de servicios de pequeñas dimensiones, que por su composición y cantidad sean similares a los generados en hogares.</w:t>
      </w:r>
    </w:p>
    <w:p w14:paraId="37C60D3A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De limpieza de espacios públicos: resultan de la limpieza de las calles, áreas verdes o recreativas o cualquier sitio de uso público, realizada por servicios departamentales o municipales.</w:t>
      </w:r>
    </w:p>
    <w:p w14:paraId="43F6292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De actividades económico-productivas: proceden de actividades públicas o privadas, sean comerciales, administrativas, de servicios, de producción agropecuaria o industrial, entre otras.</w:t>
      </w:r>
    </w:p>
    <w:p w14:paraId="5595E17C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Sanitarios: generados por los centros y servicios de atención a la salud humana o animal, incluidos los vinculados a la investigación y diagnóstico.</w:t>
      </w:r>
    </w:p>
    <w:p w14:paraId="71F838D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De obras de construcción: generados en actividades de construcción, reforma o demolición de obras.</w:t>
      </w:r>
    </w:p>
    <w:p w14:paraId="5AA9BEC3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Suelo contaminado: presencia de componentes químicos peligrosos, según criterios de concentración a partir de los cuales se consideran con riesgo inaceptable para la salud humana y el ambiente.</w:t>
      </w:r>
    </w:p>
    <w:p w14:paraId="3D082844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Sedimentos: provienen del dragado o actividades similares.</w:t>
      </w:r>
    </w:p>
    <w:p w14:paraId="310F49D5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Especiales: los que por su composición o características tienen una gestión independiente de los otros tipos de residuos.</w:t>
      </w:r>
    </w:p>
    <w:p w14:paraId="5F5412B5" w14:textId="5B7B29EE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lastRenderedPageBreak/>
        <w:br/>
        <w:t>Se consideran residuos especiales: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envases y embalajes, cualquiera sea su origen y función;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otros residuos plásticos distintos a envases y embalajes;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baterías y pilas;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electro-electrónicos;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neumáticos fuera de uso;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los aceites usados comestibles y no comestibles;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vehículos fuera de uso.</w:t>
      </w:r>
    </w:p>
    <w:p w14:paraId="375E94AD" w14:textId="77777777" w:rsidR="009E2AA8" w:rsidRPr="009E2AA8" w:rsidRDefault="009E2AA8" w:rsidP="009E2AA8">
      <w:pPr>
        <w:pStyle w:val="Ttulo1"/>
      </w:pPr>
      <w:r w:rsidRPr="009E2AA8">
        <w:t>¿Qué obligaciones tienen las autoridades y en general todos los habitantes respecto a la generación de residuos?</w:t>
      </w:r>
    </w:p>
    <w:p w14:paraId="427A9268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La obligación de minimizar su generación y gestionarlos de acuerdo a lo que establece esta ley y demás normas que la regulen.</w:t>
      </w:r>
    </w:p>
    <w:p w14:paraId="734F6649" w14:textId="77777777" w:rsidR="009E2AA8" w:rsidRPr="009E2AA8" w:rsidRDefault="009E2AA8" w:rsidP="009E2AA8">
      <w:pPr>
        <w:pStyle w:val="Ttulo1"/>
      </w:pPr>
      <w:r w:rsidRPr="009E2AA8">
        <w:t>¿Qué significa la gestión de residuos?</w:t>
      </w:r>
    </w:p>
    <w:p w14:paraId="4813FBC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Son acciones para su valorización o disposición final; incluye, entre otras, la clasificación, la disposición inicial, la recolección, el transporte, los tratamientos y las transformaciones, la comercialización y la disposición final.</w:t>
      </w:r>
    </w:p>
    <w:p w14:paraId="41AFB5EC" w14:textId="77777777" w:rsidR="009E2AA8" w:rsidRPr="009E2AA8" w:rsidRDefault="009E2AA8" w:rsidP="009E2AA8">
      <w:pPr>
        <w:pStyle w:val="Ttulo1"/>
      </w:pPr>
      <w:r w:rsidRPr="009E2AA8">
        <w:t>¿Y la Gestión integral?</w:t>
      </w:r>
    </w:p>
    <w:p w14:paraId="0CE2FF65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Son operaciones de gestión y otras acciones de política, de planificación, normativas, administrativas, financieras, organizativas, educativas, de evaluación, de seguimiento y de fiscalización, referidas a residuos.</w:t>
      </w:r>
    </w:p>
    <w:p w14:paraId="7B6C854D" w14:textId="77777777" w:rsidR="009E2AA8" w:rsidRPr="009E2AA8" w:rsidRDefault="009E2AA8" w:rsidP="009E2AA8">
      <w:pPr>
        <w:pStyle w:val="Ttulo1"/>
      </w:pPr>
      <w:r w:rsidRPr="009E2AA8">
        <w:t>¿Qué responsabilidades tienen quienes generan residuos?</w:t>
      </w:r>
    </w:p>
    <w:p w14:paraId="0D42E358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Toda persona física o jurídica, pública o privada, cuya actividad genere residuos de cualquier tipo, es responsable de su gestión en todas las etapas, asumiendo los costos.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Dicha gestión podrá ser realizada por terceros, siempre que se encuentren debidamente autorizados o habilitados.</w:t>
      </w:r>
    </w:p>
    <w:p w14:paraId="5A1870EC" w14:textId="77777777" w:rsidR="009E2AA8" w:rsidRPr="009E2AA8" w:rsidRDefault="009E2AA8" w:rsidP="009E2AA8">
      <w:pPr>
        <w:pStyle w:val="Ttulo1"/>
      </w:pPr>
      <w:r w:rsidRPr="009E2AA8">
        <w:t>¿En qué principios se basa la política nacional de gestión de residuos?</w:t>
      </w:r>
    </w:p>
    <w:p w14:paraId="76B0F24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En los mismos principios en que se basa la política ambiental nacional, ya que forma parte de la misma, y en los siguientes que son específicos y complementarios:</w:t>
      </w:r>
    </w:p>
    <w:p w14:paraId="7D4BD194" w14:textId="68AF09D8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A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segurar la sostenibilidad económica, social y ambiental de las acciones que se deriven de variables tales como las ambientales, sociales, culturales, económicas y tecnológicas;</w:t>
      </w:r>
    </w:p>
    <w:p w14:paraId="60B40CBB" w14:textId="58D318C9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E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vitar y minimizar la generación de residuos y facilitar la valorización de los que se generen, contemplando todo el ciclo de vida de los productos, incluyendo su diseño y uso;</w:t>
      </w:r>
    </w:p>
    <w:p w14:paraId="76594669" w14:textId="00141570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B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úsqueda de la eficacia y eficiencia;</w:t>
      </w:r>
    </w:p>
    <w:p w14:paraId="59EF1A3C" w14:textId="35C23525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I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nvolucramiento de toda la sociedad en la gestión de los residuos, mediante un sistema de responsabilidad compartida, concientizando e implementando modalidades de producción y consumo sostenibles;</w:t>
      </w:r>
    </w:p>
    <w:p w14:paraId="44CE65CF" w14:textId="568ADEC4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R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econocimiento de que los residuos son capaces de generar valor y empleo en el marco de un proceso productivo formal.</w:t>
      </w:r>
    </w:p>
    <w:p w14:paraId="3D249343" w14:textId="77777777" w:rsidR="009E2AA8" w:rsidRPr="009E2AA8" w:rsidRDefault="009E2AA8" w:rsidP="009E2AA8">
      <w:pPr>
        <w:pStyle w:val="Ttulo1"/>
      </w:pPr>
      <w:r w:rsidRPr="009E2AA8">
        <w:lastRenderedPageBreak/>
        <w:t>¿Cuáles son las directivas generales para la gestión de residuos?</w:t>
      </w:r>
    </w:p>
    <w:p w14:paraId="3F323BBE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Orden de prioridad:</w:t>
      </w:r>
    </w:p>
    <w:p w14:paraId="6BF5E33D" w14:textId="115A4B20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minimizar la generación en origen;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promover la reutilización y la valorización del residuo a través del reciclado;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valorización energética y otras formas de valorización de residuos;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disposición final como última opción.</w:t>
      </w:r>
    </w:p>
    <w:p w14:paraId="531B7FD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Capacitar para aplicar las mejores tecnologías disponibles en todas las etapas.</w:t>
      </w:r>
    </w:p>
    <w:p w14:paraId="61051FEB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Desincentivar actividades informales en la gestión de residuos.</w:t>
      </w:r>
    </w:p>
    <w:p w14:paraId="1CA66406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Promover la inclusión social y laboral de los clasificadores de residuos.</w:t>
      </w:r>
    </w:p>
    <w:p w14:paraId="3657F201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Impulsar el tratamiento de residuos orgánicos que puedan ser compostables, para su valorización como mejoradores del suelo o fertilizantes</w:t>
      </w:r>
    </w:p>
    <w:p w14:paraId="66EBD033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Procurar soluciones para mitigación y adaptación al cambio climático y la diversificación de la matriz energética nacional.</w:t>
      </w:r>
    </w:p>
    <w:p w14:paraId="7F9F2B6F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Circulación libre de residuos entre las distintas jurisdicciones del país.</w:t>
      </w:r>
    </w:p>
    <w:p w14:paraId="18524BA5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Propiciar la educación y la capacitación para una gestión de residuos que sea responsable, participativa, eficiente y eficaz.</w:t>
      </w:r>
    </w:p>
    <w:p w14:paraId="282CB842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Los gobiernos departamentales y los municipios orientarán sus planes de gestión hacia mecanismos complementarios que propicien la clasificación y segregación en origen y a la recolección selectiva, que implican separar los residuos a valorizar y los de disposición final.</w:t>
      </w:r>
    </w:p>
    <w:p w14:paraId="56A5821C" w14:textId="77777777" w:rsidR="009E2AA8" w:rsidRPr="009E2AA8" w:rsidRDefault="009E2AA8" w:rsidP="009E2AA8">
      <w:pPr>
        <w:pStyle w:val="Ttulo1"/>
      </w:pPr>
      <w:r w:rsidRPr="009E2AA8">
        <w:t>¿Y las directivas particulares para residuos domiciliarios?</w:t>
      </w:r>
    </w:p>
    <w:p w14:paraId="267D469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Entre ellas:</w:t>
      </w:r>
    </w:p>
    <w:p w14:paraId="2F0AB1BA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Promover su gestión por áreas o regiones, pudiendo incluir varios departamentos.</w:t>
      </w:r>
    </w:p>
    <w:p w14:paraId="48510B5B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Promover, como principio, la disminución de la generación, la segregación en origen y la recolección selectiva.</w:t>
      </w:r>
    </w:p>
    <w:p w14:paraId="682D734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Responsabilidad de los habitantes de la clasificación y segregación de los residuos domiciliarios, así como de su disposición inicial.</w:t>
      </w:r>
    </w:p>
    <w:p w14:paraId="32AC671A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Uniformizar los esquemas de recolección selectiva a nivel nacional para facilitar la segregación de residuos y la integración de los servicios regionales.</w:t>
      </w:r>
    </w:p>
    <w:p w14:paraId="1AFC110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Asegurar la sustentabilidad del sistema y fomentar la inclusión social de los clasificadores registrados.</w:t>
      </w:r>
    </w:p>
    <w:p w14:paraId="53264FC6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La disposición final en el terreno como última opción.</w:t>
      </w:r>
    </w:p>
    <w:p w14:paraId="7FCF4008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Reducción del número de sitios de disposición final.</w:t>
      </w:r>
    </w:p>
    <w:p w14:paraId="4CD882B1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lastRenderedPageBreak/>
        <w:t>Lograr mejoras ambientales en los sitios de disposición final que se mantengan y clausurar y acondicionar los que no estén operativos.  </w:t>
      </w:r>
    </w:p>
    <w:p w14:paraId="291AB005" w14:textId="77777777" w:rsidR="009E2AA8" w:rsidRPr="009E2AA8" w:rsidRDefault="009E2AA8" w:rsidP="009E2AA8">
      <w:pPr>
        <w:pStyle w:val="Ttulo1"/>
      </w:pPr>
      <w:r w:rsidRPr="009E2AA8">
        <w:t>¿Qué establece la ley sobre residuos especiales?  </w:t>
      </w:r>
    </w:p>
    <w:p w14:paraId="7FDF82FC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Entre otras, establece que:</w:t>
      </w:r>
    </w:p>
    <w:p w14:paraId="3CB0EF3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Solo podrán fabricarlos o importarlos quienes se encuentren inscriptos en el registro a crearse en el Ministerio de Ambiente.</w:t>
      </w:r>
    </w:p>
    <w:p w14:paraId="6AD5D995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Los intermediarios en su distribución y comercialización, están obligados a recibir y aceptar el retorno de productos o envases finalizado su uso.</w:t>
      </w:r>
    </w:p>
    <w:p w14:paraId="290929B5" w14:textId="77777777" w:rsidR="009E2AA8" w:rsidRPr="009E2AA8" w:rsidRDefault="009E2AA8" w:rsidP="009E2AA8">
      <w:pPr>
        <w:pStyle w:val="Ttulo1"/>
      </w:pPr>
      <w:r w:rsidRPr="009E2AA8">
        <w:t>¿Qué autoridades están a cargo de aplicar la Ley?</w:t>
      </w:r>
    </w:p>
    <w:p w14:paraId="5F91D2E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El Ministerio de Ambiente tiene la competencia a nivel nacional tanto de su aplicación como de su cumplimiento.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No obstante, los gobiernos departamentales en cada uno de sus territorios, tienen los cometidos que le asigna la ley, y deben dictar las normas que faciliten o aseguren su cumplimiento.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Están a cargo del transporte de los residuos domiciliarios recolectados y de los generados por la limpieza calles y sitios de uso público, para su reciclado u otras formas de valorización, tratamiento y disposición final.</w:t>
      </w:r>
    </w:p>
    <w:p w14:paraId="7854D310" w14:textId="77777777" w:rsidR="009E2AA8" w:rsidRPr="009E2AA8" w:rsidRDefault="009E2AA8" w:rsidP="009E2AA8">
      <w:pPr>
        <w:pStyle w:val="Ttulo1"/>
      </w:pPr>
      <w:r w:rsidRPr="009E2AA8">
        <w:t>¿Qué son el Plan Nacional y los Planes Departamentales de Gestión de Residuos?</w:t>
      </w:r>
    </w:p>
    <w:p w14:paraId="69320346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Son los instrumentos que deben formular el Ministerio de Ambiente y cada gobierno departamental en base a lo establecido en esta ley, conteniendo las líneas de actuación pública y privada, para implantar y desarrollar las políticas de gestión de residuos.</w:t>
      </w:r>
    </w:p>
    <w:p w14:paraId="3EB47503" w14:textId="77777777" w:rsidR="009E2AA8" w:rsidRPr="009E2AA8" w:rsidRDefault="009E2AA8" w:rsidP="009E2AA8">
      <w:pPr>
        <w:pStyle w:val="Ttulo1"/>
      </w:pPr>
      <w:r w:rsidRPr="009E2AA8">
        <w:t>¿Quién coordina los Planes?</w:t>
      </w:r>
    </w:p>
    <w:p w14:paraId="2BF9D31A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El Ministerio de Ambiente coordinará con los gobiernos departamentales la elaboración e implementación de los planes y las estrategias departamentales o regionales.</w:t>
      </w:r>
    </w:p>
    <w:p w14:paraId="2A244C36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Se crea la </w:t>
      </w:r>
      <w:r w:rsidRPr="009E2AA8">
        <w:rPr>
          <w:rFonts w:asciiTheme="minorHAnsi" w:hAnsiTheme="minorHAnsi" w:cstheme="minorHAnsi"/>
          <w:i/>
          <w:iCs/>
          <w:sz w:val="22"/>
          <w:szCs w:val="22"/>
          <w:lang w:val="es-UY"/>
        </w:rPr>
        <w:t>Comisión de Coordinación y Planificación sobre Residuos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, como órgano de coordinación, cooperación y colaboración entre las administraciones públicas competentes en materia de residuos.</w:t>
      </w:r>
    </w:p>
    <w:p w14:paraId="4D8C7D32" w14:textId="77777777" w:rsidR="009E2AA8" w:rsidRPr="009E2AA8" w:rsidRDefault="009E2AA8" w:rsidP="009E2AA8">
      <w:pPr>
        <w:pStyle w:val="Ttulo1"/>
      </w:pPr>
      <w:r w:rsidRPr="009E2AA8">
        <w:t>¿Se debe dar difusión a los planes de gestión de residuos?</w:t>
      </w:r>
    </w:p>
    <w:p w14:paraId="21ABCF3E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Sí, son públicos y se les dará amplia difusión, con indicación clara del rol que la población tiene en los mismos.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Se propiciará la participación de interesados y público en general, en la creación y seguimiento de los planes, acompañándolo con acciones de educación y capacitación para una gestión responsable y participativa, eficiente y eficaz de los residuos, buscando la transparencia.</w:t>
      </w:r>
    </w:p>
    <w:p w14:paraId="573A3C76" w14:textId="77777777" w:rsidR="009E2AA8" w:rsidRPr="009E2AA8" w:rsidRDefault="009E2AA8" w:rsidP="009E2AA8">
      <w:pPr>
        <w:pStyle w:val="Ttulo1"/>
      </w:pPr>
      <w:r w:rsidRPr="009E2AA8">
        <w:t>¿Cómo se promueve el reciclado?</w:t>
      </w:r>
    </w:p>
    <w:p w14:paraId="702E6AE2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Generando capacidades para la valorización de los residuos, en especial en procesos de reciclado.</w:t>
      </w:r>
    </w:p>
    <w:p w14:paraId="3FC74F25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lastRenderedPageBreak/>
        <w:t>Mediante la cooperación técnica y financiera entre sectores públicos y privados, desarrollando productos de materiales reciclados y tecnologías que permitan el reciclado.</w:t>
      </w:r>
    </w:p>
    <w:p w14:paraId="5C341F9F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Fomentando el encuentro entre la oferta y la demanda para mejorar la comercialización y valoración de los residuos.</w:t>
      </w:r>
    </w:p>
    <w:p w14:paraId="56AE072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Priorizando, en las contrataciones públicas, la compra de bienes de producción nacional realizados con materiales reciclados.</w:t>
      </w:r>
    </w:p>
    <w:p w14:paraId="6D554EB0" w14:textId="77777777" w:rsidR="009E2AA8" w:rsidRPr="009E2AA8" w:rsidRDefault="009E2AA8" w:rsidP="009E2AA8">
      <w:pPr>
        <w:pStyle w:val="Ttulo1"/>
      </w:pPr>
      <w:r w:rsidRPr="009E2AA8">
        <w:t>¿Qué establece la ley respecto a alimentos para consumo humano?</w:t>
      </w:r>
    </w:p>
    <w:p w14:paraId="7CB8A8E0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En su fabricación y comercialización se priorizará reducir pérdidas, desperdicios y excedentes de alimentos.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br/>
        <w:t>Los excedentes se aprovecharán como alimento humano siempre que estén en buenas condiciones de sanidad e inocuidad alimentaria; en caso contrario se utilizarán como alimento animal si cuentan con condiciones de sanidad e inocuidad alimentaria animal.</w:t>
      </w:r>
    </w:p>
    <w:p w14:paraId="53338BA4" w14:textId="77777777" w:rsidR="009E2AA8" w:rsidRPr="009E2AA8" w:rsidRDefault="009E2AA8" w:rsidP="009E2AA8">
      <w:pPr>
        <w:pStyle w:val="Ttulo1"/>
      </w:pPr>
      <w:r w:rsidRPr="009E2AA8">
        <w:t>¿Se requiere autorización para realizar operaciones de comercialización de materiales para reciclar y de los reciclados?</w:t>
      </w:r>
    </w:p>
    <w:p w14:paraId="7B80EC90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Sí, solo quienes se encuentren autorizados y registrados podrán, de forma permanente, realizar operaciones para obtener y comercializar materiales para reciclar y para comercializar y distribuir los productos reciclados.</w:t>
      </w:r>
    </w:p>
    <w:p w14:paraId="1C00564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La ley establece un plazo máximo para que las personas involucradas en la comercialización de residuos se adecuen a sus disposiciones; a partir de ese plazo se prohíbe la comercialización de residuos por quienes no tengan la autorización correspondiente.</w:t>
      </w:r>
    </w:p>
    <w:p w14:paraId="53FAFFAA" w14:textId="77777777" w:rsidR="009E2AA8" w:rsidRPr="009E2AA8" w:rsidRDefault="009E2AA8" w:rsidP="009E2AA8">
      <w:pPr>
        <w:pStyle w:val="Ttulo1"/>
      </w:pPr>
      <w:r w:rsidRPr="009E2AA8">
        <w:t>¿Qué dispone acerca de los clasificadores?</w:t>
      </w:r>
    </w:p>
    <w:p w14:paraId="5F2F1218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La actividad de los clasificadores será regulada para facilitar su inclusión al sistema formal y generar condiciones adecuadas de trabajo.</w:t>
      </w:r>
    </w:p>
    <w:p w14:paraId="2BD60DCB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Los procesos de inclusión social, laboral y productiva de los clasificadores deberán:</w:t>
      </w:r>
    </w:p>
    <w:p w14:paraId="4DDBEDE0" w14:textId="2EAD6039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C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onsiderar criterios de equidad;</w:t>
      </w:r>
    </w:p>
    <w:p w14:paraId="09418F02" w14:textId="5E12C2E4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C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ontar con medidas de acompañamiento social, fomentando las perspectivas y proyectos personales y viabilizando el acceso a derechos, bienes y servicios sociales;</w:t>
      </w:r>
    </w:p>
    <w:p w14:paraId="3317F108" w14:textId="19696810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A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poyar la capacitación y formación.</w:t>
      </w:r>
    </w:p>
    <w:p w14:paraId="38868750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Se crean a cargo del Ministerio de Trabajo y Seguridad Social:</w:t>
      </w:r>
    </w:p>
    <w:p w14:paraId="0FDC85BD" w14:textId="4BCEF904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E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l</w:t>
      </w:r>
      <w:r w:rsidRPr="009E2AA8">
        <w:rPr>
          <w:rFonts w:asciiTheme="minorHAnsi" w:hAnsiTheme="minorHAnsi" w:cstheme="minorHAnsi"/>
          <w:i/>
          <w:iCs/>
          <w:sz w:val="22"/>
          <w:szCs w:val="22"/>
          <w:lang w:val="es-UY"/>
        </w:rPr>
        <w:t> inventario de iniciativas de inclusión social y productiva de clasificadores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;</w:t>
      </w:r>
      <w:r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el </w:t>
      </w:r>
      <w:r w:rsidRPr="009E2AA8">
        <w:rPr>
          <w:rFonts w:asciiTheme="minorHAnsi" w:hAnsiTheme="minorHAnsi" w:cstheme="minorHAnsi"/>
          <w:i/>
          <w:iCs/>
          <w:sz w:val="22"/>
          <w:szCs w:val="22"/>
          <w:lang w:val="es-UY"/>
        </w:rPr>
        <w:t>registro de clasificadores de residuos</w:t>
      </w:r>
      <w:r w:rsidRPr="009E2AA8">
        <w:rPr>
          <w:rFonts w:asciiTheme="minorHAnsi" w:hAnsiTheme="minorHAnsi" w:cstheme="minorHAnsi"/>
          <w:sz w:val="22"/>
          <w:szCs w:val="22"/>
          <w:lang w:val="es-UY"/>
        </w:rPr>
        <w:t>: la inscripción es requerida para acceder a los beneficios de inclusión social, laboral y productiva previstos en la ley.</w:t>
      </w:r>
    </w:p>
    <w:p w14:paraId="1A036274" w14:textId="77777777" w:rsidR="009E2AA8" w:rsidRPr="009E2AA8" w:rsidRDefault="009E2AA8" w:rsidP="009E2AA8">
      <w:pPr>
        <w:pStyle w:val="Ttulo1"/>
      </w:pPr>
      <w:r w:rsidRPr="009E2AA8">
        <w:t>¿Qué otras medidas se disponen para la inclusión de los clasificadores?</w:t>
      </w:r>
    </w:p>
    <w:p w14:paraId="0EE4B7D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lastRenderedPageBreak/>
        <w:t>Entre otras:</w:t>
      </w:r>
    </w:p>
    <w:p w14:paraId="776E43D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Creación de programas de certificación de competencias para mejorar su inclusión al empleo formal.</w:t>
      </w:r>
    </w:p>
    <w:p w14:paraId="5C2D95E6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Estímulos a empresas privadas para la contratación de clasificadores registrados que generen nuevos puestos de trabajo.</w:t>
      </w:r>
    </w:p>
    <w:p w14:paraId="5BDC9010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Priorización por parte del Estado y las personas de derecho público no estatal, en la adquisición de servicios de gestión de residuos, a los clasificadores registrados.</w:t>
      </w:r>
    </w:p>
    <w:p w14:paraId="378FAB27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Promoción y apoyo del desarrollo de cooperativas u otras formas de asociación autogestionadas integradas por clasificadores de residuos.</w:t>
      </w:r>
    </w:p>
    <w:p w14:paraId="1DA5BBE1" w14:textId="77777777" w:rsidR="009E2AA8" w:rsidRPr="009E2AA8" w:rsidRDefault="009E2AA8" w:rsidP="009E2AA8">
      <w:pPr>
        <w:pStyle w:val="Ttulo1"/>
      </w:pPr>
      <w:r w:rsidRPr="009E2AA8">
        <w:t>¿Qué autoridades se encuentran a cargo de promover la educación en la gestión de residuos?</w:t>
      </w:r>
    </w:p>
    <w:p w14:paraId="7A256FDD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El Ministerio de Ambiente y las autoridades educativas promoverán la educación ambiental vinculada a la prevención de la generación, valorización y gestión de los residuos.</w:t>
      </w:r>
    </w:p>
    <w:p w14:paraId="09417C48" w14:textId="77777777" w:rsidR="009E2AA8" w:rsidRPr="009E2AA8" w:rsidRDefault="009E2AA8" w:rsidP="009E2AA8">
      <w:pPr>
        <w:pStyle w:val="Ttulo1"/>
      </w:pPr>
      <w:r w:rsidRPr="009E2AA8">
        <w:t>¿La ley determina alguna responsabilidad?</w:t>
      </w:r>
    </w:p>
    <w:p w14:paraId="30498789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Si, las personas físicas o jurídicas serán responsables por los daños que la gestión de residuos pueda causar.</w:t>
      </w:r>
    </w:p>
    <w:p w14:paraId="0FE16126" w14:textId="77777777" w:rsidR="009E2AA8" w:rsidRPr="009E2AA8" w:rsidRDefault="009E2AA8" w:rsidP="009E2AA8">
      <w:pPr>
        <w:pStyle w:val="Ttulo1"/>
      </w:pPr>
      <w:r w:rsidRPr="009E2AA8">
        <w:t>¿Se establecen sanciones en caso de incumplimiento?</w:t>
      </w:r>
    </w:p>
    <w:p w14:paraId="5458A221" w14:textId="77777777" w:rsidR="009E2AA8" w:rsidRPr="009E2AA8" w:rsidRDefault="009E2AA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9E2AA8">
        <w:rPr>
          <w:rFonts w:asciiTheme="minorHAnsi" w:hAnsiTheme="minorHAnsi" w:cstheme="minorHAnsi"/>
          <w:sz w:val="22"/>
          <w:szCs w:val="22"/>
          <w:lang w:val="es-UY"/>
        </w:rPr>
        <w:t>Sí, el Ministerio de Ambiente sancionará de acuerdo a la normativa a la que se remite esta ley.</w:t>
      </w:r>
    </w:p>
    <w:p w14:paraId="349915FF" w14:textId="77777777" w:rsidR="00D936C8" w:rsidRPr="009E2AA8" w:rsidRDefault="00D936C8" w:rsidP="009E2AA8">
      <w:pPr>
        <w:jc w:val="left"/>
        <w:rPr>
          <w:rFonts w:asciiTheme="minorHAnsi" w:hAnsiTheme="minorHAnsi" w:cstheme="minorHAnsi"/>
          <w:sz w:val="22"/>
          <w:szCs w:val="22"/>
          <w:lang w:val="es-UY"/>
        </w:rPr>
      </w:pPr>
    </w:p>
    <w:sectPr w:rsidR="00D936C8" w:rsidRPr="009E2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6B6"/>
    <w:multiLevelType w:val="multilevel"/>
    <w:tmpl w:val="E21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108E"/>
    <w:multiLevelType w:val="multilevel"/>
    <w:tmpl w:val="B84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F79C9"/>
    <w:multiLevelType w:val="multilevel"/>
    <w:tmpl w:val="D64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078E"/>
    <w:multiLevelType w:val="multilevel"/>
    <w:tmpl w:val="1F9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15C35"/>
    <w:multiLevelType w:val="multilevel"/>
    <w:tmpl w:val="35A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F230B"/>
    <w:multiLevelType w:val="multilevel"/>
    <w:tmpl w:val="1024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3124B"/>
    <w:multiLevelType w:val="multilevel"/>
    <w:tmpl w:val="DCB4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5FE1"/>
    <w:multiLevelType w:val="multilevel"/>
    <w:tmpl w:val="F50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616"/>
    <w:multiLevelType w:val="multilevel"/>
    <w:tmpl w:val="623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5C9"/>
    <w:multiLevelType w:val="multilevel"/>
    <w:tmpl w:val="FD0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B4FA3"/>
    <w:multiLevelType w:val="multilevel"/>
    <w:tmpl w:val="C14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79776">
    <w:abstractNumId w:val="8"/>
  </w:num>
  <w:num w:numId="2" w16cid:durableId="2079355344">
    <w:abstractNumId w:val="6"/>
  </w:num>
  <w:num w:numId="3" w16cid:durableId="1041980016">
    <w:abstractNumId w:val="0"/>
  </w:num>
  <w:num w:numId="4" w16cid:durableId="998773502">
    <w:abstractNumId w:val="2"/>
  </w:num>
  <w:num w:numId="5" w16cid:durableId="2030184193">
    <w:abstractNumId w:val="4"/>
  </w:num>
  <w:num w:numId="6" w16cid:durableId="713162837">
    <w:abstractNumId w:val="10"/>
  </w:num>
  <w:num w:numId="7" w16cid:durableId="841503906">
    <w:abstractNumId w:val="5"/>
  </w:num>
  <w:num w:numId="8" w16cid:durableId="840772962">
    <w:abstractNumId w:val="1"/>
  </w:num>
  <w:num w:numId="9" w16cid:durableId="94398633">
    <w:abstractNumId w:val="3"/>
  </w:num>
  <w:num w:numId="10" w16cid:durableId="69155369">
    <w:abstractNumId w:val="7"/>
  </w:num>
  <w:num w:numId="11" w16cid:durableId="1007252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A8"/>
    <w:rsid w:val="00034D51"/>
    <w:rsid w:val="001062C2"/>
    <w:rsid w:val="001840AF"/>
    <w:rsid w:val="00246B91"/>
    <w:rsid w:val="00264086"/>
    <w:rsid w:val="00811B55"/>
    <w:rsid w:val="009E2AA8"/>
    <w:rsid w:val="00CF6807"/>
    <w:rsid w:val="00D90854"/>
    <w:rsid w:val="00D936C8"/>
    <w:rsid w:val="00EB513B"/>
    <w:rsid w:val="00F17ADD"/>
    <w:rsid w:val="00F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78806"/>
  <w15:chartTrackingRefBased/>
  <w15:docId w15:val="{274F33A5-91C0-004D-BA04-2BEF577C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51"/>
    <w:rPr>
      <w:rFonts w:ascii="Times New Roman" w:hAnsi="Times New Roman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E2AA8"/>
    <w:pPr>
      <w:jc w:val="left"/>
      <w:outlineLvl w:val="0"/>
    </w:pPr>
    <w:rPr>
      <w:rFonts w:asciiTheme="majorHAnsi" w:hAnsiTheme="majorHAnsi" w:cstheme="majorHAnsi"/>
      <w:color w:val="C00000"/>
      <w:lang w:val="es-U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D51"/>
    <w:pPr>
      <w:spacing w:before="200" w:after="80"/>
      <w:outlineLvl w:val="1"/>
    </w:pPr>
    <w:rPr>
      <w:rFonts w:ascii="Calibri" w:eastAsiaTheme="majorEastAsia" w:hAnsi="Calibri" w:cs="Calibri"/>
      <w:b/>
      <w:bCs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D51"/>
    <w:pPr>
      <w:pBdr>
        <w:bottom w:val="single" w:sz="4" w:space="1" w:color="90A1C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A66A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D51"/>
    <w:pPr>
      <w:pBdr>
        <w:bottom w:val="single" w:sz="4" w:space="2" w:color="B5C0DF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D51"/>
    <w:pPr>
      <w:spacing w:before="200" w:after="8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D51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D51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D51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D51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AA8"/>
    <w:rPr>
      <w:rFonts w:asciiTheme="majorHAnsi" w:hAnsiTheme="majorHAnsi" w:cstheme="majorHAnsi"/>
      <w:color w:val="C00000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34D51"/>
    <w:rPr>
      <w:rFonts w:ascii="Calibri" w:eastAsiaTheme="majorEastAsia" w:hAnsi="Calibri" w:cs="Calibri"/>
      <w:b/>
      <w:bCs/>
      <w:color w:val="3476B1" w:themeColor="accent2" w:themeShade="BF"/>
      <w:sz w:val="28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34D51"/>
    <w:rPr>
      <w:rFonts w:asciiTheme="majorHAnsi" w:eastAsiaTheme="majorEastAsia" w:hAnsiTheme="majorHAnsi" w:cstheme="majorBidi"/>
      <w:color w:val="4A66AC" w:themeColor="accent1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D51"/>
    <w:rPr>
      <w:rFonts w:asciiTheme="majorHAnsi" w:eastAsiaTheme="majorEastAsia" w:hAnsiTheme="majorHAnsi" w:cstheme="majorBidi"/>
      <w:i/>
      <w:iCs/>
      <w:color w:val="4A66AC" w:themeColor="accent1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D51"/>
    <w:rPr>
      <w:rFonts w:asciiTheme="majorHAnsi" w:eastAsiaTheme="majorEastAsia" w:hAnsiTheme="majorHAnsi" w:cstheme="majorBidi"/>
      <w:color w:val="4A66AC" w:themeColor="accent1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D51"/>
    <w:rPr>
      <w:rFonts w:asciiTheme="majorHAnsi" w:eastAsiaTheme="majorEastAsia" w:hAnsiTheme="majorHAnsi" w:cstheme="majorBidi"/>
      <w:i/>
      <w:iCs/>
      <w:color w:val="4A66AC" w:themeColor="accent1"/>
      <w:sz w:val="24"/>
      <w:szCs w:val="24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D51"/>
    <w:rPr>
      <w:rFonts w:asciiTheme="majorHAnsi" w:eastAsiaTheme="majorEastAsia" w:hAnsiTheme="majorHAnsi" w:cstheme="majorBidi"/>
      <w:b/>
      <w:bCs/>
      <w:color w:val="297FD5" w:themeColor="accent3"/>
      <w:sz w:val="20"/>
      <w:szCs w:val="20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D51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D51"/>
    <w:rPr>
      <w:rFonts w:asciiTheme="majorHAnsi" w:eastAsiaTheme="majorEastAsia" w:hAnsiTheme="majorHAnsi" w:cstheme="majorBidi"/>
      <w:i/>
      <w:iCs/>
      <w:color w:val="297FD5" w:themeColor="accent3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4D51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34D51"/>
    <w:pPr>
      <w:pBdr>
        <w:top w:val="single" w:sz="12" w:space="10" w:color="1E5E9F" w:themeColor="accent3" w:themeShade="BF"/>
        <w:bottom w:val="single" w:sz="24" w:space="15" w:color="1E5E9F" w:themeColor="accent3" w:themeShade="BF"/>
      </w:pBdr>
      <w:jc w:val="center"/>
    </w:pPr>
    <w:rPr>
      <w:rFonts w:asciiTheme="majorHAnsi" w:eastAsiaTheme="majorEastAsia" w:hAnsiTheme="majorHAnsi" w:cstheme="majorBidi"/>
      <w:b/>
      <w:bCs/>
      <w:i/>
      <w:iCs/>
      <w:color w:val="1E5E9F" w:themeColor="accent3" w:themeShade="BF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034D51"/>
    <w:rPr>
      <w:rFonts w:asciiTheme="majorHAnsi" w:eastAsiaTheme="majorEastAsia" w:hAnsiTheme="majorHAnsi" w:cstheme="majorBidi"/>
      <w:b/>
      <w:bCs/>
      <w:i/>
      <w:iCs/>
      <w:color w:val="1E5E9F" w:themeColor="accent3" w:themeShade="BF"/>
      <w:sz w:val="40"/>
      <w:szCs w:val="4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D51"/>
    <w:pPr>
      <w:spacing w:before="200" w:after="900"/>
      <w:jc w:val="right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034D51"/>
    <w:rPr>
      <w:rFonts w:ascii="Times New Roman" w:hAnsi="Times New Roman"/>
      <w:i/>
      <w:i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34D51"/>
    <w:rPr>
      <w:b/>
      <w:bCs/>
      <w:spacing w:val="0"/>
    </w:rPr>
  </w:style>
  <w:style w:type="character" w:styleId="nfasis">
    <w:name w:val="Emphasis"/>
    <w:uiPriority w:val="20"/>
    <w:qFormat/>
    <w:rsid w:val="00034D51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034D51"/>
  </w:style>
  <w:style w:type="character" w:customStyle="1" w:styleId="SinespaciadoCar">
    <w:name w:val="Sin espaciado Car"/>
    <w:basedOn w:val="Fuentedeprrafopredeter"/>
    <w:link w:val="Sinespaciado"/>
    <w:uiPriority w:val="1"/>
    <w:rsid w:val="00034D51"/>
    <w:rPr>
      <w:rFonts w:ascii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34D5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34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034D51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D51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D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  <w:lang w:eastAsia="es-MX"/>
    </w:rPr>
  </w:style>
  <w:style w:type="character" w:styleId="nfasissutil">
    <w:name w:val="Subtle Emphasis"/>
    <w:uiPriority w:val="19"/>
    <w:qFormat/>
    <w:rsid w:val="00034D51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034D51"/>
    <w:rPr>
      <w:b/>
      <w:bCs/>
      <w:i/>
      <w:iCs/>
      <w:color w:val="4A66AC" w:themeColor="accent1"/>
      <w:sz w:val="22"/>
      <w:szCs w:val="22"/>
    </w:rPr>
  </w:style>
  <w:style w:type="character" w:styleId="Referenciasutil">
    <w:name w:val="Subtle Reference"/>
    <w:uiPriority w:val="31"/>
    <w:qFormat/>
    <w:rsid w:val="00034D51"/>
    <w:rPr>
      <w:color w:val="auto"/>
      <w:u w:val="single" w:color="297FD5" w:themeColor="accent3"/>
    </w:rPr>
  </w:style>
  <w:style w:type="character" w:styleId="Referenciaintensa">
    <w:name w:val="Intense Reference"/>
    <w:basedOn w:val="Fuentedeprrafopredeter"/>
    <w:uiPriority w:val="32"/>
    <w:qFormat/>
    <w:rsid w:val="00034D51"/>
    <w:rPr>
      <w:b/>
      <w:bCs/>
      <w:color w:val="1E5E9F" w:themeColor="accent3" w:themeShade="BF"/>
      <w:u w:val="single" w:color="297FD5" w:themeColor="accent3"/>
    </w:rPr>
  </w:style>
  <w:style w:type="character" w:styleId="Ttulodellibro">
    <w:name w:val="Book Title"/>
    <w:basedOn w:val="Fuentedeprrafopredeter"/>
    <w:uiPriority w:val="33"/>
    <w:qFormat/>
    <w:rsid w:val="00034D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4D5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E2AA8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po.com.uy/bases/leyes/19829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1887</Words>
  <Characters>10379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Tedesco</dc:creator>
  <cp:keywords/>
  <dc:description/>
  <cp:lastModifiedBy>Valentina Tedesco</cp:lastModifiedBy>
  <cp:revision>1</cp:revision>
  <dcterms:created xsi:type="dcterms:W3CDTF">2025-05-03T14:06:00Z</dcterms:created>
  <dcterms:modified xsi:type="dcterms:W3CDTF">2025-05-03T14:13:00Z</dcterms:modified>
</cp:coreProperties>
</file>