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1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"/>
        <w:gridCol w:w="1353"/>
        <w:gridCol w:w="690"/>
        <w:gridCol w:w="1564"/>
        <w:gridCol w:w="1621"/>
        <w:gridCol w:w="1906"/>
        <w:gridCol w:w="1612"/>
      </w:tblGrid>
      <w:tr w14:paraId="4F786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0C0B4" w:themeFill="accent5"/>
            <w:tcMar>
              <w:top w:w="15" w:type="dxa"/>
              <w:left w:w="15" w:type="dxa"/>
              <w:right w:w="15" w:type="dxa"/>
            </w:tcMar>
            <w:vAlign w:val="bottom"/>
          </w:tcPr>
          <w:p w14:paraId="48CC9169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/>
                <w:bCs/>
                <w:i w:val="0"/>
                <w:iCs w:val="0"/>
                <w:strike w:val="0"/>
                <w:dstrike w:val="0"/>
                <w:color w:val="FFFFFF" w:themeColor="background1" w:themeTint="FF"/>
                <w:sz w:val="24"/>
                <w:szCs w:val="24"/>
                <w:u w:val="none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#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0C0B4" w:themeFill="accent5"/>
            <w:tcMar>
              <w:top w:w="15" w:type="dxa"/>
              <w:left w:w="15" w:type="dxa"/>
              <w:right w:w="15" w:type="dxa"/>
            </w:tcMar>
            <w:vAlign w:val="bottom"/>
          </w:tcPr>
          <w:p w14:paraId="059DBAD7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/>
                <w:bCs/>
                <w:i w:val="0"/>
                <w:iCs w:val="0"/>
                <w:strike w:val="0"/>
                <w:dstrike w:val="0"/>
                <w:color w:val="FFFFFF" w:themeColor="background1" w:themeTint="FF"/>
                <w:sz w:val="24"/>
                <w:szCs w:val="24"/>
                <w:u w:val="none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Referente / Fuente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0C0B4" w:themeFill="accent5"/>
            <w:tcMar>
              <w:top w:w="15" w:type="dxa"/>
              <w:left w:w="15" w:type="dxa"/>
              <w:right w:w="15" w:type="dxa"/>
            </w:tcMar>
            <w:vAlign w:val="bottom"/>
          </w:tcPr>
          <w:p w14:paraId="181C9137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/>
                <w:bCs/>
                <w:i w:val="0"/>
                <w:iCs w:val="0"/>
                <w:strike w:val="0"/>
                <w:dstrike w:val="0"/>
                <w:color w:val="FFFFFF" w:themeColor="background1" w:themeTint="FF"/>
                <w:sz w:val="24"/>
                <w:szCs w:val="24"/>
                <w:u w:val="none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Año</w:t>
            </w:r>
            <w:bookmarkStart w:id="0" w:name="_GoBack"/>
            <w:bookmarkEnd w:id="0"/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0C0B4" w:themeFill="accent5"/>
            <w:tcMar>
              <w:top w:w="15" w:type="dxa"/>
              <w:left w:w="15" w:type="dxa"/>
              <w:right w:w="15" w:type="dxa"/>
            </w:tcMar>
            <w:vAlign w:val="bottom"/>
          </w:tcPr>
          <w:p w14:paraId="16769506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/>
                <w:bCs/>
                <w:i w:val="0"/>
                <w:iCs w:val="0"/>
                <w:strike w:val="0"/>
                <w:dstrike w:val="0"/>
                <w:color w:val="FFFFFF" w:themeColor="background1" w:themeTint="FF"/>
                <w:sz w:val="24"/>
                <w:szCs w:val="24"/>
                <w:u w:val="none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Enfoque / Solución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0C0B4" w:themeFill="accent5"/>
            <w:tcMar>
              <w:top w:w="15" w:type="dxa"/>
              <w:left w:w="15" w:type="dxa"/>
              <w:right w:w="15" w:type="dxa"/>
            </w:tcMar>
            <w:vAlign w:val="bottom"/>
          </w:tcPr>
          <w:p w14:paraId="77089AD3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/>
                <w:bCs/>
                <w:i w:val="0"/>
                <w:iCs w:val="0"/>
                <w:strike w:val="0"/>
                <w:dstrike w:val="0"/>
                <w:color w:val="FFFFFF" w:themeColor="background1" w:themeTint="FF"/>
                <w:sz w:val="24"/>
                <w:szCs w:val="24"/>
                <w:u w:val="none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Ventajas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0C0B4" w:themeFill="accent5"/>
            <w:tcMar>
              <w:top w:w="15" w:type="dxa"/>
              <w:left w:w="15" w:type="dxa"/>
              <w:right w:w="15" w:type="dxa"/>
            </w:tcMar>
            <w:vAlign w:val="bottom"/>
          </w:tcPr>
          <w:p w14:paraId="179B42E4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/>
                <w:bCs/>
                <w:i w:val="0"/>
                <w:iCs w:val="0"/>
                <w:strike w:val="0"/>
                <w:dstrike w:val="0"/>
                <w:color w:val="FFFFFF" w:themeColor="background1" w:themeTint="FF"/>
                <w:sz w:val="24"/>
                <w:szCs w:val="24"/>
                <w:u w:val="none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Limitaciones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0C0B4" w:themeFill="accent5"/>
            <w:tcMar>
              <w:top w:w="15" w:type="dxa"/>
              <w:left w:w="15" w:type="dxa"/>
              <w:right w:w="15" w:type="dxa"/>
            </w:tcMar>
            <w:vAlign w:val="bottom"/>
          </w:tcPr>
          <w:p w14:paraId="11543366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/>
                <w:bCs/>
                <w:i w:val="0"/>
                <w:iCs w:val="0"/>
                <w:strike w:val="0"/>
                <w:dstrike w:val="0"/>
                <w:color w:val="FFFFFF" w:themeColor="background1" w:themeTint="FF"/>
                <w:sz w:val="24"/>
                <w:szCs w:val="24"/>
                <w:u w:val="none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Relación con Nexa</w:t>
            </w:r>
          </w:p>
        </w:tc>
      </w:tr>
      <w:tr w14:paraId="04A37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C42B84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6C65B4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Trello (Atlassian)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F5C2C6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2024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A69F76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Tableros Kanban para gestión de tareas visuales.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697405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Muy intuitivo y fácil de implementar para equipos pequeños.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EFF2EB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 permite crear checklists técnicos obligatorios con validación.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77B33F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Nexa necesita más que un post-it; requiere control de procesos.</w:t>
            </w:r>
          </w:p>
        </w:tc>
      </w:tr>
      <w:tr w14:paraId="247D8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2A438D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6F4E31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Monday.com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5A62DD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2025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005597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Sistema de "Work OS" para flujos operativos.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EC50FC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Automatización de estados (ej. "Aprobado" notifica a TI).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46BAD1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Licenciamiento costoso para una empresa pequeña/mediana.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6F7D7D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La gerencia de Nexa dice que "suena caro"; Monday lo es.</w:t>
            </w:r>
          </w:p>
        </w:tc>
      </w:tr>
      <w:tr w14:paraId="0BC66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76F876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3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F287C7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Jira Service Management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22C458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2023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0645EF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Gestión de servicios de TI (ITSM) bajo marcos ITIL.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EAF904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Trazabilidad total de quién hizo qué y cuándo.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365B8E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Curva de aprendizaje muy alta para usuarios no técnicos.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E69E86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Oscar y Diana se confundirían con una herramienta tan compleja.</w:t>
            </w:r>
          </w:p>
        </w:tc>
      </w:tr>
      <w:tr w14:paraId="2F4F0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45E0D5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4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70608C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Saman (Software de Campo)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11E313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2024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CEDDEE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Software especializado en Órdenes de Trabajo (OT).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F38622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Enfocado 100% en el área operativa y checklists.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CB98DB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Es una solución cerrada; difícil de adaptar a procesos internos únicos.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1A7F4B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Tu propuesta busca algo a medida para los procesos de Nexa.</w:t>
            </w:r>
          </w:p>
        </w:tc>
      </w:tr>
      <w:tr w14:paraId="57D6B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E01BC3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0B8DB5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ClickUp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0FFB01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2025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C99F01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Plataforma "todo en uno" para reemplazo de Excel.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BD3779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Centraliza chats, documentos y tareas en un solo lugar.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0EAFA0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Puede llegar a ser abrumador por la cantidad de funciones.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35445C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Ayudaría a Camilo (TI), pero no soluciona el caos de aprobación verbal.</w:t>
            </w:r>
          </w:p>
        </w:tc>
      </w:tr>
      <w:tr w14:paraId="4DC6E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D28625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6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89AEDA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Zapier / Make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37F0D2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2024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171E10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Herramientas de automatización de flujos de trabajo.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6C947F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Conectan apps existentes para evitar el trabajo manual.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2D422F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 es una base de datos, solo es un "puente" entre apps.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C23950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Si no hay una base sólida, automatizar el caos solo genera caos rápido.</w:t>
            </w:r>
          </w:p>
        </w:tc>
      </w:tr>
      <w:tr w14:paraId="62052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9652B2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7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562920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Investigación: "BPM en PYMES"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7B7E9E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2022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42D2B3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Estudio sobre gestión de procesos en empresas en crecimiento.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D1F50D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Propone que el orden jerárquico debe estar en el software.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151EF5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Es un marco teórico, no una herramienta funcional inmediata.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21B6E8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Valida que Nexa necesita un "dueño del proceso" digital.</w:t>
            </w:r>
          </w:p>
        </w:tc>
      </w:tr>
      <w:tr w14:paraId="2EE3C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BAF958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8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2E2E87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Microsoft Lists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548C89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2023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4C7E8F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Evolución de Excel para seguimiento de información.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D2B692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Mejor control de versiones que un archivo .xls tradicional.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8DF531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Sigue dependiendo de que el usuario quiera llenar la info.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BCC0E3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 obliga al cumplimiento de un flujo (workflow).</w:t>
            </w:r>
          </w:p>
        </w:tc>
      </w:tr>
      <w:tr w14:paraId="36E87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2AE6B6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9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7D1D25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Odoo (Módulo de Servicios)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8C48ED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2024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F9ADAC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ERP de código abierto para gestión empresarial.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43A325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Integra compras, ventas y órdenes de trabajo.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306048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Requiere un servidor y mantenimiento técnico constante.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BC13CD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Nexa no parece estar lista para un ERP completo todavía.</w:t>
            </w:r>
          </w:p>
        </w:tc>
      </w:tr>
      <w:tr w14:paraId="63015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D9A78D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ADB991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AppSheet (Google)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820751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2025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F1CE30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Creación de apps "No-Code" desde hojas de cálculo.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40C603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Permite crear apps móviles para que Oscar use en campo.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F152A5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Funcionalidades limitadas para lógica de negocio compleja.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A3947F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Es un buen referente para tu prototipo inicial.</w:t>
            </w:r>
          </w:p>
        </w:tc>
      </w:tr>
      <w:tr w14:paraId="431B5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FA8785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11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7F9B9A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Slack (Workflows)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32A717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2023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1CCD8F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Gestión de solicitudes por canales de chat.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2930B2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Centraliza la comunicación que hoy Nexa tiene en WhatsApp.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B50CAF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Las solicitudes se siguen perdiendo en el "scroll" del chat.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8FAE2C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Resuelve la comunicación, pero no la trazabilidad histórica.</w:t>
            </w:r>
          </w:p>
        </w:tc>
      </w:tr>
      <w:tr w14:paraId="19BE2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4D4565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12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7D3E5D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Freshservice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F9C339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2024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AFB0C7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Mesa de ayuda para servicios internos.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48C935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Excelente para el equipo de TI (Camilo).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6B3801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 está diseñado para tareas operativas de campo o logística.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119DEE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Solo resolvería la parte de Camilo, dejando a Oscar por fuera.</w:t>
            </w:r>
          </w:p>
        </w:tc>
      </w:tr>
      <w:tr w14:paraId="26B44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34BA6F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13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A6B074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Investigación: "Checklist Digital"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C3D578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2021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B75BF2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Estudio sobre reducción de errores en mantenimiento.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B8DEBC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Prueba que los checklists digitales reducen fallas en un 40%.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65B0AC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Se enfoca solo en la ejecución, no en la aprobación previa.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AEEDCD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Sustenta técnicamente el uso de tus checklists.</w:t>
            </w:r>
          </w:p>
        </w:tc>
      </w:tr>
      <w:tr w14:paraId="25EE0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5D57AE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14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4FAC12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Wrike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5B358C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2025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181CA7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Gestión de proyectos con enfoque en visibilidad.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6FAB5C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Ofrece reportes de "Trazabilidad" para la gerencia.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07BE28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Interfaz compleja para el personal administrativo (Diana).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EB6D17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Es un referente de cómo mostrar la info a los jefes.</w:t>
            </w:r>
          </w:p>
        </w:tc>
      </w:tr>
      <w:tr w14:paraId="73427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5BE1DE">
            <w:pPr>
              <w:spacing w:before="0" w:beforeAutospacing="0" w:after="0" w:afterAutospacing="0"/>
              <w:jc w:val="center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15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29579A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Notion (Bases de datos)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2F1D8D">
            <w:pPr>
              <w:spacing w:before="0" w:beforeAutospacing="0" w:after="0" w:afterAutospacing="0"/>
              <w:jc w:val="right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2024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EB3A2D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Documentación y gestión de tareas colaborativa.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46123F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Excelente para eliminar el acta de reunión que se pierde.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EB2401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 tiene un motor de estados (Workflow) robusto.</w:t>
            </w:r>
          </w:p>
        </w:tc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30ECB6">
            <w:pPr>
              <w:spacing w:before="0" w:beforeAutospacing="0" w:after="0" w:afterAutospacing="0"/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Evitaría que las actas de Nexa se pierdan.</w:t>
            </w:r>
          </w:p>
        </w:tc>
      </w:tr>
    </w:tbl>
    <w:p w14:paraId="3B11979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 Narrow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AF62F4"/>
    <w:rsid w:val="44A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E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2026-06-06T00:32:00Z</dcterms:created>
  <dc:creator>Usuario</dc:creator>
  <cp:lastModifiedBy>Usuario</cp:lastModifiedBy>
  <dcterms:modified xsi:type="dcterms:W3CDTF">2026-06-06T00:33:10Z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ICV">
    <vt:lpwstr>9A19728B3D4448C29C37C3531C121492_11</vt:lpwstr>
  </property>
  <property fmtid="{D5CDD505-2E9C-101B-9397-08002B2CF9AE}" pid="4" name="KSOTemplateDocerSaveRecord">
    <vt:lpwstr>eyJoZGlkIjoiYzk1MTQzMjg5NWM1MzMwMmVkOGZjYTBjMTMwZTg4MGEifQ==</vt:lpwstr>
  </property>
</Properties>
</file>