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D7" w:rsidRDefault="003B336E" w:rsidP="003B336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Atividade PWII </w:t>
      </w:r>
    </w:p>
    <w:p w:rsidR="003B336E" w:rsidRDefault="003B336E" w:rsidP="003B336E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PWII</w:t>
      </w:r>
    </w:p>
    <w:p w:rsidR="003B336E" w:rsidRDefault="003B336E" w:rsidP="003B336E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Essa disciplina aborda temas mais complexos e avançados da programação de sites, incrementando a entrada de dados pelo usuário.</w:t>
      </w:r>
    </w:p>
    <w:p w:rsidR="003B336E" w:rsidRDefault="003B336E" w:rsidP="003B336E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PWI</w:t>
      </w:r>
    </w:p>
    <w:p w:rsidR="003B336E" w:rsidRPr="003B336E" w:rsidRDefault="003B336E" w:rsidP="003B336E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Essa disciplina aborda as parte mais simplórias da programação web sendo apenas </w:t>
      </w:r>
      <w:r w:rsidR="009761A6">
        <w:rPr>
          <w:rFonts w:ascii="Arial" w:hAnsi="Arial" w:cs="Arial"/>
          <w:sz w:val="24"/>
          <w:szCs w:val="32"/>
        </w:rPr>
        <w:t xml:space="preserve">a modelagem gráfica </w:t>
      </w:r>
      <w:bookmarkStart w:id="0" w:name="_GoBack"/>
      <w:bookmarkEnd w:id="0"/>
      <w:r w:rsidR="009761A6">
        <w:rPr>
          <w:rFonts w:ascii="Arial" w:hAnsi="Arial" w:cs="Arial"/>
          <w:sz w:val="24"/>
          <w:szCs w:val="32"/>
        </w:rPr>
        <w:t>dos sites.</w:t>
      </w:r>
    </w:p>
    <w:sectPr w:rsidR="003B336E" w:rsidRPr="003B3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E"/>
    <w:rsid w:val="003B336E"/>
    <w:rsid w:val="00932ED7"/>
    <w:rsid w:val="009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1612"/>
  <w15:chartTrackingRefBased/>
  <w15:docId w15:val="{C78987F4-47EA-4BD1-A78B-5B031B85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2025-09-17T12:01:00Z</dcterms:created>
  <dcterms:modified xsi:type="dcterms:W3CDTF">2025-09-17T12:13:00Z</dcterms:modified>
</cp:coreProperties>
</file>