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3C6E"/>
        </w:rPr>
        <w:t>Guia Técnico de Implementação</w:t>
      </w:r>
    </w:p>
    <w:p>
      <w:pPr>
        <w:jc w:val="center"/>
      </w:pPr>
      <w:r>
        <w:rPr>
          <w:i/>
          <w:color w:val="555555"/>
          <w:sz w:val="24"/>
        </w:rPr>
        <w:t>Projeção de INCC e IPCA via Expectativas de Mercado (Bacen Focus)</w:t>
        <w:br/>
        <w:t>Utilizando API Olinda, Bacen SGS e Fator de Proporcionalidade</w:t>
      </w:r>
    </w:p>
    <w:p/>
    <w:p>
      <w:pPr>
        <w:pStyle w:val="Heading1"/>
      </w:pPr>
      <w:r>
        <w:t>1. Visão Geral da Solução</w:t>
      </w:r>
    </w:p>
    <w:p>
      <w:r>
        <w:t>Este documento descreve em detalhes técnicos como implementar um sistema de projeção de indicadores econômicos brasileiros (INCC e IPCA) baseado em expectativas de mercado coletadas pelo Banco Central do Brasil através do Relatório Focus. O sistema utiliza a API pública Olinda (Bacen) como fonte primária de expectativas, combinada com dados históricos do Bacen SGS para calcular fatores de proporcionalidade que permitem derivar projeções para indicadores que não possuem cobertura direta no Relatório Focus.</w:t>
      </w:r>
    </w:p>
    <w:p>
      <w:r>
        <w:t>O INCC (Índice Nacional de Custo da Construção), apesar de ser um indicador fundamental para o setor imobiliário, não possui expectativas de mercado disponíveis no Relatório Focus. A solução contorna essa limitação utilizando o IGP-M como proxy — o INCC compõe 10% do IGP-M, e ambos possuem forte correlação histórica. Já o IPCA possui expectativas diretas e abundantes no Focus, com mais de 130 respondentes, o que permite uma projeção mais robusta e direta.</w:t>
      </w:r>
    </w:p>
    <w:p>
      <w:pPr>
        <w:pStyle w:val="Heading2"/>
      </w:pPr>
      <w:r>
        <w:t>1.1. Arquitetura do Sistema</w:t>
      </w:r>
    </w:p>
    <w:p>
      <w:r>
        <w:t>O sistema é composto por uma API serverless (Next.js API Route) com cache em memória de 6 horas. A cada requisição, a API verifica se o cache é válido; caso contrário, executa o pipeline completo de coleta e cálculo. O pipeline é dividido em duas partes independentes: (1) coleta de dados históricos e cálculo de médias, e (2) cálculo de projeções baseadas em expectativas de mercado. Ambas as partes possuem múltiplas fontes com fallback automático, garantindo resiliência contra indisponibilidade de serviços.</w:t>
      </w:r>
    </w:p>
    <w:p>
      <w:r>
        <w:t>O fluxo de dados segue a seguinte sequência: primeiro, os dados históricos de INCC são coletados via brasilindicadores.com.br (fonte primária para INCC-M da FGV) ou Bacen SGS série 192 (INCC-DI, fallback). Em paralelo, os dados históricos de IPCA são obtidos pelo Bacen SGS série 433. As médias dos últimos 12 e 180 meses são calculadas a partir desses dados. Na sequência, as expectativas de mercado são buscadas na API Olinda do Bacen — para o IGP-M (proxy do INCC) e diretamente para o IPCA. Finalmente, o fator de proporcionalidade histórico é calculado e aplicado para derivar a projeção INCC.</w:t>
      </w:r>
    </w:p>
    <w:p>
      <w:pPr>
        <w:pStyle w:val="Heading1"/>
      </w:pPr>
      <w:r>
        <w:t>2. Fontes de Dados e APIs</w:t>
      </w:r>
    </w:p>
    <w:p>
      <w:pPr>
        <w:pStyle w:val="Heading2"/>
      </w:pPr>
      <w:r>
        <w:t>2.1. Bacen Olinda — Expectativas de Mercado (Relatório Focus)</w:t>
      </w:r>
    </w:p>
    <w:p>
      <w:r>
        <w:t>A API Olinda é o canal de dados abertos do Banco Central do Brasil. O serviço "Expectativas" fornece acesso aos dados coletados no Relatório Focus, que consolida as previsões de instituições financeiras, consultorias, universidades e outras entidades sobre indicadores macroeconômicos. A API é pública, gratuita e não requer autenticação. Existem dois endpoints principais utilizados nesta solução, cada um com características distintas que determinam sua aplicabilidade para cada indicador.</w:t>
      </w:r>
    </w:p>
    <w:p>
      <w:pPr>
        <w:pStyle w:val="ListBullet"/>
      </w:pPr>
      <w:r>
        <w:t>Endpoint 1 — ExpectativasMercadoInflacao12Meses:</w:t>
      </w:r>
    </w:p>
    <w:p>
      <w:pPr>
        <w:spacing w:before="120" w:after="120"/>
        <w:ind w:left="567"/>
      </w:pPr>
      <w:r>
        <w:rPr>
          <w:rFonts w:ascii="Consolas" w:hAnsi="Consolas"/>
          <w:color w:val="2D2D2D"/>
          <w:sz w:val="17"/>
          <w:shd w:val="clear" w:color="auto" w:fill="F2F2F2"/>
        </w:rPr>
        <w:t>https://olinda.bcb.gov.br/olinda/servico/Expectativas/versao/v1/odata/</w:t>
        <w:br/>
        <w:t xml:space="preserve">  ExpectativasMercadoInflacao12Meses?</w:t>
        <w:br/>
        <w:t xml:space="preserve">  $filter=Indicador eq 'IGP-M' and Suavizada eq 'S' and baseCalculo eq 0</w:t>
        <w:br/>
        <w:t xml:space="preserve">  &amp;$top=1&amp;$orderby=Data desc&amp;$format=json</w:t>
      </w:r>
    </w:p>
    <w:p>
      <w:r>
        <w:t>Este endpoint fornece a expectativa de inflação 12 meses à frente. O indicador disponível é IGP-DI, mas o filtro por IGP-M retorna dados (o OData não faz distinção estrita). Os campos relevantes são: Mediana (taxa anual esperada, em pontos percentuais), Media, numeroRespondentes (quantidade de instituições que responderam) e Data (data da consulta). O parâmetro Suavizada=S utiliza a mediana suavizada, que remove outliers extremos e produz estimativas mais estáveis. baseCalculo=0 considera todas as instituições; baseCalculo=1 exclui as 25% com maior desvio em relação à mediana.</w:t>
      </w:r>
    </w:p>
    <w:p>
      <w:pPr>
        <w:pStyle w:val="ListBullet"/>
      </w:pPr>
      <w:r>
        <w:t>Endpoint 2 — ExpectativaMercadoMensais:</w:t>
      </w:r>
    </w:p>
    <w:p>
      <w:pPr>
        <w:spacing w:before="120" w:after="120"/>
        <w:ind w:left="567"/>
      </w:pPr>
      <w:r>
        <w:rPr>
          <w:rFonts w:ascii="Consolas" w:hAnsi="Consolas"/>
          <w:color w:val="2D2D2D"/>
          <w:sz w:val="17"/>
          <w:shd w:val="clear" w:color="auto" w:fill="F2F2F2"/>
        </w:rPr>
        <w:t>https://olinda.bcb.gov.br/olinda/servico/Expectativas/versao/v1/odata/</w:t>
        <w:br/>
        <w:t xml:space="preserve">  ExpectativaMercadoMensais?</w:t>
        <w:br/>
        <w:t xml:space="preserve">  $filter=Indicador eq 'IPCA' and baseCalculo eq 0</w:t>
        <w:br/>
        <w:t xml:space="preserve">  &amp;$orderby=DataReferencia desc&amp;$format=json</w:t>
      </w:r>
    </w:p>
    <w:p>
      <w:r>
        <w:t>Este endpoint fornece expectativas mensais para um mês de referência específico. É usado diretamente para o IPCA, que possui cobertura ampla no Focus (mais de 130 respondentes). Indicadores disponíveis: IPCA, IGP-M, IPCA Livres, IPCA Serviços, IPCA Administrados, IPCA Alimentação no domicílio, IPCA Bens industrializados, Câmbio e Taxa de desocupação. Cada entrada contém: DataReferencia (mês-alvo da expectativa, formato MM/AAAA), Mediana (variação mensal esperada, em p.p.), Media, numeroRespondentes e Data (data da consulta). Os dados são cumulativos — contém expectativas para meses passados, presentes e futuros, sendo necessário filtrar por DataReferencia posterior ao mês atual.</w:t>
      </w:r>
    </w:p>
    <w:p>
      <w:pPr>
        <w:pStyle w:val="Heading2"/>
      </w:pPr>
      <w:r>
        <w:t>2.2. Bacen SGS — Séries Históricas</w:t>
      </w:r>
    </w:p>
    <w:p>
      <w:r>
        <w:t>O Sistema de Gerenciamento de Séries Temporais (SGS) do Banco Central fornece dados históricos de indicadores econômicos em formato JSON. Cada série é identificada por um código numérico. O acesso é público e gratuito, sem necessidade de autenticação. As séries utilizadas são:</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Código</w:t>
            </w:r>
          </w:p>
        </w:tc>
        <w:tc>
          <w:tcPr>
            <w:tcW w:type="dxa" w:w="1728"/>
          </w:tcPr>
          <w:p>
            <w:pPr>
              <w:jc w:val="center"/>
            </w:pPr>
            <w:r>
              <w:rPr>
                <w:b/>
                <w:sz w:val="18"/>
              </w:rPr>
              <w:t>Indicador</w:t>
            </w:r>
          </w:p>
        </w:tc>
        <w:tc>
          <w:tcPr>
            <w:tcW w:type="dxa" w:w="1728"/>
          </w:tcPr>
          <w:p>
            <w:pPr>
              <w:jc w:val="center"/>
            </w:pPr>
            <w:r>
              <w:rPr>
                <w:b/>
                <w:sz w:val="18"/>
              </w:rPr>
              <w:t>Descrição</w:t>
            </w:r>
          </w:p>
        </w:tc>
        <w:tc>
          <w:tcPr>
            <w:tcW w:type="dxa" w:w="1728"/>
          </w:tcPr>
          <w:p>
            <w:pPr>
              <w:jc w:val="center"/>
            </w:pPr>
            <w:r>
              <w:rPr>
                <w:b/>
                <w:sz w:val="18"/>
              </w:rPr>
              <w:t>Período</w:t>
            </w:r>
          </w:p>
        </w:tc>
        <w:tc>
          <w:tcPr>
            <w:tcW w:type="dxa" w:w="1728"/>
          </w:tcPr>
          <w:p>
            <w:pPr>
              <w:jc w:val="center"/>
            </w:pPr>
            <w:r>
              <w:rPr>
                <w:b/>
                <w:sz w:val="18"/>
              </w:rPr>
              <w:t>Frequência</w:t>
            </w:r>
          </w:p>
        </w:tc>
      </w:tr>
      <w:tr>
        <w:tc>
          <w:tcPr>
            <w:tcW w:type="dxa" w:w="1728"/>
          </w:tcPr>
          <w:p>
            <w:r>
              <w:rPr>
                <w:sz w:val="18"/>
              </w:rPr>
              <w:t>192</w:t>
            </w:r>
          </w:p>
        </w:tc>
        <w:tc>
          <w:tcPr>
            <w:tcW w:type="dxa" w:w="1728"/>
          </w:tcPr>
          <w:p>
            <w:r>
              <w:rPr>
                <w:sz w:val="18"/>
              </w:rPr>
              <w:t>INCC-DI</w:t>
            </w:r>
          </w:p>
        </w:tc>
        <w:tc>
          <w:tcPr>
            <w:tcW w:type="dxa" w:w="1728"/>
          </w:tcPr>
          <w:p>
            <w:r>
              <w:rPr>
                <w:sz w:val="18"/>
              </w:rPr>
              <w:t>INCC Disponibilidade Interna (FGV IBRE)</w:t>
            </w:r>
          </w:p>
        </w:tc>
        <w:tc>
          <w:tcPr>
            <w:tcW w:type="dxa" w:w="1728"/>
          </w:tcPr>
          <w:p>
            <w:r>
              <w:rPr>
                <w:sz w:val="18"/>
              </w:rPr>
              <w:t>jan/1990 – presente</w:t>
            </w:r>
          </w:p>
        </w:tc>
        <w:tc>
          <w:tcPr>
            <w:tcW w:type="dxa" w:w="1728"/>
          </w:tcPr>
          <w:p>
            <w:r>
              <w:rPr>
                <w:sz w:val="18"/>
              </w:rPr>
              <w:t>Mensal</w:t>
            </w:r>
          </w:p>
        </w:tc>
      </w:tr>
      <w:tr>
        <w:tc>
          <w:tcPr>
            <w:tcW w:type="dxa" w:w="1728"/>
          </w:tcPr>
          <w:p>
            <w:r>
              <w:rPr>
                <w:sz w:val="18"/>
              </w:rPr>
              <w:t>189</w:t>
            </w:r>
          </w:p>
        </w:tc>
        <w:tc>
          <w:tcPr>
            <w:tcW w:type="dxa" w:w="1728"/>
          </w:tcPr>
          <w:p>
            <w:r>
              <w:rPr>
                <w:sz w:val="18"/>
              </w:rPr>
              <w:t>IGP-M</w:t>
            </w:r>
          </w:p>
        </w:tc>
        <w:tc>
          <w:tcPr>
            <w:tcW w:type="dxa" w:w="1728"/>
          </w:tcPr>
          <w:p>
            <w:r>
              <w:rPr>
                <w:sz w:val="18"/>
              </w:rPr>
              <w:t>Índice Geral de Preços-Mercado (FGV)</w:t>
            </w:r>
          </w:p>
        </w:tc>
        <w:tc>
          <w:tcPr>
            <w:tcW w:type="dxa" w:w="1728"/>
          </w:tcPr>
          <w:p>
            <w:r>
              <w:rPr>
                <w:sz w:val="18"/>
              </w:rPr>
              <w:t>jun/1989 – presente</w:t>
            </w:r>
          </w:p>
        </w:tc>
        <w:tc>
          <w:tcPr>
            <w:tcW w:type="dxa" w:w="1728"/>
          </w:tcPr>
          <w:p>
            <w:r>
              <w:rPr>
                <w:sz w:val="18"/>
              </w:rPr>
              <w:t>Mensal</w:t>
            </w:r>
          </w:p>
        </w:tc>
      </w:tr>
      <w:tr>
        <w:tc>
          <w:tcPr>
            <w:tcW w:type="dxa" w:w="1728"/>
          </w:tcPr>
          <w:p>
            <w:r>
              <w:rPr>
                <w:sz w:val="18"/>
              </w:rPr>
              <w:t>433</w:t>
            </w:r>
          </w:p>
        </w:tc>
        <w:tc>
          <w:tcPr>
            <w:tcW w:type="dxa" w:w="1728"/>
          </w:tcPr>
          <w:p>
            <w:r>
              <w:rPr>
                <w:sz w:val="18"/>
              </w:rPr>
              <w:t>IPCA</w:t>
            </w:r>
          </w:p>
        </w:tc>
        <w:tc>
          <w:tcPr>
            <w:tcW w:type="dxa" w:w="1728"/>
          </w:tcPr>
          <w:p>
            <w:r>
              <w:rPr>
                <w:sz w:val="18"/>
              </w:rPr>
              <w:t>Índice de Preços ao Consumidor Amplo (IBGE)</w:t>
            </w:r>
          </w:p>
        </w:tc>
        <w:tc>
          <w:tcPr>
            <w:tcW w:type="dxa" w:w="1728"/>
          </w:tcPr>
          <w:p>
            <w:r>
              <w:rPr>
                <w:sz w:val="18"/>
              </w:rPr>
              <w:t>jan/1980 – presente</w:t>
            </w:r>
          </w:p>
        </w:tc>
        <w:tc>
          <w:tcPr>
            <w:tcW w:type="dxa" w:w="1728"/>
          </w:tcPr>
          <w:p>
            <w:r>
              <w:rPr>
                <w:sz w:val="18"/>
              </w:rPr>
              <w:t>Mensal</w:t>
            </w:r>
          </w:p>
        </w:tc>
      </w:tr>
    </w:tbl>
    <w:p/>
    <w:p>
      <w:pPr>
        <w:spacing w:before="120" w:after="120"/>
        <w:ind w:left="567"/>
      </w:pPr>
      <w:r>
        <w:rPr>
          <w:rFonts w:ascii="Consolas" w:hAnsi="Consolas"/>
          <w:color w:val="2D2D2D"/>
          <w:sz w:val="17"/>
          <w:shd w:val="clear" w:color="auto" w:fill="F2F2F2"/>
        </w:rPr>
        <w:t># Formato base da URL para consulta de séries históricas:</w:t>
        <w:br/>
        <w:t>https://api.bcb.gov.br/dados/serie/bcdata.sgs.{CODIGO}/dados</w:t>
        <w:br/>
        <w:t xml:space="preserve">  ?formato=json</w:t>
        <w:br/>
        <w:t xml:space="preserve">  &amp;dataInicial=DD/MM/AAAA</w:t>
        <w:br/>
        <w:t xml:space="preserve">  &amp;dataFinal=DD/MM/AAAA</w:t>
        <w:br/>
        <w:br/>
        <w:t># Exemplo — últimos 65 meses do IGP-M:</w:t>
        <w:br/>
        <w:t>https://api.bcb.gov.br/dados/serie/bcdata.sgs.189/dados</w:t>
        <w:br/>
        <w:t xml:space="preserve">  ?formato=json&amp;dataInicial=01/01/2021&amp;dataFinal=26/05/2026</w:t>
        <w:br/>
        <w:br/>
        <w:t># Response (JSON array):</w:t>
        <w:br/>
        <w:t>[{"data": "01/04/2026", "valor": "2.73"}, ...]</w:t>
      </w:r>
    </w:p>
    <w:p>
      <w:pPr>
        <w:pStyle w:val="Heading2"/>
      </w:pPr>
      <w:r>
        <w:t>2.3. brasilindicadores.com.br — INCC-M (FGV IBRE)</w:t>
      </w:r>
    </w:p>
    <w:p>
      <w:r>
        <w:t>Este site publica os valores oficiais do INCC-M (variação mensal) divulgados pela FGV IBRE. Diferentemente do INCC-DI disponível no Bacen SGS, o INCC-M é o indicador mais utilizado pelo mercado imobiliário para reajuste de contratos. A fonte é acessada via requisição AJAX que retorna uma tabela HTML com os valores mensais organizados por ano (linhas) e mês (colunas). O endpoint não requer autenticação, mas é necessário enviar o header X-Requested-With: XMLHttpRequest e um User-Agent de navegador para evitar bloqueio.</w:t>
      </w:r>
    </w:p>
    <w:p>
      <w:pPr>
        <w:spacing w:before="120" w:after="120"/>
        <w:ind w:left="567"/>
      </w:pPr>
      <w:r>
        <w:rPr>
          <w:rFonts w:ascii="Consolas" w:hAnsi="Consolas"/>
          <w:color w:val="2D2D2D"/>
          <w:sz w:val="17"/>
          <w:shd w:val="clear" w:color="auto" w:fill="F2F2F2"/>
        </w:rPr>
        <w:t># URL e headers necessários:</w:t>
        <w:br/>
        <w:t>POST https://brasilindicadores.com.br/incc-m?handler=HistoricoValoresIndicadorPartial</w:t>
        <w:br/>
        <w:t>Headers:</w:t>
        <w:br/>
        <w:t xml:space="preserve">  X-Requested-With: XMLHttpRequest</w:t>
        <w:br/>
        <w:t xml:space="preserve">  User-Agent: Mozilla/5.0 (Windows NT 10.0; Win64; x64) ...</w:t>
        <w:br/>
        <w:br/>
        <w:t># Response: HTML com tabela &lt;tr&gt;&lt;td&gt;ANO&lt;/td&gt;&lt;td&gt;jan%&lt;/td&gt;...&lt;td&gt;dez%&lt;/td&gt;&lt;/tr&gt;</w:t>
      </w:r>
    </w:p>
    <w:p>
      <w:r>
        <w:t>O parsing da resposta requer extração via regex das células &lt;td&gt;. A primeira célula de cada linha contém o ano (formato YYYY), e as células 1-12 contêm as variações mensais de janeiro a dezembro. Os valores podem estar em formato brasileiro (vírgula como separador decimal, com símbolo %). É necessário converter: remover o símbolo %, substituir vírgula por ponto e fazer parseFloat().</w:t>
      </w:r>
    </w:p>
    <w:p>
      <w:pPr>
        <w:pStyle w:val="Heading1"/>
      </w:pPr>
      <w:r>
        <w:t>3. Implementação da Projeção INCC</w:t>
      </w:r>
    </w:p>
    <w:p>
      <w:r>
        <w:t>O INCC não possui expectativas diretas no Relatório Focus. A estratégia utiliza o IGP-M como proxy, aplicando um fator de proporcionalidade histórico derivado dos últimos 60 meses de dados de ambas as séries. A escolha do IGP-M como proxy é fundamentada pelo fato de que o próprio INCC compõe 10% do cálculo do IGP-M, criando uma correlação estrutural entre os indicadores. Além disso, o IGP-M é amplamente coberto no Focus, com aproximadamente 54 instituições respondentes, proporcionando uma base estatística robusta.</w:t>
      </w:r>
    </w:p>
    <w:p>
      <w:pPr>
        <w:pStyle w:val="Heading2"/>
      </w:pPr>
      <w:r>
        <w:t>3.1. Algoritmo de Cálculo</w:t>
      </w:r>
    </w:p>
    <w:p>
      <w:pPr>
        <w:pStyle w:val="ListNumber"/>
      </w:pPr>
      <w:r>
        <w:t>Passo 1 — Obter expectativa 12 meses do IGP-M via API Olinda</w:t>
      </w:r>
    </w:p>
    <w:p>
      <w:r>
        <w:t>Consultar o endpoint ExpectativasMercadoInflacao12Meses filtrando por IGP-M, mediana suavizada (Suavizada=S) e baseCalculo=0 (todas as instituições). O campo Mediana contém a taxa anual esperada em pontos percentuais (ex: 4.1931 significa 4.19% ao ano). Ordenar por Data descendente e pegar o registro mais recente. Validar: valor deve ser positivo e não superior a 20% a.a. (cenário extremo).</w:t>
      </w:r>
    </w:p>
    <w:p>
      <w:pPr>
        <w:pStyle w:val="ListNumber"/>
      </w:pPr>
      <w:r>
        <w:t>Passo 2 — Converter expectativa anual em média mensal</w:t>
      </w:r>
    </w:p>
    <w:p>
      <w:r>
        <w:t>Dividir a mediana anual por 12 para obter a expectativa mensal equivalente. Essa abordagem de divisão simples (em vez de conversão por juros compostos) é a mais apropriada porque estamos extrapolando uma expectativa anual em uma média mensal para manter consistência com as médias mensais históricas utilizadas no cálculo do fator de proporcionalidade. Exemplo: 4.19% a.a. / 12 = 0.349% a.m. Validar: valor mensal deve estar entre 0% e 1.5%.</w:t>
      </w:r>
    </w:p>
    <w:p>
      <w:pPr>
        <w:spacing w:before="120" w:after="120"/>
        <w:ind w:left="567"/>
      </w:pPr>
      <w:r>
        <w:rPr>
          <w:rFonts w:ascii="Consolas" w:hAnsi="Consolas"/>
          <w:color w:val="2D2D2D"/>
          <w:sz w:val="17"/>
          <w:shd w:val="clear" w:color="auto" w:fill="F2F2F2"/>
        </w:rPr>
        <w:t>const igpmMonthlyExpectation = igpmAnnualMedian / 12;</w:t>
        <w:br/>
        <w:t>if (igpmMonthlyExpectation &lt; 0 || igpmMonthlyExpectation &gt; 1.5) {</w:t>
        <w:br/>
        <w:t xml:space="preserve">  return { value: 0, source: "" }; // rejeitar</w:t>
        <w:br/>
        <w:t>}</w:t>
      </w:r>
    </w:p>
    <w:p>
      <w:pPr>
        <w:pStyle w:val="ListNumber"/>
      </w:pPr>
      <w:r>
        <w:t>Passo 3 — Obter dados históricos do IGP-M (últimos 60 meses) via Bacen SGS</w:t>
      </w:r>
    </w:p>
    <w:p>
      <w:r>
        <w:t>Consultar a série 189 do Bacen SGS, solicitando os últimos 65 meses de dados (margem para garantir no mínimo 60 registros válidos). Calcular a média aritmética simples dos valores mensais. Validar: média deve estar entre -0.5% e 2.0% a.m. A média histórica do IGP-M tipicamente oscila entre 0.2% e 0.6% a.m., mas pode ser negativa em períodos de deflação.</w:t>
      </w:r>
    </w:p>
    <w:p>
      <w:pPr>
        <w:pStyle w:val="ListNumber"/>
      </w:pPr>
      <w:r>
        <w:t>Passo 4 — Obter dados históricos do INCC (últimos 60 meses)</w:t>
      </w:r>
    </w:p>
    <w:p>
      <w:r>
        <w:t>Tentar primeiro a fonte primária (brasilindicadores.com.br para INCC-M) e, em caso de falha, a fonte secundária (Bacen SGS série 192 para INCC-DI). Filtrar os registros a partir de 2021 (aproximadamente 60 meses). Calcular a média aritmética simples. Validar: média deve estar entre 0.1% e 2.0% a.m. O INCC raramente é negativo porque custos de construção tendem a subir.</w:t>
      </w:r>
    </w:p>
    <w:p>
      <w:pPr>
        <w:pStyle w:val="ListNumber"/>
      </w:pPr>
      <w:r>
        <w:t>Passo 5 — Calcular fator de proporcionalidade INCC/IGP-M</w:t>
      </w:r>
    </w:p>
    <w:p>
      <w:r>
        <w:t>O fator é a razão entre a média mensal do INCC e a média mensal do IGP-M no mesmo período de 60 meses. Este fator captura a relação histórica entre os dois indicadores. Valores tipicamente entre 1.5x e 3x, refletindo o fato de que os custos de construção sobem mais rápido que o IGP-M geral. Validar: fator deve estar entre 0.5x e 5.0x. Valores fora dessa faixa indicam distorção nos dados e devem ser rejeitados.</w:t>
      </w:r>
    </w:p>
    <w:p>
      <w:pPr>
        <w:spacing w:before="120" w:after="120"/>
        <w:ind w:left="567"/>
      </w:pPr>
      <w:r>
        <w:rPr>
          <w:rFonts w:ascii="Consolas" w:hAnsi="Consolas"/>
          <w:color w:val="2D2D2D"/>
          <w:sz w:val="17"/>
          <w:shd w:val="clear" w:color="auto" w:fill="F2F2F2"/>
        </w:rPr>
        <w:t>const factor = avgIncc60 / avgIgpm60;</w:t>
        <w:br/>
        <w:t>if (factor &lt; 0.5 || factor &gt; 5) {</w:t>
        <w:br/>
        <w:t xml:space="preserve">  return { value: 0, source: "" }; // rejeitar</w:t>
        <w:br/>
        <w:t>}</w:t>
      </w:r>
    </w:p>
    <w:p>
      <w:pPr>
        <w:pStyle w:val="ListNumber"/>
      </w:pPr>
      <w:r>
        <w:t>Passo 6 — Calcular projeção INCC</w:t>
      </w:r>
    </w:p>
    <w:p>
      <w:r>
        <w:t>Multiplicar a expectativa mensal do IGP-M pelo fator de proporcionalidade para derivar a projeção INCC. Validação final: o resultado deve estar entre 0.1% e 2.0% a.m. Se falhar, a projeção é rejeitada e o fallback é utilizado (média dos últimos 12 meses do INCC).</w:t>
      </w:r>
    </w:p>
    <w:p>
      <w:pPr>
        <w:spacing w:before="120" w:after="120"/>
        <w:ind w:left="567"/>
      </w:pPr>
      <w:r>
        <w:rPr>
          <w:rFonts w:ascii="Consolas" w:hAnsi="Consolas"/>
          <w:color w:val="2D2D2D"/>
          <w:sz w:val="17"/>
          <w:shd w:val="clear" w:color="auto" w:fill="F2F2F2"/>
        </w:rPr>
        <w:t>const projection = igpmMonthlyExpectation * factor;</w:t>
        <w:br/>
        <w:t>if (projection &lt; 0.1 || projection &gt; 2.0) {</w:t>
        <w:br/>
        <w:t xml:space="preserve">  return { value: 0, source: "" }; // usar fallback</w:t>
        <w:br/>
        <w:t>}</w:t>
      </w:r>
    </w:p>
    <w:p>
      <w:pPr>
        <w:pStyle w:val="Heading2"/>
      </w:pPr>
      <w:r>
        <w:t>3.2. Exemplo Numérico Completo</w:t>
      </w:r>
    </w:p>
    <w:p>
      <w:r>
        <w:t>Utilizando dados reais de maio de 2026, o cálculo completo resulta nos seguintes valores intermediários e finais. A expectativa do IGP-M 12 meses à frente é de 4.19% a.a. (mediana suavizada, 54 respondentes), que convertida para mensal resulta em 0.349% a.m. A média histórica do IGP-M nos últimos 60 meses é de 0.292% a.m., enquanto a média do INCC no mesmo período é de 0.586% a.m. O fator de proporcionalidade resulta em 2.01x (0.586 / 0.292), indicando que o INCC sobe, em média, aproximadamente o dobro do IGP-M. A projeção final do INCC é 0.349 x 2.01 = 0.701% a.m., valor que passa em todas as validações.</w:t>
      </w:r>
    </w:p>
    <w:p>
      <w:pPr>
        <w:pStyle w:val="Heading1"/>
      </w:pPr>
      <w:r>
        <w:t>4. Implementação da Projeção IPCA</w:t>
      </w:r>
    </w:p>
    <w:p>
      <w:r>
        <w:t>Diferentemente do INCC, o IPCA possui cobertura direta e abundante no Relatório Focus, com mais de 130 instituições respondentes. Isso permite duas abordagens complementares: (1) expectativa 12 meses à frente via ExpectativaMercadoMensais filtrando pelos próximos 12 meses, e (2) expectativa mensal pontual para o próximo mês disponível. A segunda abordagem é mais simples e direta, enquanto a primeira fornece uma visão de médio prazo. Recomenda-se implementar ambas e utilizar a expectativa mensal pontual como primária.</w:t>
      </w:r>
    </w:p>
    <w:p>
      <w:pPr>
        <w:pStyle w:val="Heading2"/>
      </w:pPr>
      <w:r>
        <w:t>4.1. Algoritmo de Cálculo (Abordagem Direta)</w:t>
      </w:r>
    </w:p>
    <w:p>
      <w:pPr>
        <w:pStyle w:val="ListNumber"/>
      </w:pPr>
      <w:r>
        <w:t>Passo 1 — Obter expectativas mensais do IPCA via API Olinda</w:t>
      </w:r>
    </w:p>
    <w:p>
      <w:r>
        <w:t>Consultar o endpoint ExpectativaMercadoMensais filtrando por Indicador eq "IPCA" e baseCalculo eq 0. Os resultados incluem expectativas para todos os meses de referência (passados e futuros). É necessário filtrar apenas os meses futuros — ou seja, cujo DataReferencia seja posterior ao mês atual. O campo Mediana contém a variação mensal esperada em pontos percentuais (ex: 0.47 significa 0.47% a.m.).</w:t>
      </w:r>
    </w:p>
    <w:p>
      <w:pPr>
        <w:spacing w:before="120" w:after="120"/>
        <w:ind w:left="567"/>
      </w:pPr>
      <w:r>
        <w:rPr>
          <w:rFonts w:ascii="Consolas" w:hAnsi="Consolas"/>
          <w:color w:val="2D2D2D"/>
          <w:sz w:val="17"/>
          <w:shd w:val="clear" w:color="auto" w:fill="F2F2F2"/>
        </w:rPr>
        <w:t>// Obter expectativas futuras do IPCA</w:t>
        <w:br/>
        <w:t>const url = Olinda_BASE</w:t>
        <w:br/>
        <w:t xml:space="preserve">  + "/ExpectativaMercadoMensais"</w:t>
        <w:br/>
        <w:t xml:space="preserve">  + "?$filter=Indicador eq 'IPCA' and baseCalculo eq 0"</w:t>
        <w:br/>
        <w:t xml:space="preserve">  + "&amp;$orderby=DataReferencia asc&amp;$format=json";</w:t>
        <w:br/>
        <w:br/>
        <w:t>const response = await fetch(url, { signal: AbortSignal.timeout(10000) });</w:t>
        <w:br/>
        <w:t>const data = await response.json();</w:t>
        <w:br/>
        <w:br/>
        <w:t>// Filtrar apenas meses futuros</w:t>
        <w:br/>
        <w:t>const currentMonth = "06/2026"; // formato MM/AAAA do mês atual</w:t>
        <w:br/>
        <w:t>const futureEntries = data.value</w:t>
        <w:br/>
        <w:t xml:space="preserve">  .filter(e =&gt; e.DataReferencia &gt; currentMonth)</w:t>
        <w:br/>
        <w:t xml:space="preserve">  .sort((a, b) =&gt; a.DataReferencia.localeCompare(b.DataReferencia));</w:t>
      </w:r>
    </w:p>
    <w:p>
      <w:pPr>
        <w:pStyle w:val="ListNumber"/>
      </w:pPr>
      <w:r>
        <w:t>Passo 2 — Calcular média das expectativas dos próximos 12 meses</w:t>
      </w:r>
    </w:p>
    <w:p>
      <w:r>
        <w:t>Tomar as expectativas para os próximos 12 meses disponíveis (ou menos, se nem todos os meses tiverem dados) e calcular a média aritmética das medianas. Usar a mediana suavizada quando disponível. Validar: média deve estar entre 0.1% e 2.0% a.m. Valores fora dessa faixa indicam cenários atípicos.</w:t>
      </w:r>
    </w:p>
    <w:p>
      <w:pPr>
        <w:spacing w:before="120" w:after="120"/>
        <w:ind w:left="567"/>
      </w:pPr>
      <w:r>
        <w:rPr>
          <w:rFonts w:ascii="Consolas" w:hAnsi="Consolas"/>
          <w:color w:val="2D2D2D"/>
          <w:sz w:val="17"/>
          <w:shd w:val="clear" w:color="auto" w:fill="F2F2F2"/>
        </w:rPr>
        <w:t>const next12 = futureEntries.slice(0, 12);</w:t>
        <w:br/>
        <w:t>const avgIpca12 = next12.reduce((s, e) =&gt; s + e.Mediana, 0) / next12.length;</w:t>
        <w:br/>
        <w:br/>
        <w:t>// Validação de sanidade</w:t>
        <w:br/>
        <w:t>if (avgIpca12 &lt; 0.1 || avgIpca12 &gt; 2.0) {</w:t>
        <w:br/>
        <w:t xml:space="preserve">  // rejeitar e usar fallback (média histórica 12m)</w:t>
        <w:br/>
        <w:t>}</w:t>
      </w:r>
    </w:p>
    <w:p>
      <w:pPr>
        <w:pStyle w:val="ListNumber"/>
      </w:pPr>
      <w:r>
        <w:t>Passo 3 — Retornar projeção</w:t>
      </w:r>
    </w:p>
    <w:p>
      <w:r>
        <w:t>A média calculada é a projeção IPCA. Como o IPCA possui expectativas diretas, não é necessário calcular fator de proporcionalidade. A fonte da projeção deve indicar o número de respondentes e o período coberto para transparência.</w:t>
      </w:r>
    </w:p>
    <w:p>
      <w:pPr>
        <w:spacing w:before="120" w:after="120"/>
        <w:ind w:left="567"/>
      </w:pPr>
      <w:r>
        <w:rPr>
          <w:rFonts w:ascii="Consolas" w:hAnsi="Consolas"/>
          <w:color w:val="2D2D2D"/>
          <w:sz w:val="17"/>
          <w:shd w:val="clear" w:color="auto" w:fill="F2F2F2"/>
        </w:rPr>
        <w:t>return {</w:t>
        <w:br/>
        <w:t xml:space="preserve">  value: Math.round(avgIpca12 * 100000) / 100000,</w:t>
        <w:br/>
        <w:t xml:space="preserve">  source: `Expectativa Focus IPCA (${next12.length} meses, `</w:t>
        <w:br/>
        <w:t xml:space="preserve">    + `${next12[0]?.numeroRespondentes || "?"} respondentes)`</w:t>
        <w:br/>
        <w:t>};</w:t>
      </w:r>
    </w:p>
    <w:p>
      <w:pPr>
        <w:pStyle w:val="Heading2"/>
      </w:pPr>
      <w:r>
        <w:t>4.2. Algoritmo Alternativo (Fator de Proporcionalidade)</w:t>
      </w:r>
    </w:p>
    <w:p>
      <w:r>
        <w:t>Uma abordagem alternativa, útil quando se deseja consistência metodológica com a projeção INCC, é utilizar a expectativa 12 meses à frente do IPCA (disponível no endpoint ExpectativaMercadoMensais, referência 12 meses à frente) e compará-la com a média histórica dos últimos 60 meses para calcular um fator de proporcionalidade. Este fator pode então ser aplicado ao valor mais recente do IPCA para suavizar oscilações. No entanto, como o IPCA possui expectativas diretas abundantes, esta abordagem é geralmente desnecessária e a abordagem direta (Seção 4.1) é preferível.</w:t>
      </w:r>
    </w:p>
    <w:p>
      <w:pPr>
        <w:pStyle w:val="Heading1"/>
      </w:pPr>
      <w:r>
        <w:t>5. Camadas de Validação e Sanidade</w:t>
      </w:r>
    </w:p>
    <w:p>
      <w:r>
        <w:t>Todas as fontes de dados e cálculos intermediários possuem validações de sanidade para evitar que valores incorretos ou atípicos se propaguem para o resultado final. O sistema adota uma filosofia de "fail-safe": qualquer valor que falhe em uma validação é descartado, e o fallback correspondente é ativado automaticamente. As validações são organizadas em três categorias: validação de entrada (dados brutos das APIs), validação de cálculos intermediários (médias e fatores), e validação do resultado final (projeção).</w:t>
      </w:r>
    </w:p>
    <w:p>
      <w:pPr>
        <w:pStyle w:val="Heading2"/>
      </w:pPr>
      <w:r>
        <w:t>5.1. Tabela Completa de Validações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Etapa</w:t>
            </w:r>
          </w:p>
        </w:tc>
        <w:tc>
          <w:tcPr>
            <w:tcW w:type="dxa" w:w="1728"/>
          </w:tcPr>
          <w:p>
            <w:pPr>
              <w:jc w:val="center"/>
            </w:pPr>
            <w:r>
              <w:rPr>
                <w:b/>
                <w:sz w:val="18"/>
              </w:rPr>
              <w:t>Grandeza</w:t>
            </w:r>
          </w:p>
        </w:tc>
        <w:tc>
          <w:tcPr>
            <w:tcW w:type="dxa" w:w="1728"/>
          </w:tcPr>
          <w:p>
            <w:pPr>
              <w:jc w:val="center"/>
            </w:pPr>
            <w:r>
              <w:rPr>
                <w:b/>
                <w:sz w:val="18"/>
              </w:rPr>
              <w:t>Limite Mínimo</w:t>
            </w:r>
          </w:p>
        </w:tc>
        <w:tc>
          <w:tcPr>
            <w:tcW w:type="dxa" w:w="1728"/>
          </w:tcPr>
          <w:p>
            <w:pPr>
              <w:jc w:val="center"/>
            </w:pPr>
            <w:r>
              <w:rPr>
                <w:b/>
                <w:sz w:val="18"/>
              </w:rPr>
              <w:t>Limite Máximo</w:t>
            </w:r>
          </w:p>
        </w:tc>
        <w:tc>
          <w:tcPr>
            <w:tcW w:type="dxa" w:w="1728"/>
          </w:tcPr>
          <w:p>
            <w:pPr>
              <w:jc w:val="center"/>
            </w:pPr>
            <w:r>
              <w:rPr>
                <w:b/>
                <w:sz w:val="18"/>
              </w:rPr>
              <w:t>Justificativa</w:t>
            </w:r>
          </w:p>
        </w:tc>
      </w:tr>
      <w:tr>
        <w:tc>
          <w:tcPr>
            <w:tcW w:type="dxa" w:w="1728"/>
          </w:tcPr>
          <w:p>
            <w:r>
              <w:rPr>
                <w:sz w:val="18"/>
              </w:rPr>
              <w:t>Entrada</w:t>
            </w:r>
          </w:p>
        </w:tc>
        <w:tc>
          <w:tcPr>
            <w:tcW w:type="dxa" w:w="1728"/>
          </w:tcPr>
          <w:p>
            <w:r>
              <w:rPr>
                <w:sz w:val="18"/>
              </w:rPr>
              <w:t>Expectativa IGP-M anual (Olinda)</w:t>
            </w:r>
          </w:p>
        </w:tc>
        <w:tc>
          <w:tcPr>
            <w:tcW w:type="dxa" w:w="1728"/>
          </w:tcPr>
          <w:p>
            <w:r>
              <w:rPr>
                <w:sz w:val="18"/>
              </w:rPr>
              <w:t>0% a.a.</w:t>
            </w:r>
          </w:p>
        </w:tc>
        <w:tc>
          <w:tcPr>
            <w:tcW w:type="dxa" w:w="1728"/>
          </w:tcPr>
          <w:p>
            <w:r>
              <w:rPr>
                <w:sz w:val="18"/>
              </w:rPr>
              <w:t>20% a.a.</w:t>
            </w:r>
          </w:p>
        </w:tc>
        <w:tc>
          <w:tcPr>
            <w:tcW w:type="dxa" w:w="1728"/>
          </w:tcPr>
          <w:p>
            <w:r>
              <w:rPr>
                <w:sz w:val="18"/>
              </w:rPr>
              <w:t>Acima de 20% é cenário hiperinflacionário</w:t>
            </w:r>
          </w:p>
        </w:tc>
      </w:tr>
      <w:tr>
        <w:tc>
          <w:tcPr>
            <w:tcW w:type="dxa" w:w="1728"/>
          </w:tcPr>
          <w:p>
            <w:r>
              <w:rPr>
                <w:sz w:val="18"/>
              </w:rPr>
              <w:t>Entrada</w:t>
            </w:r>
          </w:p>
        </w:tc>
        <w:tc>
          <w:tcPr>
            <w:tcW w:type="dxa" w:w="1728"/>
          </w:tcPr>
          <w:p>
            <w:r>
              <w:rPr>
                <w:sz w:val="18"/>
              </w:rPr>
              <w:t>Expectativa IGP-M mensal</w:t>
            </w:r>
          </w:p>
        </w:tc>
        <w:tc>
          <w:tcPr>
            <w:tcW w:type="dxa" w:w="1728"/>
          </w:tcPr>
          <w:p>
            <w:r>
              <w:rPr>
                <w:sz w:val="18"/>
              </w:rPr>
              <w:t>0% a.m.</w:t>
            </w:r>
          </w:p>
        </w:tc>
        <w:tc>
          <w:tcPr>
            <w:tcW w:type="dxa" w:w="1728"/>
          </w:tcPr>
          <w:p>
            <w:r>
              <w:rPr>
                <w:sz w:val="18"/>
              </w:rPr>
              <w:t>1.5% a.m.</w:t>
            </w:r>
          </w:p>
        </w:tc>
        <w:tc>
          <w:tcPr>
            <w:tcW w:type="dxa" w:w="1728"/>
          </w:tcPr>
          <w:p>
            <w:r>
              <w:rPr>
                <w:sz w:val="18"/>
              </w:rPr>
              <w:t>Consistente com histórico do IGP-M</w:t>
            </w:r>
          </w:p>
        </w:tc>
      </w:tr>
      <w:tr>
        <w:tc>
          <w:tcPr>
            <w:tcW w:type="dxa" w:w="1728"/>
          </w:tcPr>
          <w:p>
            <w:r>
              <w:rPr>
                <w:sz w:val="18"/>
              </w:rPr>
              <w:t>Entrada</w:t>
            </w:r>
          </w:p>
        </w:tc>
        <w:tc>
          <w:tcPr>
            <w:tcW w:type="dxa" w:w="1728"/>
          </w:tcPr>
          <w:p>
            <w:r>
              <w:rPr>
                <w:sz w:val="18"/>
              </w:rPr>
              <w:t>Expectativa IPCA mensal</w:t>
            </w:r>
          </w:p>
        </w:tc>
        <w:tc>
          <w:tcPr>
            <w:tcW w:type="dxa" w:w="1728"/>
          </w:tcPr>
          <w:p>
            <w:r>
              <w:rPr>
                <w:sz w:val="18"/>
              </w:rPr>
              <w:t>0% a.m.</w:t>
            </w:r>
          </w:p>
        </w:tc>
        <w:tc>
          <w:tcPr>
            <w:tcW w:type="dxa" w:w="1728"/>
          </w:tcPr>
          <w:p>
            <w:r>
              <w:rPr>
                <w:sz w:val="18"/>
              </w:rPr>
              <w:t>1.5% a.m.</w:t>
            </w:r>
          </w:p>
        </w:tc>
        <w:tc>
          <w:tcPr>
            <w:tcW w:type="dxa" w:w="1728"/>
          </w:tcPr>
          <w:p>
            <w:r>
              <w:rPr>
                <w:sz w:val="18"/>
              </w:rPr>
              <w:t>Consistente com histórico do IPCA</w:t>
            </w:r>
          </w:p>
        </w:tc>
      </w:tr>
      <w:tr>
        <w:tc>
          <w:tcPr>
            <w:tcW w:type="dxa" w:w="1728"/>
          </w:tcPr>
          <w:p>
            <w:r>
              <w:rPr>
                <w:sz w:val="18"/>
              </w:rPr>
              <w:t>Cálculo</w:t>
            </w:r>
          </w:p>
        </w:tc>
        <w:tc>
          <w:tcPr>
            <w:tcW w:type="dxa" w:w="1728"/>
          </w:tcPr>
          <w:p>
            <w:r>
              <w:rPr>
                <w:sz w:val="18"/>
              </w:rPr>
              <w:t>Média IGP-M 60 meses</w:t>
            </w:r>
          </w:p>
        </w:tc>
        <w:tc>
          <w:tcPr>
            <w:tcW w:type="dxa" w:w="1728"/>
          </w:tcPr>
          <w:p>
            <w:r>
              <w:rPr>
                <w:sz w:val="18"/>
              </w:rPr>
              <w:t>-0.5% a.m.</w:t>
            </w:r>
          </w:p>
        </w:tc>
        <w:tc>
          <w:tcPr>
            <w:tcW w:type="dxa" w:w="1728"/>
          </w:tcPr>
          <w:p>
            <w:r>
              <w:rPr>
                <w:sz w:val="18"/>
              </w:rPr>
              <w:t>2.0% a.m.</w:t>
            </w:r>
          </w:p>
        </w:tc>
        <w:tc>
          <w:tcPr>
            <w:tcW w:type="dxa" w:w="1728"/>
          </w:tcPr>
          <w:p>
            <w:r>
              <w:rPr>
                <w:sz w:val="18"/>
              </w:rPr>
              <w:t>IGP-M pode ser negativo em deflação</w:t>
            </w:r>
          </w:p>
        </w:tc>
      </w:tr>
      <w:tr>
        <w:tc>
          <w:tcPr>
            <w:tcW w:type="dxa" w:w="1728"/>
          </w:tcPr>
          <w:p>
            <w:r>
              <w:rPr>
                <w:sz w:val="18"/>
              </w:rPr>
              <w:t>Cálculo</w:t>
            </w:r>
          </w:p>
        </w:tc>
        <w:tc>
          <w:tcPr>
            <w:tcW w:type="dxa" w:w="1728"/>
          </w:tcPr>
          <w:p>
            <w:r>
              <w:rPr>
                <w:sz w:val="18"/>
              </w:rPr>
              <w:t>Média INCC 60 meses</w:t>
            </w:r>
          </w:p>
        </w:tc>
        <w:tc>
          <w:tcPr>
            <w:tcW w:type="dxa" w:w="1728"/>
          </w:tcPr>
          <w:p>
            <w:r>
              <w:rPr>
                <w:sz w:val="18"/>
              </w:rPr>
              <w:t>0.1% a.m.</w:t>
            </w:r>
          </w:p>
        </w:tc>
        <w:tc>
          <w:tcPr>
            <w:tcW w:type="dxa" w:w="1728"/>
          </w:tcPr>
          <w:p>
            <w:r>
              <w:rPr>
                <w:sz w:val="18"/>
              </w:rPr>
              <w:t>2.0% a.m.</w:t>
            </w:r>
          </w:p>
        </w:tc>
        <w:tc>
          <w:tcPr>
            <w:tcW w:type="dxa" w:w="1728"/>
          </w:tcPr>
          <w:p>
            <w:r>
              <w:rPr>
                <w:sz w:val="18"/>
              </w:rPr>
              <w:t>INCC raramente é negativo</w:t>
            </w:r>
          </w:p>
        </w:tc>
      </w:tr>
      <w:tr>
        <w:tc>
          <w:tcPr>
            <w:tcW w:type="dxa" w:w="1728"/>
          </w:tcPr>
          <w:p>
            <w:r>
              <w:rPr>
                <w:sz w:val="18"/>
              </w:rPr>
              <w:t>Cálculo</w:t>
            </w:r>
          </w:p>
        </w:tc>
        <w:tc>
          <w:tcPr>
            <w:tcW w:type="dxa" w:w="1728"/>
          </w:tcPr>
          <w:p>
            <w:r>
              <w:rPr>
                <w:sz w:val="18"/>
              </w:rPr>
              <w:t>Média IPCA 60 meses</w:t>
            </w:r>
          </w:p>
        </w:tc>
        <w:tc>
          <w:tcPr>
            <w:tcW w:type="dxa" w:w="1728"/>
          </w:tcPr>
          <w:p>
            <w:r>
              <w:rPr>
                <w:sz w:val="18"/>
              </w:rPr>
              <w:t>0.1% a.m.</w:t>
            </w:r>
          </w:p>
        </w:tc>
        <w:tc>
          <w:tcPr>
            <w:tcW w:type="dxa" w:w="1728"/>
          </w:tcPr>
          <w:p>
            <w:r>
              <w:rPr>
                <w:sz w:val="18"/>
              </w:rPr>
              <w:t>2.0% a.m.</w:t>
            </w:r>
          </w:p>
        </w:tc>
        <w:tc>
          <w:tcPr>
            <w:tcW w:type="dxa" w:w="1728"/>
          </w:tcPr>
          <w:p>
            <w:r>
              <w:rPr>
                <w:sz w:val="18"/>
              </w:rPr>
              <w:t>IPCA raramente é negativo</w:t>
            </w:r>
          </w:p>
        </w:tc>
      </w:tr>
      <w:tr>
        <w:tc>
          <w:tcPr>
            <w:tcW w:type="dxa" w:w="1728"/>
          </w:tcPr>
          <w:p>
            <w:r>
              <w:rPr>
                <w:sz w:val="18"/>
              </w:rPr>
              <w:t>Cálculo</w:t>
            </w:r>
          </w:p>
        </w:tc>
        <w:tc>
          <w:tcPr>
            <w:tcW w:type="dxa" w:w="1728"/>
          </w:tcPr>
          <w:p>
            <w:r>
              <w:rPr>
                <w:sz w:val="18"/>
              </w:rPr>
              <w:t>Média geral INCC (brasilindicadores)</w:t>
            </w:r>
          </w:p>
        </w:tc>
        <w:tc>
          <w:tcPr>
            <w:tcW w:type="dxa" w:w="1728"/>
          </w:tcPr>
          <w:p>
            <w:r>
              <w:rPr>
                <w:sz w:val="18"/>
              </w:rPr>
              <w:t>0.1%</w:t>
            </w:r>
          </w:p>
        </w:tc>
        <w:tc>
          <w:tcPr>
            <w:tcW w:type="dxa" w:w="1728"/>
          </w:tcPr>
          <w:p>
            <w:r>
              <w:rPr>
                <w:sz w:val="18"/>
              </w:rPr>
              <w:t>2.0%</w:t>
            </w:r>
          </w:p>
        </w:tc>
        <w:tc>
          <w:tcPr>
            <w:tcW w:type="dxa" w:w="1728"/>
          </w:tcPr>
          <w:p>
            <w:r>
              <w:rPr>
                <w:sz w:val="18"/>
              </w:rPr>
              <w:t>Sanidade da fonte primária</w:t>
            </w:r>
          </w:p>
        </w:tc>
      </w:tr>
      <w:tr>
        <w:tc>
          <w:tcPr>
            <w:tcW w:type="dxa" w:w="1728"/>
          </w:tcPr>
          <w:p>
            <w:r>
              <w:rPr>
                <w:sz w:val="18"/>
              </w:rPr>
              <w:t>Cálculo</w:t>
            </w:r>
          </w:p>
        </w:tc>
        <w:tc>
          <w:tcPr>
            <w:tcW w:type="dxa" w:w="1728"/>
          </w:tcPr>
          <w:p>
            <w:r>
              <w:rPr>
                <w:sz w:val="18"/>
              </w:rPr>
              <w:t>Média geral INCC-DI (Bacen 192)</w:t>
            </w:r>
          </w:p>
        </w:tc>
        <w:tc>
          <w:tcPr>
            <w:tcW w:type="dxa" w:w="1728"/>
          </w:tcPr>
          <w:p>
            <w:r>
              <w:rPr>
                <w:sz w:val="18"/>
              </w:rPr>
              <w:t>0.1%</w:t>
            </w:r>
          </w:p>
        </w:tc>
        <w:tc>
          <w:tcPr>
            <w:tcW w:type="dxa" w:w="1728"/>
          </w:tcPr>
          <w:p>
            <w:r>
              <w:rPr>
                <w:sz w:val="18"/>
              </w:rPr>
              <w:t>3.0%</w:t>
            </w:r>
          </w:p>
        </w:tc>
        <w:tc>
          <w:tcPr>
            <w:tcW w:type="dxa" w:w="1728"/>
          </w:tcPr>
          <w:p>
            <w:r>
              <w:rPr>
                <w:sz w:val="18"/>
              </w:rPr>
              <w:t>INCC-DI pode ter amplitude maior</w:t>
            </w:r>
          </w:p>
        </w:tc>
      </w:tr>
      <w:tr>
        <w:tc>
          <w:tcPr>
            <w:tcW w:type="dxa" w:w="1728"/>
          </w:tcPr>
          <w:p>
            <w:r>
              <w:rPr>
                <w:sz w:val="18"/>
              </w:rPr>
              <w:t>Cálculo</w:t>
            </w:r>
          </w:p>
        </w:tc>
        <w:tc>
          <w:tcPr>
            <w:tcW w:type="dxa" w:w="1728"/>
          </w:tcPr>
          <w:p>
            <w:r>
              <w:rPr>
                <w:sz w:val="18"/>
              </w:rPr>
              <w:t>Fator INCC/IGP-M</w:t>
            </w:r>
          </w:p>
        </w:tc>
        <w:tc>
          <w:tcPr>
            <w:tcW w:type="dxa" w:w="1728"/>
          </w:tcPr>
          <w:p>
            <w:r>
              <w:rPr>
                <w:sz w:val="18"/>
              </w:rPr>
              <w:t>0.5x</w:t>
            </w:r>
          </w:p>
        </w:tc>
        <w:tc>
          <w:tcPr>
            <w:tcW w:type="dxa" w:w="1728"/>
          </w:tcPr>
          <w:p>
            <w:r>
              <w:rPr>
                <w:sz w:val="18"/>
              </w:rPr>
              <w:t>5.0x</w:t>
            </w:r>
          </w:p>
        </w:tc>
        <w:tc>
          <w:tcPr>
            <w:tcW w:type="dxa" w:w="1728"/>
          </w:tcPr>
          <w:p>
            <w:r>
              <w:rPr>
                <w:sz w:val="18"/>
              </w:rPr>
              <w:t>INCC tipicamente 1.5-3x o IGP-M</w:t>
            </w:r>
          </w:p>
        </w:tc>
      </w:tr>
      <w:tr>
        <w:tc>
          <w:tcPr>
            <w:tcW w:type="dxa" w:w="1728"/>
          </w:tcPr>
          <w:p>
            <w:r>
              <w:rPr>
                <w:sz w:val="18"/>
              </w:rPr>
              <w:t>Resultado</w:t>
            </w:r>
          </w:p>
        </w:tc>
        <w:tc>
          <w:tcPr>
            <w:tcW w:type="dxa" w:w="1728"/>
          </w:tcPr>
          <w:p>
            <w:r>
              <w:rPr>
                <w:sz w:val="18"/>
              </w:rPr>
              <w:t>Projeção INCC final</w:t>
            </w:r>
          </w:p>
        </w:tc>
        <w:tc>
          <w:tcPr>
            <w:tcW w:type="dxa" w:w="1728"/>
          </w:tcPr>
          <w:p>
            <w:r>
              <w:rPr>
                <w:sz w:val="18"/>
              </w:rPr>
              <w:t>0.1% a.m.</w:t>
            </w:r>
          </w:p>
        </w:tc>
        <w:tc>
          <w:tcPr>
            <w:tcW w:type="dxa" w:w="1728"/>
          </w:tcPr>
          <w:p>
            <w:r>
              <w:rPr>
                <w:sz w:val="18"/>
              </w:rPr>
              <w:t>2.0% a.m.</w:t>
            </w:r>
          </w:p>
        </w:tc>
        <w:tc>
          <w:tcPr>
            <w:tcW w:type="dxa" w:w="1728"/>
          </w:tcPr>
          <w:p>
            <w:r>
              <w:rPr>
                <w:sz w:val="18"/>
              </w:rPr>
              <w:t>Fora da faixa é irrealista</w:t>
            </w:r>
          </w:p>
        </w:tc>
      </w:tr>
      <w:tr>
        <w:tc>
          <w:tcPr>
            <w:tcW w:type="dxa" w:w="1728"/>
          </w:tcPr>
          <w:p>
            <w:r>
              <w:rPr>
                <w:sz w:val="18"/>
              </w:rPr>
              <w:t>Resultado</w:t>
            </w:r>
          </w:p>
        </w:tc>
        <w:tc>
          <w:tcPr>
            <w:tcW w:type="dxa" w:w="1728"/>
          </w:tcPr>
          <w:p>
            <w:r>
              <w:rPr>
                <w:sz w:val="18"/>
              </w:rPr>
              <w:t>Projeção IPCA final</w:t>
            </w:r>
          </w:p>
        </w:tc>
        <w:tc>
          <w:tcPr>
            <w:tcW w:type="dxa" w:w="1728"/>
          </w:tcPr>
          <w:p>
            <w:r>
              <w:rPr>
                <w:sz w:val="18"/>
              </w:rPr>
              <w:t>0.1% a.m.</w:t>
            </w:r>
          </w:p>
        </w:tc>
        <w:tc>
          <w:tcPr>
            <w:tcW w:type="dxa" w:w="1728"/>
          </w:tcPr>
          <w:p>
            <w:r>
              <w:rPr>
                <w:sz w:val="18"/>
              </w:rPr>
              <w:t>2.0% a.m.</w:t>
            </w:r>
          </w:p>
        </w:tc>
        <w:tc>
          <w:tcPr>
            <w:tcW w:type="dxa" w:w="1728"/>
          </w:tcPr>
          <w:p>
            <w:r>
              <w:rPr>
                <w:sz w:val="18"/>
              </w:rPr>
              <w:t>Fora da faixa é irrealista</w:t>
            </w:r>
          </w:p>
        </w:tc>
      </w:tr>
      <w:tr>
        <w:tc>
          <w:tcPr>
            <w:tcW w:type="dxa" w:w="1728"/>
          </w:tcPr>
          <w:p>
            <w:r>
              <w:rPr>
                <w:sz w:val="18"/>
              </w:rPr>
              <w:t>Quantidade</w:t>
            </w:r>
          </w:p>
        </w:tc>
        <w:tc>
          <w:tcPr>
            <w:tcW w:type="dxa" w:w="1728"/>
          </w:tcPr>
          <w:p>
            <w:r>
              <w:rPr>
                <w:sz w:val="18"/>
              </w:rPr>
              <w:t>Registros mínimos por fonte</w:t>
            </w:r>
          </w:p>
        </w:tc>
        <w:tc>
          <w:tcPr>
            <w:tcW w:type="dxa" w:w="1728"/>
          </w:tcPr>
          <w:p>
            <w:r>
              <w:rPr>
                <w:sz w:val="18"/>
              </w:rPr>
              <w:t>24 registros</w:t>
            </w:r>
          </w:p>
        </w:tc>
        <w:tc>
          <w:tcPr>
            <w:tcW w:type="dxa" w:w="1728"/>
          </w:tcPr>
          <w:p>
            <w:r>
              <w:rPr>
                <w:sz w:val="18"/>
              </w:rPr>
              <w:t>-</w:t>
            </w:r>
          </w:p>
        </w:tc>
        <w:tc>
          <w:tcPr>
            <w:tcW w:type="dxa" w:w="1728"/>
          </w:tcPr>
          <w:p>
            <w:r>
              <w:rPr>
                <w:sz w:val="18"/>
              </w:rPr>
              <w:t>Garante representatividade estatística</w:t>
            </w:r>
          </w:p>
        </w:tc>
      </w:tr>
    </w:tbl>
    <w:p>
      <w:pPr>
        <w:pStyle w:val="Heading2"/>
      </w:pPr>
      <w:r>
        <w:t>5.2. Estratégia de Fallback</w:t>
      </w:r>
    </w:p>
    <w:p>
      <w:r>
        <w:t>O sistema implementa uma cascata de fallbacks em três níveis. Para dados históricos: (1) brasilindicadores.com.br para INCC-M, (2) Bacen SGS série 192 para INCC-DI, (3) valores estáticos verificados manualmente. Para expectativas de mercado: (1) API Olinda com todas as validações, (2) média dos últimos 12 meses dos dados históricos como aproximação conservadora. Quando a expectativa de mercado é rejeitada por qualquer validação, o fallback é silencioso — o usuário vê a média histórica como projeção, sem interrupção do serviço. O campo projectionSource na resposta da API indica qual fonte foi efetivamente utilizada, garantindo transparência.</w:t>
      </w:r>
    </w:p>
    <w:p>
      <w:pPr>
        <w:pStyle w:val="Heading1"/>
      </w:pPr>
      <w:r>
        <w:t>6. Estrutura da API e Contrato de Resposta</w:t>
      </w:r>
    </w:p>
    <w:p>
      <w:r>
        <w:t>A API é implementada como uma API Route do Next.js (app/api/incc/route.ts) com método GET. Utiliza cache em memória com TTL de 6 horas para evitar sobrecarga nas fontes externas. O cache é armazenado em variável de módulo (module-level), o que significa que é compartilhado entre requisições no mesmo processo do servidor, mas é resetado a cada reinicialização (hot reload, deploy).</w:t>
      </w:r>
    </w:p>
    <w:p>
      <w:pPr>
        <w:pStyle w:val="Heading2"/>
      </w:pPr>
      <w:r>
        <w:t>6.1. Contrato de Resposta JSON</w:t>
      </w:r>
    </w:p>
    <w:p>
      <w:pPr>
        <w:spacing w:before="120" w:after="120"/>
        <w:ind w:left="567"/>
      </w:pPr>
      <w:r>
        <w:rPr>
          <w:rFonts w:ascii="Consolas" w:hAnsi="Consolas"/>
          <w:color w:val="2D2D2D"/>
          <w:sz w:val="17"/>
          <w:shd w:val="clear" w:color="auto" w:fill="F2F2F2"/>
        </w:rPr>
        <w:t>{</w:t>
        <w:br/>
        <w:t xml:space="preserve">  "avg180": 0.5577,          // Média INCC últimos 180 meses (% a.m.)</w:t>
        <w:br/>
        <w:t xml:space="preserve">  "avg12": 0.5158,           // Média INCC últimos 12 meses (% a.m.)</w:t>
        <w:br/>
        <w:t xml:space="preserve">  "projection": 0.70064,     // Projeção INCC baseada em expectativas (% a.m.)</w:t>
        <w:br/>
        <w:t xml:space="preserve">  "ipcaProjection": 0.4520,  // Projeção IPCA baseada em expectativas (% a.m.)</w:t>
        <w:br/>
        <w:t xml:space="preserve">  "ipcaAvg12": 0.4828,       // Média IPCA últimos 12 meses (% a.m.)</w:t>
        <w:br/>
        <w:t xml:space="preserve">  "lastUpdate": "01/04/2026", // Data do último dado histórico disponível</w:t>
        <w:br/>
        <w:t xml:space="preserve">  "totalMonths": 200,         // Total de meses de dados históricos</w:t>
        <w:br/>
        <w:t xml:space="preserve">  "values": [                // Série histórica completa do INCC</w:t>
        <w:br/>
        <w:t xml:space="preserve">    { "data": "01/05/2011", "valor": 0.81 },</w:t>
        <w:br/>
        <w:t xml:space="preserve">    ...</w:t>
        <w:br/>
        <w:t xml:space="preserve">  ],</w:t>
        <w:br/>
        <w:t xml:space="preserve">  "source": "Bacen SGS série 192 — INCC-DI (FGV IBRE)",</w:t>
        <w:br/>
        <w:t xml:space="preserve">  "indicator": "INCC-DI",     // "INCC-M" ou "INCC-DI"</w:t>
        <w:br/>
        <w:t xml:space="preserve">  "projectionSource": "Expectativa Focus IGP-M 4.19% a.a. "</w:t>
        <w:br/>
        <w:t xml:space="preserve">    + "(54 respondentes) → 0.349% a.m. × fator 2.01x (60 meses)",</w:t>
        <w:br/>
        <w:t xml:space="preserve">  "ipcaProjectionSource": "Expectativa Focus IPCA (12 meses, "</w:t>
        <w:br/>
        <w:t xml:space="preserve">    + "130 respondentes)",</w:t>
        <w:br/>
        <w:t xml:space="preserve">  "fallback": false           // true se dados estáticos foram usados</w:t>
        <w:br/>
        <w:t>}</w:t>
      </w:r>
    </w:p>
    <w:p>
      <w:pPr>
        <w:pStyle w:val="Heading2"/>
      </w:pPr>
      <w:r>
        <w:t>6.2. Implementação do Cache</w:t>
      </w:r>
    </w:p>
    <w:p>
      <w:pPr>
        <w:spacing w:before="120" w:after="120"/>
        <w:ind w:left="567"/>
      </w:pPr>
      <w:r>
        <w:rPr>
          <w:rFonts w:ascii="Consolas" w:hAnsi="Consolas"/>
          <w:color w:val="2D2D2D"/>
          <w:sz w:val="17"/>
          <w:shd w:val="clear" w:color="auto" w:fill="F2F2F2"/>
        </w:rPr>
        <w:t>interface InccResult {</w:t>
        <w:br/>
        <w:t xml:space="preserve">  avg180: number;</w:t>
        <w:br/>
        <w:t xml:space="preserve">  avg12: number;</w:t>
        <w:br/>
        <w:t xml:space="preserve">  projection: number;</w:t>
        <w:br/>
        <w:t xml:space="preserve">  projectionSource: string;</w:t>
        <w:br/>
        <w:t xml:space="preserve">  ipcaProjection: number;</w:t>
        <w:br/>
        <w:t xml:space="preserve">  ipcaProjectionSource: string;</w:t>
        <w:br/>
        <w:t xml:space="preserve">  ipcaAvg12: number;</w:t>
        <w:br/>
        <w:t xml:space="preserve">  lastUpdate: string | null;</w:t>
        <w:br/>
        <w:t xml:space="preserve">  totalMonths: number;</w:t>
        <w:br/>
        <w:t xml:space="preserve">  values: { data: string; valor: number }[];</w:t>
        <w:br/>
        <w:t xml:space="preserve">  source: string;</w:t>
        <w:br/>
        <w:t xml:space="preserve">  indicator: string;</w:t>
        <w:br/>
        <w:t xml:space="preserve">  fallback?: boolean;</w:t>
        <w:br/>
        <w:t>}</w:t>
        <w:br/>
        <w:br/>
        <w:t>let cache: { data: InccResult | null; timestamp: number } = {</w:t>
        <w:br/>
        <w:t xml:space="preserve">  data: null, timestamp: 0</w:t>
        <w:br/>
        <w:t>};</w:t>
        <w:br/>
        <w:t>const CACHE_TTL_MS = 6 * 60 * 60 * 1000; // 6 horas</w:t>
      </w:r>
    </w:p>
    <w:p>
      <w:pPr>
        <w:pStyle w:val="Heading1"/>
      </w:pPr>
      <w:r>
        <w:t>7. Código Completo de Referência</w:t>
      </w:r>
    </w:p>
    <w:p>
      <w:r>
        <w:t>Esta seção apresenta o código TypeScript completo da função de projeção IPCA, que deve ser adicionada à API existente junto com a função de projeção INCC já implementada. O código inclui todas as validações, tratamento de erros e documentação inline. Adapte os nomes de variáveis e integração conforme a estrutura do projeto destino.</w:t>
      </w:r>
    </w:p>
    <w:p>
      <w:pPr>
        <w:pStyle w:val="Heading2"/>
      </w:pPr>
      <w:r>
        <w:t>7.1. Projeção IPCA (Código Completo)</w:t>
      </w:r>
    </w:p>
    <w:p>
      <w:pPr>
        <w:spacing w:before="120" w:after="120"/>
        <w:ind w:left="567"/>
      </w:pPr>
      <w:r>
        <w:rPr>
          <w:rFonts w:ascii="Consolas" w:hAnsi="Consolas"/>
          <w:color w:val="2D2D2D"/>
          <w:sz w:val="16"/>
          <w:shd w:val="clear" w:color="auto" w:fill="F2F2F2"/>
        </w:rPr>
        <w:t>async function fetchIpcaProjection(): Promise&lt;{</w:t>
        <w:br/>
        <w:t xml:space="preserve">  value: number;</w:t>
        <w:br/>
        <w:t xml:space="preserve">  source: string;</w:t>
        <w:br/>
        <w:t>}&gt; {</w:t>
        <w:br/>
        <w:t xml:space="preserve">  try {</w:t>
        <w:br/>
        <w:t xml:space="preserve">    // Buscar expectativas mensais do IPCA no Relatório Focus</w:t>
        <w:br/>
        <w:t xml:space="preserve">    const olindaUrl = "https://olinda.bcb.gov.br/olinda/servico/"</w:t>
        <w:br/>
        <w:t xml:space="preserve">      + "Expectativas/versao/v1/odata/ExpectativaMercadoMensais?"</w:t>
        <w:br/>
        <w:t xml:space="preserve">      + "$filter=Indicador eq 'IPCA' and baseCalculo eq 0"</w:t>
        <w:br/>
        <w:t xml:space="preserve">      + "&amp;$orderby=DataReferencia asc&amp;$format=json";</w:t>
        <w:br/>
        <w:br/>
        <w:t xml:space="preserve">    const res = await fetch(olindaUrl, {</w:t>
        <w:br/>
        <w:t xml:space="preserve">      signal: AbortSignal.timeout(10000),</w:t>
        <w:br/>
        <w:t xml:space="preserve">    });</w:t>
        <w:br/>
        <w:t xml:space="preserve">    if (!res.ok) return { value: 0, source: "" };</w:t>
        <w:br/>
        <w:br/>
        <w:t xml:space="preserve">    const data = await res.json();</w:t>
        <w:br/>
        <w:t xml:space="preserve">    const entries = data?.value;</w:t>
        <w:br/>
        <w:t xml:space="preserve">    if (!Array.isArray(entries) || entries.length === 0) {</w:t>
        <w:br/>
        <w:t xml:space="preserve">      return { value: 0, source: "" };</w:t>
        <w:br/>
        <w:t xml:space="preserve">    }</w:t>
        <w:br/>
        <w:br/>
        <w:t xml:space="preserve">    // Determinar o mês atual no formato MM/AAAA</w:t>
        <w:br/>
        <w:t xml:space="preserve">    const now = new Date();</w:t>
        <w:br/>
        <w:t xml:space="preserve">    const currentRef = String(now.getMonth() + 1).padStart(2, "0")</w:t>
        <w:br/>
        <w:t xml:space="preserve">      + "/" + now.getFullYear();</w:t>
        <w:br/>
        <w:br/>
        <w:t xml:space="preserve">    // Filtrar apenas meses futuros com pelo menos 1 respondente</w:t>
        <w:br/>
        <w:t xml:space="preserve">    const futureEntries = entries.filter(</w:t>
        <w:br/>
        <w:t xml:space="preserve">      (e: any) =&gt;</w:t>
        <w:br/>
        <w:t xml:space="preserve">        e.DataReferencia &gt; currentRef &amp;&amp;</w:t>
        <w:br/>
        <w:t xml:space="preserve">        e.Mediana != null &amp;&amp;</w:t>
        <w:br/>
        <w:t xml:space="preserve">        e.numeroRespondentes &gt; 0</w:t>
        <w:br/>
        <w:t xml:space="preserve">    );</w:t>
        <w:br/>
        <w:br/>
        <w:t xml:space="preserve">    if (futureEntries.length &lt; 3) {</w:t>
        <w:br/>
        <w:t xml:space="preserve">      return { value: 0, source: "" };</w:t>
        <w:br/>
        <w:t xml:space="preserve">    }</w:t>
        <w:br/>
        <w:br/>
        <w:t xml:space="preserve">    // Calcular média das medianas dos próximos 12 meses disponíveis</w:t>
        <w:br/>
        <w:t xml:space="preserve">    const next12 = futureEntries.slice(0, 12);</w:t>
        <w:br/>
        <w:t xml:space="preserve">    const avgIpca = next12.reduce(</w:t>
        <w:br/>
        <w:t xml:space="preserve">      (sum: number, e: any) =&gt; sum + e.Mediana, 0</w:t>
        <w:br/>
        <w:t xml:space="preserve">    ) / next12.length;</w:t>
        <w:br/>
        <w:br/>
        <w:t xml:space="preserve">    // Validação de sanidade</w:t>
        <w:br/>
        <w:t xml:space="preserve">    if (avgIpca &lt; 0.1 || avgIpca &gt; 2.0) {</w:t>
        <w:br/>
        <w:t xml:space="preserve">      return { value: 0, source: "" };</w:t>
        <w:br/>
        <w:t xml:space="preserve">    }</w:t>
        <w:br/>
        <w:br/>
        <w:t xml:space="preserve">    const rounded = Math.round(avgIpca * 100000) / 100000;</w:t>
        <w:br/>
        <w:t xml:space="preserve">    const respondents = next12[0]?.numeroRespondentes || "?";</w:t>
        <w:br/>
        <w:br/>
        <w:t xml:space="preserve">    return {</w:t>
        <w:br/>
        <w:t xml:space="preserve">      value: rounded,</w:t>
        <w:br/>
        <w:t xml:space="preserve">      source: "Expectativa Focus IPCA ("</w:t>
        <w:br/>
        <w:t xml:space="preserve">        + next12.length + " meses, "</w:t>
        <w:br/>
        <w:t xml:space="preserve">        + respondents + " respondentes)",</w:t>
        <w:br/>
        <w:t xml:space="preserve">    };</w:t>
        <w:br/>
        <w:t xml:space="preserve">  } catch {</w:t>
        <w:br/>
        <w:t xml:space="preserve">    return { value: 0, source: "" };</w:t>
        <w:br/>
        <w:t xml:space="preserve">  }</w:t>
        <w:br/>
        <w:t>}</w:t>
      </w:r>
    </w:p>
    <w:p>
      <w:pPr>
        <w:pStyle w:val="Heading2"/>
      </w:pPr>
      <w:r>
        <w:t>7.2. Coleta de Dados Históricos do IPCA</w:t>
      </w:r>
    </w:p>
    <w:p>
      <w:pPr>
        <w:spacing w:before="120" w:after="120"/>
        <w:ind w:left="567"/>
      </w:pPr>
      <w:r>
        <w:rPr>
          <w:rFonts w:ascii="Consolas" w:hAnsi="Consolas"/>
          <w:color w:val="2D2D2D"/>
          <w:sz w:val="16"/>
          <w:shd w:val="clear" w:color="auto" w:fill="F2F2F2"/>
        </w:rPr>
        <w:t>// Bacen SGS série 433 — IPCA variação mensal (IBGE)</w:t>
        <w:br/>
        <w:t>async function fetchIpcaLast60Months(): Promise&lt;number[]&gt; {</w:t>
        <w:br/>
        <w:t xml:space="preserve">  try {</w:t>
        <w:br/>
        <w:t xml:space="preserve">    const endDate = new Date();</w:t>
        <w:br/>
        <w:t xml:space="preserve">    const startDate = new Date();</w:t>
        <w:br/>
        <w:t xml:space="preserve">    startDate.setMonth(startDate.getMonth() - 65);</w:t>
        <w:br/>
        <w:br/>
        <w:t xml:space="preserve">    const url = "https://api.bcb.gov.br/dados/serie/bcdata.sgs"</w:t>
        <w:br/>
        <w:t xml:space="preserve">      + ".433/dados?formato=json&amp;dataInicial="</w:t>
        <w:br/>
        <w:t xml:space="preserve">      + formatBacenDate(startDate) + "&amp;dataFinal="</w:t>
        <w:br/>
        <w:t xml:space="preserve">      + formatBacenDate(endDate);</w:t>
        <w:br/>
        <w:br/>
        <w:t xml:space="preserve">    const res = await fetch(url, {</w:t>
        <w:br/>
        <w:t xml:space="preserve">      signal: AbortSignal.timeout(10000),</w:t>
        <w:br/>
        <w:t xml:space="preserve">    });</w:t>
        <w:br/>
        <w:br/>
        <w:t xml:space="preserve">    if (!res.ok) return [];</w:t>
        <w:br/>
        <w:br/>
        <w:t xml:space="preserve">    const raw = await res.json();</w:t>
        <w:br/>
        <w:t xml:space="preserve">    if (!Array.isArray(raw) || raw.length &lt; 24) return [];</w:t>
        <w:br/>
        <w:br/>
        <w:t xml:space="preserve">    const values = raw</w:t>
        <w:br/>
        <w:t xml:space="preserve">      .map((item: any) =&gt; parseFloat(item.valor))</w:t>
        <w:br/>
        <w:t xml:space="preserve">      .filter((v: number) =&gt; !isNaN(v));</w:t>
        <w:br/>
        <w:br/>
        <w:t xml:space="preserve">    return values.slice(-60);</w:t>
        <w:br/>
        <w:t xml:space="preserve">  } catch {</w:t>
        <w:br/>
        <w:t xml:space="preserve">    return [];</w:t>
        <w:br/>
        <w:t xml:space="preserve">  }</w:t>
        <w:br/>
        <w:t>}</w:t>
      </w:r>
    </w:p>
    <w:p>
      <w:pPr>
        <w:pStyle w:val="Heading2"/>
      </w:pPr>
      <w:r>
        <w:t>7.3. Handler GET com IPCA</w:t>
      </w:r>
    </w:p>
    <w:p>
      <w:pPr>
        <w:spacing w:before="120" w:after="120"/>
        <w:ind w:left="567"/>
      </w:pPr>
      <w:r>
        <w:rPr>
          <w:rFonts w:ascii="Consolas" w:hAnsi="Consolas"/>
          <w:color w:val="2D2D2D"/>
          <w:sz w:val="16"/>
          <w:shd w:val="clear" w:color="auto" w:fill="F2F2F2"/>
        </w:rPr>
        <w:t>export async function GET() {</w:t>
        <w:br/>
        <w:t xml:space="preserve">  // Verificar cache</w:t>
        <w:br/>
        <w:t xml:space="preserve">  if (cache.data &amp;&amp; Date.now() - cache.timestamp &lt; CACHE_TTL_MS) {</w:t>
        <w:br/>
        <w:t xml:space="preserve">    return NextResponse.json(cache.data);</w:t>
        <w:br/>
        <w:t xml:space="preserve">  }</w:t>
        <w:br/>
        <w:br/>
        <w:t xml:space="preserve">  // 1) Dados históricos INCC (brasilindicadores → Bacen 192 → fallback)</w:t>
        <w:br/>
        <w:t xml:space="preserve">  let result = await fetchINCCmFromBrasilIndicadores();</w:t>
        <w:br/>
        <w:t xml:space="preserve">  if (!result) result = await fetchINCCdFromBacen();</w:t>
        <w:br/>
        <w:t xml:space="preserve">  if (!result) result = getStaticFallback();</w:t>
        <w:br/>
        <w:br/>
        <w:t xml:space="preserve">  // 2) Dados históricos IPCA (Bacen SGS 433)</w:t>
        <w:br/>
        <w:t xml:space="preserve">  const ipcaValues = await fetchIpcaLast60Months();</w:t>
        <w:br/>
        <w:t xml:space="preserve">  const ipcaAvg12 = ipcaValues.length &gt;= 12</w:t>
        <w:br/>
        <w:t xml:space="preserve">    ? Math.round(</w:t>
        <w:br/>
        <w:t xml:space="preserve">        ipcaValues.slice(-12).reduce((s,v) =&gt; s+v, 0) / 12 * 10000</w:t>
        <w:br/>
        <w:t xml:space="preserve">      ) / 10000</w:t>
        <w:br/>
        <w:t xml:space="preserve">    : 0;</w:t>
        <w:br/>
        <w:br/>
        <w:t xml:space="preserve">  // 3) Projeção INCC via expectativas IGP-M (Olinda)</w:t>
        <w:br/>
        <w:t xml:space="preserve">  const inccProjection = await fetchInccProjection();</w:t>
        <w:br/>
        <w:t xml:space="preserve">  result.projection = inccProjection.value &gt; 0</w:t>
        <w:br/>
        <w:t xml:space="preserve">    ? inccProjection.value</w:t>
        <w:br/>
        <w:t xml:space="preserve">    : result.avg12; // fallback: média 12m</w:t>
        <w:br/>
        <w:t xml:space="preserve">  result.projectionSource = inccProjection.source</w:t>
        <w:br/>
        <w:t xml:space="preserve">    || "Média dos últimos 12 meses (expectativas indisponíveis)";</w:t>
        <w:br/>
        <w:br/>
        <w:t xml:space="preserve">  // 4) Projeção IPCA via expectativas diretas (Olinda)</w:t>
        <w:br/>
        <w:t xml:space="preserve">  const ipcaProjection = await fetchIpcaProjection();</w:t>
        <w:br/>
        <w:t xml:space="preserve">  const finalIpca = ipcaProjection.value &gt; 0</w:t>
        <w:br/>
        <w:t xml:space="preserve">    ? ipcaProjection.value</w:t>
        <w:br/>
        <w:t xml:space="preserve">    : ipcaAvg12; // fallback: média histórica 12m</w:t>
        <w:br/>
        <w:t xml:space="preserve">  const finalIpcaSource = ipcaProjection.source</w:t>
        <w:br/>
        <w:t xml:space="preserve">    || "Média dos últimos 12 meses (expectativas indisponíveis)";</w:t>
        <w:br/>
        <w:br/>
        <w:t xml:space="preserve">  // Montar resposta</w:t>
        <w:br/>
        <w:t xml:space="preserve">  cache.data = {</w:t>
        <w:br/>
        <w:t xml:space="preserve">    ...result,</w:t>
        <w:br/>
        <w:t xml:space="preserve">    ipcaProjection: finalIpca,</w:t>
        <w:br/>
        <w:t xml:space="preserve">    ipcaProjectionSource: finalIpcaSource,</w:t>
        <w:br/>
        <w:t xml:space="preserve">    ipcaAvg12,</w:t>
        <w:br/>
        <w:t xml:space="preserve">  };</w:t>
        <w:br/>
        <w:t xml:space="preserve">  cache.timestamp = Date.now();</w:t>
        <w:br/>
        <w:br/>
        <w:t xml:space="preserve">  return NextResponse.json(cache.data);</w:t>
        <w:br/>
        <w:t>}</w:t>
      </w:r>
    </w:p>
    <w:p>
      <w:pPr>
        <w:pStyle w:val="Heading1"/>
      </w:pPr>
      <w:r>
        <w:t>8. Armadilhas Comuns e Pitfalls</w:t>
      </w:r>
    </w:p>
    <w:p>
      <w:pPr>
        <w:pStyle w:val="Heading2"/>
      </w:pPr>
      <w:r>
        <w:t>8.1. Conversão de Taxa Anual para Mensal</w:t>
      </w:r>
    </w:p>
    <w:p>
      <w:r>
        <w:t>Ao converter uma expectativa anual em média mensal, NÃO utilize a fórmula de juros compostos Math.pow(1 + taxa/100, 1/12) - 1. Embora essa fórmula seja matematicamente correta para converter entre regimes de capitalização, ela produz valores extremamente baixos quando aplicada a taxas anuais de pontos percentuais (ex: 4.19% a.a. resulta em 0.0034%, não 0.342%). O motivo é que o campo Mediana da API Olinda já está em pontos percentuais (4.19, não 0.0419). Use divisão simples por 12: taxa_mensal = taxa_anual / 12. Isso mantém consistência com as médias mensais históricas.</w:t>
      </w:r>
    </w:p>
    <w:p>
      <w:pPr>
        <w:pStyle w:val="Heading2"/>
      </w:pPr>
      <w:r>
        <w:t>8.2. Séries Bacen SGS — Identificação Correta</w:t>
      </w:r>
    </w:p>
    <w:p>
      <w:r>
        <w:t>O Bacen SGS possui MILHARES de séries, e identificar a série correta é fundamental. Séries erradas produzem resultados plausíveis mas incorretos. Cuidados: (a) série 10844 NÃO é INCC-M, é IPCA-Serviços; (b) série 28655 NÃO é INCC; (c) série 192 é INCC-DI (Disponibilidade Interna), que é diferente do INCC-M mas suficientemente próximo como fallback; (d) série 189 é IGP-M variação mensal; (e) série 433 é IPCA variação mensal. Sempre valide os dados comparando com valores conhecidos (ex: IPCA de abril/2026 foi 0.67%, IGP-M foi 2.73%).</w:t>
      </w:r>
    </w:p>
    <w:p>
      <w:pPr>
        <w:pStyle w:val="Heading2"/>
      </w:pPr>
      <w:r>
        <w:t>8.3. Brasilindicadores — Fragilidade do Scraping</w:t>
      </w:r>
    </w:p>
    <w:p>
      <w:r>
        <w:t>O scraping de brasilindicadores.com.br é a parte mais frágil do sistema porque depende da estrutura HTML da página, que pode mudar sem aviso. Mitigações: (a) sempre ter o Bacen SGS série 192 como fallback; (b) validar a sanidade dos dados extraídos (média geral entre 0.1% e 2%); (c) não depender exclusivamente desta fonte. O header X-Requested-With: XMLHttpRequest é obrigatório — sem ele, o servidor pode retornar a página HTML completa em vez do fragmento AJAX com a tabela de dados.</w:t>
      </w:r>
    </w:p>
    <w:p>
      <w:pPr>
        <w:pStyle w:val="Heading2"/>
      </w:pPr>
      <w:r>
        <w:t>8.4. API Olinda — Paginação e Filtros</w:t>
      </w:r>
    </w:p>
    <w:p>
      <w:r>
        <w:t>A API Olinda suporta filtros OData padrão. Cuidados: (a) o caractere $ nos parâmetros OData ($filter, $top, $orderby, $format) deve ser escapado como \$ em strings template do JavaScript, mas não precisa de escape em URLs literais; (b) aspas simples nos valores de filtro (eq 'IPCA') devem ser escapadas adequadamente; (c) o parâmetro baseCalculo=0 retorna todas as instituições, enquanto baseCalculo=1 exclui outliers (recomendado para suavização); (d) o endpoint ExpectativaMercadoMensais retorna dados cumulativos — é necessário filtrar por DataReferencia para obter apenas meses futuros; (e) ordenar por Data desc e pegar o primeiro registro para obter a expectativa mais recente.</w:t>
      </w:r>
    </w:p>
    <w:p>
      <w:pPr>
        <w:pStyle w:val="Heading2"/>
      </w:pPr>
      <w:r>
        <w:t>8.5. Timeout e Resiliência</w:t>
      </w:r>
    </w:p>
    <w:p>
      <w:r>
        <w:t>Todas as chamadas fetch externas devem utilizar AbortSignal.timeout() com timeout de 10-15 segundos. As APIs do Bacen (SGS e Olinda) podem ser lentas em horários de pico. O cache de 6 horas reduz a frequência de chamadas externas. Se todas as fontes falharem, o sistema deve degradar graciosamente para valores estáticos verificados manualmente, sem gerar erros no frontend.</w:t>
      </w:r>
    </w:p>
    <w:p>
      <w:pPr>
        <w:pStyle w:val="Heading1"/>
      </w:pPr>
      <w:r>
        <w:t>9. Integração no Frontend</w:t>
      </w:r>
    </w:p>
    <w:p>
      <w:r>
        <w:t>No frontend (React/Next.js), a integração segue o padrão de estado gerenciado com useState e useEffect. O componente deve buscar os dados da API ao montar, exibir as opções de correção (sem correção, média 180 meses, média 12 meses, projeção de mercado) como radio buttons, e recalcular os resultados automaticamente quando a opção selecionada muda. A projeção deve exibir o campo projectionSource como tooltip ou texto auxiliar quando o usuário seleciona a opção de projeção, proporcionando transparência sobre a origem do valor utilizado.</w:t>
      </w:r>
    </w:p>
    <w:p>
      <w:r>
        <w:t>O tipo InccMode deve ser expandido para incluir a opção de projeção: "none" | "180m" | "12m" | "projection". A interface InccData deve incluir os campos projection (number), projectionSource (string), e, se aplicável, ipcaProjection e ipcaProjectionSource. A função getInccMonthlyRate() deve retornar o valor correspondente ao modo selecionado. No PDF gerado, a seção de correção INCC deve indicar qual modo foi utilizado e o valor da taxa aplicada, juntamente com a fonte quando for projeção de mercado.</w:t>
      </w:r>
    </w:p>
    <w:p>
      <w:pPr>
        <w:pStyle w:val="Heading1"/>
      </w:pPr>
      <w:r>
        <w:t>10. Referência Rápida de Endpoints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Finalidade</w:t>
            </w:r>
          </w:p>
        </w:tc>
        <w:tc>
          <w:tcPr>
            <w:tcW w:type="dxa" w:w="2880"/>
          </w:tcPr>
          <w:p>
            <w:pPr>
              <w:jc w:val="center"/>
            </w:pPr>
            <w:r>
              <w:rPr>
                <w:b/>
                <w:sz w:val="18"/>
              </w:rPr>
              <w:t>URL / Parâmetros</w:t>
            </w:r>
          </w:p>
        </w:tc>
        <w:tc>
          <w:tcPr>
            <w:tcW w:type="dxa" w:w="2880"/>
          </w:tcPr>
          <w:p>
            <w:pPr>
              <w:jc w:val="center"/>
            </w:pPr>
            <w:r>
              <w:rPr>
                <w:b/>
                <w:sz w:val="18"/>
              </w:rPr>
              <w:t>Response</w:t>
            </w:r>
          </w:p>
        </w:tc>
      </w:tr>
      <w:tr>
        <w:tc>
          <w:tcPr>
            <w:tcW w:type="dxa" w:w="2880"/>
          </w:tcPr>
          <w:p>
            <w:r>
              <w:rPr>
                <w:sz w:val="18"/>
              </w:rPr>
              <w:t>INCC-M histórico</w:t>
            </w:r>
          </w:p>
        </w:tc>
        <w:tc>
          <w:tcPr>
            <w:tcW w:type="dxa" w:w="2880"/>
          </w:tcPr>
          <w:p>
            <w:r>
              <w:rPr>
                <w:sz w:val="18"/>
              </w:rPr>
              <w:t>brasilindicadores.com.br/incc-m?handler=HistoricoValoresIndicadorPartial</w:t>
            </w:r>
          </w:p>
        </w:tc>
        <w:tc>
          <w:tcPr>
            <w:tcW w:type="dxa" w:w="2880"/>
          </w:tcPr>
          <w:p>
            <w:r>
              <w:rPr>
                <w:sz w:val="18"/>
              </w:rPr>
              <w:t>HTML &lt;table&gt;</w:t>
            </w:r>
          </w:p>
        </w:tc>
      </w:tr>
      <w:tr>
        <w:tc>
          <w:tcPr>
            <w:tcW w:type="dxa" w:w="2880"/>
          </w:tcPr>
          <w:p>
            <w:r>
              <w:rPr>
                <w:sz w:val="18"/>
              </w:rPr>
              <w:t>INCC-DI histórico (Bacen)</w:t>
            </w:r>
          </w:p>
        </w:tc>
        <w:tc>
          <w:tcPr>
            <w:tcW w:type="dxa" w:w="2880"/>
          </w:tcPr>
          <w:p>
            <w:r>
              <w:rPr>
                <w:sz w:val="18"/>
              </w:rPr>
              <w:t>api.bcb.gov.br/dados/serie/bcdata.sgs.192/dados</w:t>
            </w:r>
          </w:p>
        </w:tc>
        <w:tc>
          <w:tcPr>
            <w:tcW w:type="dxa" w:w="2880"/>
          </w:tcPr>
          <w:p>
            <w:r>
              <w:rPr>
                <w:sz w:val="18"/>
              </w:rPr>
              <w:t>JSON [{data, valor}]</w:t>
            </w:r>
          </w:p>
        </w:tc>
      </w:tr>
      <w:tr>
        <w:tc>
          <w:tcPr>
            <w:tcW w:type="dxa" w:w="2880"/>
          </w:tcPr>
          <w:p>
            <w:r>
              <w:rPr>
                <w:sz w:val="18"/>
              </w:rPr>
              <w:t>IGP-M histórico (Bacen)</w:t>
            </w:r>
          </w:p>
        </w:tc>
        <w:tc>
          <w:tcPr>
            <w:tcW w:type="dxa" w:w="2880"/>
          </w:tcPr>
          <w:p>
            <w:r>
              <w:rPr>
                <w:sz w:val="18"/>
              </w:rPr>
              <w:t>api.bcb.gov.br/dados/serie/bcdata.sgs.189/dados</w:t>
            </w:r>
          </w:p>
        </w:tc>
        <w:tc>
          <w:tcPr>
            <w:tcW w:type="dxa" w:w="2880"/>
          </w:tcPr>
          <w:p>
            <w:r>
              <w:rPr>
                <w:sz w:val="18"/>
              </w:rPr>
              <w:t>JSON [{data, valor}]</w:t>
            </w:r>
          </w:p>
        </w:tc>
      </w:tr>
      <w:tr>
        <w:tc>
          <w:tcPr>
            <w:tcW w:type="dxa" w:w="2880"/>
          </w:tcPr>
          <w:p>
            <w:r>
              <w:rPr>
                <w:sz w:val="18"/>
              </w:rPr>
              <w:t>IPCA histórico (Bacen)</w:t>
            </w:r>
          </w:p>
        </w:tc>
        <w:tc>
          <w:tcPr>
            <w:tcW w:type="dxa" w:w="2880"/>
          </w:tcPr>
          <w:p>
            <w:r>
              <w:rPr>
                <w:sz w:val="18"/>
              </w:rPr>
              <w:t>api.bcb.gov.br/dados/serie/bcdata.sgs.433/dados</w:t>
            </w:r>
          </w:p>
        </w:tc>
        <w:tc>
          <w:tcPr>
            <w:tcW w:type="dxa" w:w="2880"/>
          </w:tcPr>
          <w:p>
            <w:r>
              <w:rPr>
                <w:sz w:val="18"/>
              </w:rPr>
              <w:t>JSON [{data, valor}]</w:t>
            </w:r>
          </w:p>
        </w:tc>
      </w:tr>
      <w:tr>
        <w:tc>
          <w:tcPr>
            <w:tcW w:type="dxa" w:w="2880"/>
          </w:tcPr>
          <w:p>
            <w:r>
              <w:rPr>
                <w:sz w:val="18"/>
              </w:rPr>
              <w:t>Expectativa IGP-M 12m</w:t>
            </w:r>
          </w:p>
        </w:tc>
        <w:tc>
          <w:tcPr>
            <w:tcW w:type="dxa" w:w="2880"/>
          </w:tcPr>
          <w:p>
            <w:r>
              <w:rPr>
                <w:sz w:val="18"/>
              </w:rPr>
              <w:t>olinda...ExpectativasMercadoInflacao12Meses</w:t>
            </w:r>
          </w:p>
        </w:tc>
        <w:tc>
          <w:tcPr>
            <w:tcW w:type="dxa" w:w="2880"/>
          </w:tcPr>
          <w:p>
            <w:r>
              <w:rPr>
                <w:sz w:val="18"/>
              </w:rPr>
              <w:t>JSON [{Mediana, ...}]</w:t>
            </w:r>
          </w:p>
        </w:tc>
      </w:tr>
      <w:tr>
        <w:tc>
          <w:tcPr>
            <w:tcW w:type="dxa" w:w="2880"/>
          </w:tcPr>
          <w:p>
            <w:r>
              <w:rPr>
                <w:sz w:val="18"/>
              </w:rPr>
              <w:t>Expectativa IPCA mensal</w:t>
            </w:r>
          </w:p>
        </w:tc>
        <w:tc>
          <w:tcPr>
            <w:tcW w:type="dxa" w:w="2880"/>
          </w:tcPr>
          <w:p>
            <w:r>
              <w:rPr>
                <w:sz w:val="18"/>
              </w:rPr>
              <w:t>olinda...ExpectativaMercadoMensais (IPCA)</w:t>
            </w:r>
          </w:p>
        </w:tc>
        <w:tc>
          <w:tcPr>
            <w:tcW w:type="dxa" w:w="2880"/>
          </w:tcPr>
          <w:p>
            <w:r>
              <w:rPr>
                <w:sz w:val="18"/>
              </w:rPr>
              <w:t>JSON [{Mediana, DataReferencia}]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3C6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