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1FAA57" w14:textId="77777777" w:rsidR="00B874B0" w:rsidRDefault="00000000">
      <w:pPr>
        <w:spacing w:before="2400" w:after="200"/>
        <w:jc w:val="center"/>
      </w:pPr>
      <w:r>
        <w:rPr>
          <w:b/>
          <w:bCs/>
          <w:color w:val="7A1F2B"/>
          <w:sz w:val="44"/>
          <w:szCs w:val="44"/>
        </w:rPr>
        <w:t>CURADORIA DE JURISPRUDÊNCIA</w:t>
      </w:r>
    </w:p>
    <w:p w14:paraId="57D68885" w14:textId="77777777" w:rsidR="00B874B0" w:rsidRDefault="00000000">
      <w:pPr>
        <w:spacing w:after="120"/>
        <w:jc w:val="center"/>
      </w:pPr>
      <w:r>
        <w:rPr>
          <w:b/>
          <w:bCs/>
          <w:color w:val="A9762F"/>
          <w:sz w:val="32"/>
          <w:szCs w:val="32"/>
        </w:rPr>
        <w:t>DIREITO CIVIL — DIREITO DE FAMÍLIA</w:t>
      </w:r>
    </w:p>
    <w:p w14:paraId="5C404A01" w14:textId="77777777" w:rsidR="00B874B0" w:rsidRDefault="00000000">
      <w:pPr>
        <w:spacing w:after="400"/>
        <w:jc w:val="center"/>
      </w:pPr>
      <w:r>
        <w:rPr>
          <w:color w:val="555555"/>
          <w:sz w:val="24"/>
          <w:szCs w:val="24"/>
        </w:rPr>
        <w:t>Preparação para Concursos de Magistratura Estadual — Banca FGV</w:t>
      </w:r>
    </w:p>
    <w:p w14:paraId="2963F396" w14:textId="77777777" w:rsidR="00B874B0" w:rsidRDefault="00000000">
      <w:pPr>
        <w:spacing w:after="60"/>
        <w:jc w:val="center"/>
      </w:pPr>
      <w:r>
        <w:rPr>
          <w:sz w:val="22"/>
          <w:szCs w:val="22"/>
        </w:rPr>
        <w:t>Jurisprudência do STF e do STJ publicada entre junho de 2021 e julho de 2026</w:t>
      </w:r>
    </w:p>
    <w:p w14:paraId="7A84988E" w14:textId="77777777" w:rsidR="00B874B0" w:rsidRDefault="00000000">
      <w:pPr>
        <w:spacing w:after="60"/>
        <w:jc w:val="center"/>
      </w:pPr>
      <w:r>
        <w:rPr>
          <w:i/>
          <w:iCs/>
          <w:color w:val="555555"/>
          <w:sz w:val="20"/>
          <w:szCs w:val="20"/>
        </w:rPr>
        <w:t>Fonte: Buscador Dizer o Direito (buscadordizerodireito.com.br)</w:t>
      </w:r>
    </w:p>
    <w:p w14:paraId="4BDD8256" w14:textId="77777777" w:rsidR="00B874B0" w:rsidRDefault="00000000">
      <w:pPr>
        <w:spacing w:before="800"/>
        <w:jc w:val="center"/>
      </w:pPr>
      <w:r>
        <w:rPr>
          <w:color w:val="555555"/>
          <w:sz w:val="20"/>
          <w:szCs w:val="20"/>
        </w:rPr>
        <w:t>Data da curadoria: 12/07/2026</w:t>
      </w:r>
    </w:p>
    <w:p w14:paraId="0BDDF5BC" w14:textId="77777777" w:rsidR="00B874B0" w:rsidRDefault="00000000">
      <w:r>
        <w:br w:type="page"/>
      </w:r>
    </w:p>
    <w:p w14:paraId="5D28F4A1" w14:textId="77777777" w:rsidR="00B874B0" w:rsidRDefault="00000000">
      <w:pPr>
        <w:pStyle w:val="Ttulo1"/>
        <w:spacing w:after="200"/>
      </w:pPr>
      <w:bookmarkStart w:id="0" w:name="_Toc236570054"/>
      <w:r>
        <w:lastRenderedPageBreak/>
        <w:t>ÍNDICE NAVEGÁVEL</w:t>
      </w:r>
      <w:bookmarkEnd w:id="0"/>
    </w:p>
    <w:p w14:paraId="073D9B55" w14:textId="77777777" w:rsidR="00B874B0" w:rsidRDefault="00000000">
      <w:pPr>
        <w:spacing w:after="200"/>
      </w:pPr>
      <w:r>
        <w:rPr>
          <w:i/>
          <w:iCs/>
          <w:color w:val="555555"/>
          <w:sz w:val="20"/>
          <w:szCs w:val="20"/>
        </w:rPr>
        <w:t>Sumário automático — no Word, clique com o botão direito sobre a lista abaixo e escolha "Atualizar campo" (ou F9) para gerar/atualizar a numeração de páginas.</w:t>
      </w:r>
    </w:p>
    <w:sdt>
      <w:sdtPr>
        <w:alias w:val="Sumário"/>
        <w:id w:val="-1739629302"/>
      </w:sdtPr>
      <w:sdtContent>
        <w:p w14:paraId="617CD35C" w14:textId="7ACAC34F" w:rsidR="00B21702" w:rsidRDefault="00000000">
          <w:pPr>
            <w:pStyle w:val="ndice1"/>
            <w:tabs>
              <w:tab w:val="right" w:leader="dot" w:pos="9736"/>
            </w:tabs>
            <w:rPr>
              <w:noProof/>
            </w:rPr>
          </w:pPr>
          <w:r>
            <w:fldChar w:fldCharType="begin"/>
          </w:r>
          <w:r>
            <w:instrText>TOC \h \o "1-3"</w:instrText>
          </w:r>
          <w:r>
            <w:fldChar w:fldCharType="separate"/>
          </w:r>
          <w:hyperlink w:anchor="_Toc236570054" w:history="1">
            <w:r w:rsidR="00B21702" w:rsidRPr="00BB52AA">
              <w:rPr>
                <w:rStyle w:val="Hiperligao"/>
                <w:noProof/>
              </w:rPr>
              <w:t>ÍNDICE NAVEGÁVEL</w:t>
            </w:r>
            <w:r w:rsidR="00B21702">
              <w:rPr>
                <w:noProof/>
              </w:rPr>
              <w:tab/>
            </w:r>
            <w:r w:rsidR="00B21702">
              <w:rPr>
                <w:noProof/>
              </w:rPr>
              <w:fldChar w:fldCharType="begin"/>
            </w:r>
            <w:r w:rsidR="00B21702">
              <w:rPr>
                <w:noProof/>
              </w:rPr>
              <w:instrText xml:space="preserve"> PAGEREF _Toc236570054 \h </w:instrText>
            </w:r>
            <w:r w:rsidR="00B21702">
              <w:rPr>
                <w:noProof/>
              </w:rPr>
            </w:r>
            <w:r w:rsidR="00B21702">
              <w:rPr>
                <w:noProof/>
              </w:rPr>
              <w:fldChar w:fldCharType="separate"/>
            </w:r>
            <w:r w:rsidR="00B21702">
              <w:rPr>
                <w:noProof/>
              </w:rPr>
              <w:t>2</w:t>
            </w:r>
            <w:r w:rsidR="00B21702">
              <w:rPr>
                <w:noProof/>
              </w:rPr>
              <w:fldChar w:fldCharType="end"/>
            </w:r>
          </w:hyperlink>
        </w:p>
        <w:p w14:paraId="0CC55534" w14:textId="740E7DC4" w:rsidR="00B21702" w:rsidRDefault="00B21702">
          <w:pPr>
            <w:pStyle w:val="ndice1"/>
            <w:tabs>
              <w:tab w:val="right" w:leader="dot" w:pos="9736"/>
            </w:tabs>
            <w:rPr>
              <w:noProof/>
            </w:rPr>
          </w:pPr>
          <w:hyperlink w:anchor="_Toc236570055" w:history="1">
            <w:r w:rsidRPr="00BB52AA">
              <w:rPr>
                <w:rStyle w:val="Hiperligao"/>
                <w:noProof/>
              </w:rPr>
              <w:t>I. CASAMENTO, REGIME DE BENS E UNIÃO ESTÁVEL</w:t>
            </w:r>
            <w:r>
              <w:rPr>
                <w:noProof/>
              </w:rPr>
              <w:tab/>
            </w:r>
            <w:r>
              <w:rPr>
                <w:noProof/>
              </w:rPr>
              <w:fldChar w:fldCharType="begin"/>
            </w:r>
            <w:r>
              <w:rPr>
                <w:noProof/>
              </w:rPr>
              <w:instrText xml:space="preserve"> PAGEREF _Toc236570055 \h </w:instrText>
            </w:r>
            <w:r>
              <w:rPr>
                <w:noProof/>
              </w:rPr>
            </w:r>
            <w:r>
              <w:rPr>
                <w:noProof/>
              </w:rPr>
              <w:fldChar w:fldCharType="separate"/>
            </w:r>
            <w:r>
              <w:rPr>
                <w:noProof/>
              </w:rPr>
              <w:t>6</w:t>
            </w:r>
            <w:r>
              <w:rPr>
                <w:noProof/>
              </w:rPr>
              <w:fldChar w:fldCharType="end"/>
            </w:r>
          </w:hyperlink>
        </w:p>
        <w:p w14:paraId="09626B22" w14:textId="58CE0952" w:rsidR="00B21702" w:rsidRDefault="00B21702">
          <w:pPr>
            <w:pStyle w:val="ndice2"/>
            <w:tabs>
              <w:tab w:val="right" w:leader="dot" w:pos="9736"/>
            </w:tabs>
            <w:rPr>
              <w:noProof/>
            </w:rPr>
          </w:pPr>
          <w:hyperlink w:anchor="_Toc236570056" w:history="1">
            <w:r w:rsidRPr="00BB52AA">
              <w:rPr>
                <w:rStyle w:val="Hiperligao"/>
                <w:noProof/>
              </w:rPr>
              <w:t>CASAMENTO</w:t>
            </w:r>
            <w:r>
              <w:rPr>
                <w:noProof/>
              </w:rPr>
              <w:tab/>
            </w:r>
            <w:r>
              <w:rPr>
                <w:noProof/>
              </w:rPr>
              <w:fldChar w:fldCharType="begin"/>
            </w:r>
            <w:r>
              <w:rPr>
                <w:noProof/>
              </w:rPr>
              <w:instrText xml:space="preserve"> PAGEREF _Toc236570056 \h </w:instrText>
            </w:r>
            <w:r>
              <w:rPr>
                <w:noProof/>
              </w:rPr>
            </w:r>
            <w:r>
              <w:rPr>
                <w:noProof/>
              </w:rPr>
              <w:fldChar w:fldCharType="separate"/>
            </w:r>
            <w:r>
              <w:rPr>
                <w:noProof/>
              </w:rPr>
              <w:t>6</w:t>
            </w:r>
            <w:r>
              <w:rPr>
                <w:noProof/>
              </w:rPr>
              <w:fldChar w:fldCharType="end"/>
            </w:r>
          </w:hyperlink>
        </w:p>
        <w:p w14:paraId="1FB4B685" w14:textId="3BF9B920" w:rsidR="00B21702" w:rsidRDefault="00B21702">
          <w:pPr>
            <w:pStyle w:val="ndice3"/>
            <w:tabs>
              <w:tab w:val="right" w:leader="dot" w:pos="9736"/>
            </w:tabs>
            <w:rPr>
              <w:noProof/>
            </w:rPr>
          </w:pPr>
          <w:hyperlink w:anchor="_Toc236570057" w:history="1">
            <w:r w:rsidRPr="00BB52AA">
              <w:rPr>
                <w:rStyle w:val="Hiperligao"/>
                <w:noProof/>
              </w:rPr>
              <w:t>Casamento nuncupativo — flexibilização do prazo de 10 dias para as testemunhas comparecerem ao juiz</w:t>
            </w:r>
            <w:r>
              <w:rPr>
                <w:noProof/>
              </w:rPr>
              <w:tab/>
            </w:r>
            <w:r>
              <w:rPr>
                <w:noProof/>
              </w:rPr>
              <w:fldChar w:fldCharType="begin"/>
            </w:r>
            <w:r>
              <w:rPr>
                <w:noProof/>
              </w:rPr>
              <w:instrText xml:space="preserve"> PAGEREF _Toc236570057 \h </w:instrText>
            </w:r>
            <w:r>
              <w:rPr>
                <w:noProof/>
              </w:rPr>
            </w:r>
            <w:r>
              <w:rPr>
                <w:noProof/>
              </w:rPr>
              <w:fldChar w:fldCharType="separate"/>
            </w:r>
            <w:r>
              <w:rPr>
                <w:noProof/>
              </w:rPr>
              <w:t>6</w:t>
            </w:r>
            <w:r>
              <w:rPr>
                <w:noProof/>
              </w:rPr>
              <w:fldChar w:fldCharType="end"/>
            </w:r>
          </w:hyperlink>
        </w:p>
        <w:p w14:paraId="72CAC483" w14:textId="0B70501D" w:rsidR="00B21702" w:rsidRDefault="00B21702">
          <w:pPr>
            <w:pStyle w:val="ndice3"/>
            <w:tabs>
              <w:tab w:val="right" w:leader="dot" w:pos="9736"/>
            </w:tabs>
            <w:rPr>
              <w:noProof/>
            </w:rPr>
          </w:pPr>
          <w:hyperlink w:anchor="_Toc236570058" w:history="1">
            <w:r w:rsidRPr="00BB52AA">
              <w:rPr>
                <w:rStyle w:val="Hiperligao"/>
                <w:noProof/>
              </w:rPr>
              <w:t>Extinção da separação judicial como figura autônoma após a EC 66/2010 — Tema 1053</w:t>
            </w:r>
            <w:r>
              <w:rPr>
                <w:noProof/>
              </w:rPr>
              <w:tab/>
            </w:r>
            <w:r>
              <w:rPr>
                <w:noProof/>
              </w:rPr>
              <w:fldChar w:fldCharType="begin"/>
            </w:r>
            <w:r>
              <w:rPr>
                <w:noProof/>
              </w:rPr>
              <w:instrText xml:space="preserve"> PAGEREF _Toc236570058 \h </w:instrText>
            </w:r>
            <w:r>
              <w:rPr>
                <w:noProof/>
              </w:rPr>
            </w:r>
            <w:r>
              <w:rPr>
                <w:noProof/>
              </w:rPr>
              <w:fldChar w:fldCharType="separate"/>
            </w:r>
            <w:r>
              <w:rPr>
                <w:noProof/>
              </w:rPr>
              <w:t>6</w:t>
            </w:r>
            <w:r>
              <w:rPr>
                <w:noProof/>
              </w:rPr>
              <w:fldChar w:fldCharType="end"/>
            </w:r>
          </w:hyperlink>
        </w:p>
        <w:p w14:paraId="67E1B845" w14:textId="0C798575" w:rsidR="00B21702" w:rsidRDefault="00B21702">
          <w:pPr>
            <w:pStyle w:val="ndice3"/>
            <w:tabs>
              <w:tab w:val="right" w:leader="dot" w:pos="9736"/>
            </w:tabs>
            <w:rPr>
              <w:noProof/>
            </w:rPr>
          </w:pPr>
          <w:hyperlink w:anchor="_Toc236570059" w:history="1">
            <w:r w:rsidRPr="00BB52AA">
              <w:rPr>
                <w:rStyle w:val="Hiperligao"/>
                <w:noProof/>
              </w:rPr>
              <w:t>Divórcio post mortem — autor falece no curso do processo</w:t>
            </w:r>
            <w:r>
              <w:rPr>
                <w:noProof/>
              </w:rPr>
              <w:tab/>
            </w:r>
            <w:r>
              <w:rPr>
                <w:noProof/>
              </w:rPr>
              <w:fldChar w:fldCharType="begin"/>
            </w:r>
            <w:r>
              <w:rPr>
                <w:noProof/>
              </w:rPr>
              <w:instrText xml:space="preserve"> PAGEREF _Toc236570059 \h </w:instrText>
            </w:r>
            <w:r>
              <w:rPr>
                <w:noProof/>
              </w:rPr>
            </w:r>
            <w:r>
              <w:rPr>
                <w:noProof/>
              </w:rPr>
              <w:fldChar w:fldCharType="separate"/>
            </w:r>
            <w:r>
              <w:rPr>
                <w:noProof/>
              </w:rPr>
              <w:t>7</w:t>
            </w:r>
            <w:r>
              <w:rPr>
                <w:noProof/>
              </w:rPr>
              <w:fldChar w:fldCharType="end"/>
            </w:r>
          </w:hyperlink>
        </w:p>
        <w:p w14:paraId="59671172" w14:textId="3092BEF5" w:rsidR="00B21702" w:rsidRDefault="00B21702">
          <w:pPr>
            <w:pStyle w:val="ndice3"/>
            <w:tabs>
              <w:tab w:val="right" w:leader="dot" w:pos="9736"/>
            </w:tabs>
            <w:rPr>
              <w:noProof/>
            </w:rPr>
          </w:pPr>
          <w:hyperlink w:anchor="_Toc236570060" w:history="1">
            <w:r w:rsidRPr="00BB52AA">
              <w:rPr>
                <w:rStyle w:val="Hiperligao"/>
                <w:noProof/>
              </w:rPr>
              <w:t>Divórcio post mortem — cônjuge ré falece no curso do processo; legitimidade dos herdeiros</w:t>
            </w:r>
            <w:r>
              <w:rPr>
                <w:noProof/>
              </w:rPr>
              <w:tab/>
            </w:r>
            <w:r>
              <w:rPr>
                <w:noProof/>
              </w:rPr>
              <w:fldChar w:fldCharType="begin"/>
            </w:r>
            <w:r>
              <w:rPr>
                <w:noProof/>
              </w:rPr>
              <w:instrText xml:space="preserve"> PAGEREF _Toc236570060 \h </w:instrText>
            </w:r>
            <w:r>
              <w:rPr>
                <w:noProof/>
              </w:rPr>
            </w:r>
            <w:r>
              <w:rPr>
                <w:noProof/>
              </w:rPr>
              <w:fldChar w:fldCharType="separate"/>
            </w:r>
            <w:r>
              <w:rPr>
                <w:noProof/>
              </w:rPr>
              <w:t>7</w:t>
            </w:r>
            <w:r>
              <w:rPr>
                <w:noProof/>
              </w:rPr>
              <w:fldChar w:fldCharType="end"/>
            </w:r>
          </w:hyperlink>
        </w:p>
        <w:p w14:paraId="62152F35" w14:textId="13A6E729" w:rsidR="00B21702" w:rsidRDefault="00B21702">
          <w:pPr>
            <w:pStyle w:val="ndice3"/>
            <w:tabs>
              <w:tab w:val="right" w:leader="dot" w:pos="9736"/>
            </w:tabs>
            <w:rPr>
              <w:noProof/>
            </w:rPr>
          </w:pPr>
          <w:hyperlink w:anchor="_Toc236570061" w:history="1">
            <w:r w:rsidRPr="00BB52AA">
              <w:rPr>
                <w:rStyle w:val="Hiperligao"/>
                <w:noProof/>
              </w:rPr>
              <w:t>Manutenção do sobrenome de casado após o divórcio, quando consolidado pelo uso</w:t>
            </w:r>
            <w:r>
              <w:rPr>
                <w:noProof/>
              </w:rPr>
              <w:tab/>
            </w:r>
            <w:r>
              <w:rPr>
                <w:noProof/>
              </w:rPr>
              <w:fldChar w:fldCharType="begin"/>
            </w:r>
            <w:r>
              <w:rPr>
                <w:noProof/>
              </w:rPr>
              <w:instrText xml:space="preserve"> PAGEREF _Toc236570061 \h </w:instrText>
            </w:r>
            <w:r>
              <w:rPr>
                <w:noProof/>
              </w:rPr>
            </w:r>
            <w:r>
              <w:rPr>
                <w:noProof/>
              </w:rPr>
              <w:fldChar w:fldCharType="separate"/>
            </w:r>
            <w:r>
              <w:rPr>
                <w:noProof/>
              </w:rPr>
              <w:t>7</w:t>
            </w:r>
            <w:r>
              <w:rPr>
                <w:noProof/>
              </w:rPr>
              <w:fldChar w:fldCharType="end"/>
            </w:r>
          </w:hyperlink>
        </w:p>
        <w:p w14:paraId="61C0FA90" w14:textId="3DADD8C5" w:rsidR="00B21702" w:rsidRDefault="00B21702">
          <w:pPr>
            <w:pStyle w:val="ndice2"/>
            <w:tabs>
              <w:tab w:val="right" w:leader="dot" w:pos="9736"/>
            </w:tabs>
            <w:rPr>
              <w:noProof/>
            </w:rPr>
          </w:pPr>
          <w:hyperlink w:anchor="_Toc236570062" w:history="1">
            <w:r w:rsidRPr="00BB52AA">
              <w:rPr>
                <w:rStyle w:val="Hiperligao"/>
                <w:noProof/>
              </w:rPr>
              <w:t>REGIME DE BENS ENTRE OS CÔNJUGES</w:t>
            </w:r>
            <w:r>
              <w:rPr>
                <w:noProof/>
              </w:rPr>
              <w:tab/>
            </w:r>
            <w:r>
              <w:rPr>
                <w:noProof/>
              </w:rPr>
              <w:fldChar w:fldCharType="begin"/>
            </w:r>
            <w:r>
              <w:rPr>
                <w:noProof/>
              </w:rPr>
              <w:instrText xml:space="preserve"> PAGEREF _Toc236570062 \h </w:instrText>
            </w:r>
            <w:r>
              <w:rPr>
                <w:noProof/>
              </w:rPr>
            </w:r>
            <w:r>
              <w:rPr>
                <w:noProof/>
              </w:rPr>
              <w:fldChar w:fldCharType="separate"/>
            </w:r>
            <w:r>
              <w:rPr>
                <w:noProof/>
              </w:rPr>
              <w:t>8</w:t>
            </w:r>
            <w:r>
              <w:rPr>
                <w:noProof/>
              </w:rPr>
              <w:fldChar w:fldCharType="end"/>
            </w:r>
          </w:hyperlink>
        </w:p>
        <w:p w14:paraId="43595F3F" w14:textId="2FB457EC" w:rsidR="00B21702" w:rsidRDefault="00B21702">
          <w:pPr>
            <w:pStyle w:val="ndice3"/>
            <w:tabs>
              <w:tab w:val="right" w:leader="dot" w:pos="9736"/>
            </w:tabs>
            <w:rPr>
              <w:noProof/>
            </w:rPr>
          </w:pPr>
          <w:hyperlink w:anchor="_Toc236570063" w:history="1">
            <w:r w:rsidRPr="00BB52AA">
              <w:rPr>
                <w:rStyle w:val="Hiperligao"/>
                <w:noProof/>
              </w:rPr>
              <w:t>Nulidade da partilha por instrumento particular — exigência de forma pública ou via judicial</w:t>
            </w:r>
            <w:r>
              <w:rPr>
                <w:noProof/>
              </w:rPr>
              <w:tab/>
            </w:r>
            <w:r>
              <w:rPr>
                <w:noProof/>
              </w:rPr>
              <w:fldChar w:fldCharType="begin"/>
            </w:r>
            <w:r>
              <w:rPr>
                <w:noProof/>
              </w:rPr>
              <w:instrText xml:space="preserve"> PAGEREF _Toc236570063 \h </w:instrText>
            </w:r>
            <w:r>
              <w:rPr>
                <w:noProof/>
              </w:rPr>
            </w:r>
            <w:r>
              <w:rPr>
                <w:noProof/>
              </w:rPr>
              <w:fldChar w:fldCharType="separate"/>
            </w:r>
            <w:r>
              <w:rPr>
                <w:noProof/>
              </w:rPr>
              <w:t>8</w:t>
            </w:r>
            <w:r>
              <w:rPr>
                <w:noProof/>
              </w:rPr>
              <w:fldChar w:fldCharType="end"/>
            </w:r>
          </w:hyperlink>
        </w:p>
        <w:p w14:paraId="56A7D42B" w14:textId="249BAEF9" w:rsidR="00B21702" w:rsidRDefault="00B21702">
          <w:pPr>
            <w:pStyle w:val="ndice3"/>
            <w:tabs>
              <w:tab w:val="right" w:leader="dot" w:pos="9736"/>
            </w:tabs>
            <w:rPr>
              <w:noProof/>
            </w:rPr>
          </w:pPr>
          <w:hyperlink w:anchor="_Toc236570064" w:history="1">
            <w:r w:rsidRPr="00BB52AA">
              <w:rPr>
                <w:rStyle w:val="Hiperligao"/>
                <w:noProof/>
              </w:rPr>
              <w:t>Presunção de construção comum em terreno de ambos os cônjuges, mesmo na separação convencional</w:t>
            </w:r>
            <w:r>
              <w:rPr>
                <w:noProof/>
              </w:rPr>
              <w:tab/>
            </w:r>
            <w:r>
              <w:rPr>
                <w:noProof/>
              </w:rPr>
              <w:fldChar w:fldCharType="begin"/>
            </w:r>
            <w:r>
              <w:rPr>
                <w:noProof/>
              </w:rPr>
              <w:instrText xml:space="preserve"> PAGEREF _Toc236570064 \h </w:instrText>
            </w:r>
            <w:r>
              <w:rPr>
                <w:noProof/>
              </w:rPr>
            </w:r>
            <w:r>
              <w:rPr>
                <w:noProof/>
              </w:rPr>
              <w:fldChar w:fldCharType="separate"/>
            </w:r>
            <w:r>
              <w:rPr>
                <w:noProof/>
              </w:rPr>
              <w:t>8</w:t>
            </w:r>
            <w:r>
              <w:rPr>
                <w:noProof/>
              </w:rPr>
              <w:fldChar w:fldCharType="end"/>
            </w:r>
          </w:hyperlink>
        </w:p>
        <w:p w14:paraId="7F835F1E" w14:textId="6D815DD0" w:rsidR="00B21702" w:rsidRDefault="00B21702">
          <w:pPr>
            <w:pStyle w:val="ndice3"/>
            <w:tabs>
              <w:tab w:val="right" w:leader="dot" w:pos="9736"/>
            </w:tabs>
            <w:rPr>
              <w:noProof/>
            </w:rPr>
          </w:pPr>
          <w:hyperlink w:anchor="_Toc236570065" w:history="1">
            <w:r w:rsidRPr="00BB52AA">
              <w:rPr>
                <w:rStyle w:val="Hiperligao"/>
                <w:noProof/>
              </w:rPr>
              <w:t>Eficácia ex tunc excepcional na alteração do regime de bens, em benefício de terceiro credor</w:t>
            </w:r>
            <w:r>
              <w:rPr>
                <w:noProof/>
              </w:rPr>
              <w:tab/>
            </w:r>
            <w:r>
              <w:rPr>
                <w:noProof/>
              </w:rPr>
              <w:fldChar w:fldCharType="begin"/>
            </w:r>
            <w:r>
              <w:rPr>
                <w:noProof/>
              </w:rPr>
              <w:instrText xml:space="preserve"> PAGEREF _Toc236570065 \h </w:instrText>
            </w:r>
            <w:r>
              <w:rPr>
                <w:noProof/>
              </w:rPr>
            </w:r>
            <w:r>
              <w:rPr>
                <w:noProof/>
              </w:rPr>
              <w:fldChar w:fldCharType="separate"/>
            </w:r>
            <w:r>
              <w:rPr>
                <w:noProof/>
              </w:rPr>
              <w:t>9</w:t>
            </w:r>
            <w:r>
              <w:rPr>
                <w:noProof/>
              </w:rPr>
              <w:fldChar w:fldCharType="end"/>
            </w:r>
          </w:hyperlink>
        </w:p>
        <w:p w14:paraId="6DE4F882" w14:textId="6845CFC6" w:rsidR="00B21702" w:rsidRDefault="00B21702">
          <w:pPr>
            <w:pStyle w:val="ndice3"/>
            <w:tabs>
              <w:tab w:val="right" w:leader="dot" w:pos="9736"/>
            </w:tabs>
            <w:rPr>
              <w:noProof/>
            </w:rPr>
          </w:pPr>
          <w:hyperlink w:anchor="_Toc236570066" w:history="1">
            <w:r w:rsidRPr="00BB52AA">
              <w:rPr>
                <w:rStyle w:val="Hiperligao"/>
                <w:noProof/>
              </w:rPr>
              <w:t>Bem doado com cláusula de inalienabilidade temporária ainda vigente — exclusão da comunhão</w:t>
            </w:r>
            <w:r>
              <w:rPr>
                <w:noProof/>
              </w:rPr>
              <w:tab/>
            </w:r>
            <w:r>
              <w:rPr>
                <w:noProof/>
              </w:rPr>
              <w:fldChar w:fldCharType="begin"/>
            </w:r>
            <w:r>
              <w:rPr>
                <w:noProof/>
              </w:rPr>
              <w:instrText xml:space="preserve"> PAGEREF _Toc236570066 \h </w:instrText>
            </w:r>
            <w:r>
              <w:rPr>
                <w:noProof/>
              </w:rPr>
            </w:r>
            <w:r>
              <w:rPr>
                <w:noProof/>
              </w:rPr>
              <w:fldChar w:fldCharType="separate"/>
            </w:r>
            <w:r>
              <w:rPr>
                <w:noProof/>
              </w:rPr>
              <w:t>9</w:t>
            </w:r>
            <w:r>
              <w:rPr>
                <w:noProof/>
              </w:rPr>
              <w:fldChar w:fldCharType="end"/>
            </w:r>
          </w:hyperlink>
        </w:p>
        <w:p w14:paraId="041E81C0" w14:textId="2802156E" w:rsidR="00B21702" w:rsidRDefault="00B21702">
          <w:pPr>
            <w:pStyle w:val="ndice3"/>
            <w:tabs>
              <w:tab w:val="right" w:leader="dot" w:pos="9736"/>
            </w:tabs>
            <w:rPr>
              <w:noProof/>
            </w:rPr>
          </w:pPr>
          <w:hyperlink w:anchor="_Toc236570067" w:history="1">
            <w:r w:rsidRPr="00BB52AA">
              <w:rPr>
                <w:rStyle w:val="Hiperligao"/>
                <w:noProof/>
              </w:rPr>
              <w:t>Distribuição dinâmica do ônus da prova sobre a data de acessões/benfeitorias</w:t>
            </w:r>
            <w:r>
              <w:rPr>
                <w:noProof/>
              </w:rPr>
              <w:tab/>
            </w:r>
            <w:r>
              <w:rPr>
                <w:noProof/>
              </w:rPr>
              <w:fldChar w:fldCharType="begin"/>
            </w:r>
            <w:r>
              <w:rPr>
                <w:noProof/>
              </w:rPr>
              <w:instrText xml:space="preserve"> PAGEREF _Toc236570067 \h </w:instrText>
            </w:r>
            <w:r>
              <w:rPr>
                <w:noProof/>
              </w:rPr>
            </w:r>
            <w:r>
              <w:rPr>
                <w:noProof/>
              </w:rPr>
              <w:fldChar w:fldCharType="separate"/>
            </w:r>
            <w:r>
              <w:rPr>
                <w:noProof/>
              </w:rPr>
              <w:t>10</w:t>
            </w:r>
            <w:r>
              <w:rPr>
                <w:noProof/>
              </w:rPr>
              <w:fldChar w:fldCharType="end"/>
            </w:r>
          </w:hyperlink>
        </w:p>
        <w:p w14:paraId="2164533B" w14:textId="6D69CA15" w:rsidR="00B21702" w:rsidRDefault="00B21702">
          <w:pPr>
            <w:pStyle w:val="ndice3"/>
            <w:tabs>
              <w:tab w:val="right" w:leader="dot" w:pos="9736"/>
            </w:tabs>
            <w:rPr>
              <w:noProof/>
            </w:rPr>
          </w:pPr>
          <w:hyperlink w:anchor="_Toc236570068" w:history="1">
            <w:r w:rsidRPr="00BB52AA">
              <w:rPr>
                <w:rStyle w:val="Hiperligao"/>
                <w:noProof/>
              </w:rPr>
              <w:t>Previdência privada aberta x fechada — (in)comunicabilidade na partilha</w:t>
            </w:r>
            <w:r>
              <w:rPr>
                <w:noProof/>
              </w:rPr>
              <w:tab/>
            </w:r>
            <w:r>
              <w:rPr>
                <w:noProof/>
              </w:rPr>
              <w:fldChar w:fldCharType="begin"/>
            </w:r>
            <w:r>
              <w:rPr>
                <w:noProof/>
              </w:rPr>
              <w:instrText xml:space="preserve"> PAGEREF _Toc236570068 \h </w:instrText>
            </w:r>
            <w:r>
              <w:rPr>
                <w:noProof/>
              </w:rPr>
            </w:r>
            <w:r>
              <w:rPr>
                <w:noProof/>
              </w:rPr>
              <w:fldChar w:fldCharType="separate"/>
            </w:r>
            <w:r>
              <w:rPr>
                <w:noProof/>
              </w:rPr>
              <w:t>10</w:t>
            </w:r>
            <w:r>
              <w:rPr>
                <w:noProof/>
              </w:rPr>
              <w:fldChar w:fldCharType="end"/>
            </w:r>
          </w:hyperlink>
        </w:p>
        <w:p w14:paraId="20D9C5EB" w14:textId="0B6F6283" w:rsidR="00B21702" w:rsidRDefault="00B21702">
          <w:pPr>
            <w:pStyle w:val="ndice3"/>
            <w:tabs>
              <w:tab w:val="right" w:leader="dot" w:pos="9736"/>
            </w:tabs>
            <w:rPr>
              <w:noProof/>
            </w:rPr>
          </w:pPr>
          <w:hyperlink w:anchor="_Toc236570069" w:history="1">
            <w:r w:rsidRPr="00BB52AA">
              <w:rPr>
                <w:rStyle w:val="Hiperligao"/>
                <w:noProof/>
              </w:rPr>
              <w:t>Pacto antenupcial pode ampliar a separação obrigatória e afastar a Súmula 377-STF</w:t>
            </w:r>
            <w:r>
              <w:rPr>
                <w:noProof/>
              </w:rPr>
              <w:tab/>
            </w:r>
            <w:r>
              <w:rPr>
                <w:noProof/>
              </w:rPr>
              <w:fldChar w:fldCharType="begin"/>
            </w:r>
            <w:r>
              <w:rPr>
                <w:noProof/>
              </w:rPr>
              <w:instrText xml:space="preserve"> PAGEREF _Toc236570069 \h </w:instrText>
            </w:r>
            <w:r>
              <w:rPr>
                <w:noProof/>
              </w:rPr>
            </w:r>
            <w:r>
              <w:rPr>
                <w:noProof/>
              </w:rPr>
              <w:fldChar w:fldCharType="separate"/>
            </w:r>
            <w:r>
              <w:rPr>
                <w:noProof/>
              </w:rPr>
              <w:t>10</w:t>
            </w:r>
            <w:r>
              <w:rPr>
                <w:noProof/>
              </w:rPr>
              <w:fldChar w:fldCharType="end"/>
            </w:r>
          </w:hyperlink>
        </w:p>
        <w:p w14:paraId="5D8A86C9" w14:textId="16B5CB4A" w:rsidR="00B21702" w:rsidRDefault="00B21702">
          <w:pPr>
            <w:pStyle w:val="ndice3"/>
            <w:tabs>
              <w:tab w:val="right" w:leader="dot" w:pos="9736"/>
            </w:tabs>
            <w:rPr>
              <w:noProof/>
            </w:rPr>
          </w:pPr>
          <w:hyperlink w:anchor="_Toc236570070" w:history="1">
            <w:r w:rsidRPr="00BB52AA">
              <w:rPr>
                <w:rStyle w:val="Hiperligao"/>
                <w:noProof/>
              </w:rPr>
              <w:t>Bens adquiridos antes do casamento, no período de namoro, não se comunicam</w:t>
            </w:r>
            <w:r>
              <w:rPr>
                <w:noProof/>
              </w:rPr>
              <w:tab/>
            </w:r>
            <w:r>
              <w:rPr>
                <w:noProof/>
              </w:rPr>
              <w:fldChar w:fldCharType="begin"/>
            </w:r>
            <w:r>
              <w:rPr>
                <w:noProof/>
              </w:rPr>
              <w:instrText xml:space="preserve"> PAGEREF _Toc236570070 \h </w:instrText>
            </w:r>
            <w:r>
              <w:rPr>
                <w:noProof/>
              </w:rPr>
            </w:r>
            <w:r>
              <w:rPr>
                <w:noProof/>
              </w:rPr>
              <w:fldChar w:fldCharType="separate"/>
            </w:r>
            <w:r>
              <w:rPr>
                <w:noProof/>
              </w:rPr>
              <w:t>11</w:t>
            </w:r>
            <w:r>
              <w:rPr>
                <w:noProof/>
              </w:rPr>
              <w:fldChar w:fldCharType="end"/>
            </w:r>
          </w:hyperlink>
        </w:p>
        <w:p w14:paraId="2661B2A0" w14:textId="7D75A7A6" w:rsidR="00B21702" w:rsidRDefault="00B21702">
          <w:pPr>
            <w:pStyle w:val="ndice3"/>
            <w:tabs>
              <w:tab w:val="right" w:leader="dot" w:pos="9736"/>
            </w:tabs>
            <w:rPr>
              <w:noProof/>
            </w:rPr>
          </w:pPr>
          <w:hyperlink w:anchor="_Toc236570071" w:history="1">
            <w:r w:rsidRPr="00BB52AA">
              <w:rPr>
                <w:rStyle w:val="Hiperligao"/>
                <w:noProof/>
              </w:rPr>
              <w:t>Cessação da incapacidade civil que impôs separação obrigatória autoriza mudança de regime</w:t>
            </w:r>
            <w:r>
              <w:rPr>
                <w:noProof/>
              </w:rPr>
              <w:tab/>
            </w:r>
            <w:r>
              <w:rPr>
                <w:noProof/>
              </w:rPr>
              <w:fldChar w:fldCharType="begin"/>
            </w:r>
            <w:r>
              <w:rPr>
                <w:noProof/>
              </w:rPr>
              <w:instrText xml:space="preserve"> PAGEREF _Toc236570071 \h </w:instrText>
            </w:r>
            <w:r>
              <w:rPr>
                <w:noProof/>
              </w:rPr>
            </w:r>
            <w:r>
              <w:rPr>
                <w:noProof/>
              </w:rPr>
              <w:fldChar w:fldCharType="separate"/>
            </w:r>
            <w:r>
              <w:rPr>
                <w:noProof/>
              </w:rPr>
              <w:t>11</w:t>
            </w:r>
            <w:r>
              <w:rPr>
                <w:noProof/>
              </w:rPr>
              <w:fldChar w:fldCharType="end"/>
            </w:r>
          </w:hyperlink>
        </w:p>
        <w:p w14:paraId="0D0E634B" w14:textId="0BFF00E0" w:rsidR="00B21702" w:rsidRDefault="00B21702">
          <w:pPr>
            <w:pStyle w:val="ndice3"/>
            <w:tabs>
              <w:tab w:val="right" w:leader="dot" w:pos="9736"/>
            </w:tabs>
            <w:rPr>
              <w:noProof/>
            </w:rPr>
          </w:pPr>
          <w:hyperlink w:anchor="_Toc236570072" w:history="1">
            <w:r w:rsidRPr="00BB52AA">
              <w:rPr>
                <w:rStyle w:val="Hiperligao"/>
                <w:noProof/>
              </w:rPr>
              <w:t>Regime de separação obrigatória para maiores de 70 anos pode ser afastado por escritura pública — Tema 1236</w:t>
            </w:r>
            <w:r>
              <w:rPr>
                <w:noProof/>
              </w:rPr>
              <w:tab/>
            </w:r>
            <w:r>
              <w:rPr>
                <w:noProof/>
              </w:rPr>
              <w:fldChar w:fldCharType="begin"/>
            </w:r>
            <w:r>
              <w:rPr>
                <w:noProof/>
              </w:rPr>
              <w:instrText xml:space="preserve"> PAGEREF _Toc236570072 \h </w:instrText>
            </w:r>
            <w:r>
              <w:rPr>
                <w:noProof/>
              </w:rPr>
            </w:r>
            <w:r>
              <w:rPr>
                <w:noProof/>
              </w:rPr>
              <w:fldChar w:fldCharType="separate"/>
            </w:r>
            <w:r>
              <w:rPr>
                <w:noProof/>
              </w:rPr>
              <w:t>12</w:t>
            </w:r>
            <w:r>
              <w:rPr>
                <w:noProof/>
              </w:rPr>
              <w:fldChar w:fldCharType="end"/>
            </w:r>
          </w:hyperlink>
        </w:p>
        <w:p w14:paraId="7C03EC70" w14:textId="0542E847" w:rsidR="00B21702" w:rsidRDefault="00B21702">
          <w:pPr>
            <w:pStyle w:val="ndice3"/>
            <w:tabs>
              <w:tab w:val="right" w:leader="dot" w:pos="9736"/>
            </w:tabs>
            <w:rPr>
              <w:noProof/>
            </w:rPr>
          </w:pPr>
          <w:hyperlink w:anchor="_Toc236570073" w:history="1">
            <w:r w:rsidRPr="00BB52AA">
              <w:rPr>
                <w:rStyle w:val="Hiperligao"/>
                <w:noProof/>
              </w:rPr>
              <w:t>Prêmio de loteria é bem comum mesmo em regime de separação legal obrigatória</w:t>
            </w:r>
            <w:r>
              <w:rPr>
                <w:noProof/>
              </w:rPr>
              <w:tab/>
            </w:r>
            <w:r>
              <w:rPr>
                <w:noProof/>
              </w:rPr>
              <w:fldChar w:fldCharType="begin"/>
            </w:r>
            <w:r>
              <w:rPr>
                <w:noProof/>
              </w:rPr>
              <w:instrText xml:space="preserve"> PAGEREF _Toc236570073 \h </w:instrText>
            </w:r>
            <w:r>
              <w:rPr>
                <w:noProof/>
              </w:rPr>
            </w:r>
            <w:r>
              <w:rPr>
                <w:noProof/>
              </w:rPr>
              <w:fldChar w:fldCharType="separate"/>
            </w:r>
            <w:r>
              <w:rPr>
                <w:noProof/>
              </w:rPr>
              <w:t>12</w:t>
            </w:r>
            <w:r>
              <w:rPr>
                <w:noProof/>
              </w:rPr>
              <w:fldChar w:fldCharType="end"/>
            </w:r>
          </w:hyperlink>
        </w:p>
        <w:p w14:paraId="3D928DBB" w14:textId="0AC72F29" w:rsidR="00B21702" w:rsidRDefault="00B21702">
          <w:pPr>
            <w:pStyle w:val="ndice3"/>
            <w:tabs>
              <w:tab w:val="right" w:leader="dot" w:pos="9736"/>
            </w:tabs>
            <w:rPr>
              <w:noProof/>
            </w:rPr>
          </w:pPr>
          <w:hyperlink w:anchor="_Toc236570074" w:history="1">
            <w:r w:rsidRPr="00BB52AA">
              <w:rPr>
                <w:rStyle w:val="Hiperligao"/>
                <w:noProof/>
              </w:rPr>
              <w:t>Imóvel doado por programa habitacional em nome de um cônjuge — comunicabilidade excepcional</w:t>
            </w:r>
            <w:r>
              <w:rPr>
                <w:noProof/>
              </w:rPr>
              <w:tab/>
            </w:r>
            <w:r>
              <w:rPr>
                <w:noProof/>
              </w:rPr>
              <w:fldChar w:fldCharType="begin"/>
            </w:r>
            <w:r>
              <w:rPr>
                <w:noProof/>
              </w:rPr>
              <w:instrText xml:space="preserve"> PAGEREF _Toc236570074 \h </w:instrText>
            </w:r>
            <w:r>
              <w:rPr>
                <w:noProof/>
              </w:rPr>
            </w:r>
            <w:r>
              <w:rPr>
                <w:noProof/>
              </w:rPr>
              <w:fldChar w:fldCharType="separate"/>
            </w:r>
            <w:r>
              <w:rPr>
                <w:noProof/>
              </w:rPr>
              <w:t>13</w:t>
            </w:r>
            <w:r>
              <w:rPr>
                <w:noProof/>
              </w:rPr>
              <w:fldChar w:fldCharType="end"/>
            </w:r>
          </w:hyperlink>
        </w:p>
        <w:p w14:paraId="3A542151" w14:textId="538A5CA1" w:rsidR="00B21702" w:rsidRDefault="00B21702">
          <w:pPr>
            <w:pStyle w:val="ndice3"/>
            <w:tabs>
              <w:tab w:val="right" w:leader="dot" w:pos="9736"/>
            </w:tabs>
            <w:rPr>
              <w:noProof/>
            </w:rPr>
          </w:pPr>
          <w:hyperlink w:anchor="_Toc236570075" w:history="1">
            <w:r w:rsidRPr="00BB52AA">
              <w:rPr>
                <w:rStyle w:val="Hiperligao"/>
                <w:noProof/>
              </w:rPr>
              <w:t>Aluguel por uso exclusivo de imóvel comum é indevido em contexto de violência doméstica e cuidado dos filhos</w:t>
            </w:r>
            <w:r>
              <w:rPr>
                <w:noProof/>
              </w:rPr>
              <w:tab/>
            </w:r>
            <w:r>
              <w:rPr>
                <w:noProof/>
              </w:rPr>
              <w:fldChar w:fldCharType="begin"/>
            </w:r>
            <w:r>
              <w:rPr>
                <w:noProof/>
              </w:rPr>
              <w:instrText xml:space="preserve"> PAGEREF _Toc236570075 \h </w:instrText>
            </w:r>
            <w:r>
              <w:rPr>
                <w:noProof/>
              </w:rPr>
            </w:r>
            <w:r>
              <w:rPr>
                <w:noProof/>
              </w:rPr>
              <w:fldChar w:fldCharType="separate"/>
            </w:r>
            <w:r>
              <w:rPr>
                <w:noProof/>
              </w:rPr>
              <w:t>13</w:t>
            </w:r>
            <w:r>
              <w:rPr>
                <w:noProof/>
              </w:rPr>
              <w:fldChar w:fldCharType="end"/>
            </w:r>
          </w:hyperlink>
        </w:p>
        <w:p w14:paraId="488EE6DC" w14:textId="57912669" w:rsidR="00B21702" w:rsidRDefault="00B21702">
          <w:pPr>
            <w:pStyle w:val="ndice3"/>
            <w:tabs>
              <w:tab w:val="right" w:leader="dot" w:pos="9736"/>
            </w:tabs>
            <w:rPr>
              <w:noProof/>
            </w:rPr>
          </w:pPr>
          <w:hyperlink w:anchor="_Toc236570076" w:history="1">
            <w:r w:rsidRPr="00BB52AA">
              <w:rPr>
                <w:rStyle w:val="Hiperligao"/>
                <w:noProof/>
              </w:rPr>
              <w:t>Partilha de bens é direito potestativo, não sujeito a prescrição ou decadência</w:t>
            </w:r>
            <w:r>
              <w:rPr>
                <w:noProof/>
              </w:rPr>
              <w:tab/>
            </w:r>
            <w:r>
              <w:rPr>
                <w:noProof/>
              </w:rPr>
              <w:fldChar w:fldCharType="begin"/>
            </w:r>
            <w:r>
              <w:rPr>
                <w:noProof/>
              </w:rPr>
              <w:instrText xml:space="preserve"> PAGEREF _Toc236570076 \h </w:instrText>
            </w:r>
            <w:r>
              <w:rPr>
                <w:noProof/>
              </w:rPr>
            </w:r>
            <w:r>
              <w:rPr>
                <w:noProof/>
              </w:rPr>
              <w:fldChar w:fldCharType="separate"/>
            </w:r>
            <w:r>
              <w:rPr>
                <w:noProof/>
              </w:rPr>
              <w:t>14</w:t>
            </w:r>
            <w:r>
              <w:rPr>
                <w:noProof/>
              </w:rPr>
              <w:fldChar w:fldCharType="end"/>
            </w:r>
          </w:hyperlink>
        </w:p>
        <w:p w14:paraId="2D3B55DF" w14:textId="760B13FA" w:rsidR="00B21702" w:rsidRDefault="00B21702">
          <w:pPr>
            <w:pStyle w:val="ndice2"/>
            <w:tabs>
              <w:tab w:val="right" w:leader="dot" w:pos="9736"/>
            </w:tabs>
            <w:rPr>
              <w:noProof/>
            </w:rPr>
          </w:pPr>
          <w:hyperlink w:anchor="_Toc236570077" w:history="1">
            <w:r w:rsidRPr="00BB52AA">
              <w:rPr>
                <w:rStyle w:val="Hiperligao"/>
                <w:noProof/>
              </w:rPr>
              <w:t>UNIÃO ESTÁVEL (incluindo homoafetiva)</w:t>
            </w:r>
            <w:r>
              <w:rPr>
                <w:noProof/>
              </w:rPr>
              <w:tab/>
            </w:r>
            <w:r>
              <w:rPr>
                <w:noProof/>
              </w:rPr>
              <w:fldChar w:fldCharType="begin"/>
            </w:r>
            <w:r>
              <w:rPr>
                <w:noProof/>
              </w:rPr>
              <w:instrText xml:space="preserve"> PAGEREF _Toc236570077 \h </w:instrText>
            </w:r>
            <w:r>
              <w:rPr>
                <w:noProof/>
              </w:rPr>
            </w:r>
            <w:r>
              <w:rPr>
                <w:noProof/>
              </w:rPr>
              <w:fldChar w:fldCharType="separate"/>
            </w:r>
            <w:r>
              <w:rPr>
                <w:noProof/>
              </w:rPr>
              <w:t>14</w:t>
            </w:r>
            <w:r>
              <w:rPr>
                <w:noProof/>
              </w:rPr>
              <w:fldChar w:fldCharType="end"/>
            </w:r>
          </w:hyperlink>
        </w:p>
        <w:p w14:paraId="585A1E95" w14:textId="7F8A032B" w:rsidR="00B21702" w:rsidRDefault="00B21702">
          <w:pPr>
            <w:pStyle w:val="ndice3"/>
            <w:tabs>
              <w:tab w:val="right" w:leader="dot" w:pos="9736"/>
            </w:tabs>
            <w:rPr>
              <w:noProof/>
            </w:rPr>
          </w:pPr>
          <w:hyperlink w:anchor="_Toc236570078" w:history="1">
            <w:r w:rsidRPr="00BB52AA">
              <w:rPr>
                <w:rStyle w:val="Hiperligao"/>
                <w:noProof/>
              </w:rPr>
              <w:t>Relativização da publicidade para reconhecimento de união estável homoafetiva</w:t>
            </w:r>
            <w:r>
              <w:rPr>
                <w:noProof/>
              </w:rPr>
              <w:tab/>
            </w:r>
            <w:r>
              <w:rPr>
                <w:noProof/>
              </w:rPr>
              <w:fldChar w:fldCharType="begin"/>
            </w:r>
            <w:r>
              <w:rPr>
                <w:noProof/>
              </w:rPr>
              <w:instrText xml:space="preserve"> PAGEREF _Toc236570078 \h </w:instrText>
            </w:r>
            <w:r>
              <w:rPr>
                <w:noProof/>
              </w:rPr>
            </w:r>
            <w:r>
              <w:rPr>
                <w:noProof/>
              </w:rPr>
              <w:fldChar w:fldCharType="separate"/>
            </w:r>
            <w:r>
              <w:rPr>
                <w:noProof/>
              </w:rPr>
              <w:t>14</w:t>
            </w:r>
            <w:r>
              <w:rPr>
                <w:noProof/>
              </w:rPr>
              <w:fldChar w:fldCharType="end"/>
            </w:r>
          </w:hyperlink>
        </w:p>
        <w:p w14:paraId="14541A6A" w14:textId="1933F15D" w:rsidR="00B21702" w:rsidRDefault="00B21702">
          <w:pPr>
            <w:pStyle w:val="ndice3"/>
            <w:tabs>
              <w:tab w:val="right" w:leader="dot" w:pos="9736"/>
            </w:tabs>
            <w:rPr>
              <w:noProof/>
            </w:rPr>
          </w:pPr>
          <w:hyperlink w:anchor="_Toc236570079" w:history="1">
            <w:r w:rsidRPr="00BB52AA">
              <w:rPr>
                <w:rStyle w:val="Hiperligao"/>
                <w:noProof/>
              </w:rPr>
              <w:t>Partilha excepcional em união estável sob separação convencional, comprovado esforço comum</w:t>
            </w:r>
            <w:r>
              <w:rPr>
                <w:noProof/>
              </w:rPr>
              <w:tab/>
            </w:r>
            <w:r>
              <w:rPr>
                <w:noProof/>
              </w:rPr>
              <w:fldChar w:fldCharType="begin"/>
            </w:r>
            <w:r>
              <w:rPr>
                <w:noProof/>
              </w:rPr>
              <w:instrText xml:space="preserve"> PAGEREF _Toc236570079 \h </w:instrText>
            </w:r>
            <w:r>
              <w:rPr>
                <w:noProof/>
              </w:rPr>
            </w:r>
            <w:r>
              <w:rPr>
                <w:noProof/>
              </w:rPr>
              <w:fldChar w:fldCharType="separate"/>
            </w:r>
            <w:r>
              <w:rPr>
                <w:noProof/>
              </w:rPr>
              <w:t>14</w:t>
            </w:r>
            <w:r>
              <w:rPr>
                <w:noProof/>
              </w:rPr>
              <w:fldChar w:fldCharType="end"/>
            </w:r>
          </w:hyperlink>
        </w:p>
        <w:p w14:paraId="798617A4" w14:textId="5C3AAE86" w:rsidR="00B21702" w:rsidRDefault="00B21702">
          <w:pPr>
            <w:pStyle w:val="ndice3"/>
            <w:tabs>
              <w:tab w:val="right" w:leader="dot" w:pos="9736"/>
            </w:tabs>
            <w:rPr>
              <w:noProof/>
            </w:rPr>
          </w:pPr>
          <w:hyperlink w:anchor="_Toc236570080" w:history="1">
            <w:r w:rsidRPr="00BB52AA">
              <w:rPr>
                <w:rStyle w:val="Hiperligao"/>
                <w:noProof/>
              </w:rPr>
              <w:t>Súmula 655-STJ — regime de separação obrigatória na união estável de septuagenário</w:t>
            </w:r>
            <w:r>
              <w:rPr>
                <w:noProof/>
              </w:rPr>
              <w:tab/>
            </w:r>
            <w:r>
              <w:rPr>
                <w:noProof/>
              </w:rPr>
              <w:fldChar w:fldCharType="begin"/>
            </w:r>
            <w:r>
              <w:rPr>
                <w:noProof/>
              </w:rPr>
              <w:instrText xml:space="preserve"> PAGEREF _Toc236570080 \h </w:instrText>
            </w:r>
            <w:r>
              <w:rPr>
                <w:noProof/>
              </w:rPr>
            </w:r>
            <w:r>
              <w:rPr>
                <w:noProof/>
              </w:rPr>
              <w:fldChar w:fldCharType="separate"/>
            </w:r>
            <w:r>
              <w:rPr>
                <w:noProof/>
              </w:rPr>
              <w:t>15</w:t>
            </w:r>
            <w:r>
              <w:rPr>
                <w:noProof/>
              </w:rPr>
              <w:fldChar w:fldCharType="end"/>
            </w:r>
          </w:hyperlink>
        </w:p>
        <w:p w14:paraId="2845E531" w14:textId="6AD3B2E1" w:rsidR="00B21702" w:rsidRDefault="00B21702">
          <w:pPr>
            <w:pStyle w:val="ndice3"/>
            <w:tabs>
              <w:tab w:val="right" w:leader="dot" w:pos="9736"/>
            </w:tabs>
            <w:rPr>
              <w:noProof/>
            </w:rPr>
          </w:pPr>
          <w:hyperlink w:anchor="_Toc236570081" w:history="1">
            <w:r w:rsidRPr="00BB52AA">
              <w:rPr>
                <w:rStyle w:val="Hiperligao"/>
                <w:noProof/>
              </w:rPr>
              <w:t>Efeitos ex nunc da eleição de regime de bens por contrato de convivência (união estável)</w:t>
            </w:r>
            <w:r>
              <w:rPr>
                <w:noProof/>
              </w:rPr>
              <w:tab/>
            </w:r>
            <w:r>
              <w:rPr>
                <w:noProof/>
              </w:rPr>
              <w:fldChar w:fldCharType="begin"/>
            </w:r>
            <w:r>
              <w:rPr>
                <w:noProof/>
              </w:rPr>
              <w:instrText xml:space="preserve"> PAGEREF _Toc236570081 \h </w:instrText>
            </w:r>
            <w:r>
              <w:rPr>
                <w:noProof/>
              </w:rPr>
            </w:r>
            <w:r>
              <w:rPr>
                <w:noProof/>
              </w:rPr>
              <w:fldChar w:fldCharType="separate"/>
            </w:r>
            <w:r>
              <w:rPr>
                <w:noProof/>
              </w:rPr>
              <w:t>15</w:t>
            </w:r>
            <w:r>
              <w:rPr>
                <w:noProof/>
              </w:rPr>
              <w:fldChar w:fldCharType="end"/>
            </w:r>
          </w:hyperlink>
        </w:p>
        <w:p w14:paraId="1C7650F6" w14:textId="60030E2E" w:rsidR="00B21702" w:rsidRDefault="00B21702">
          <w:pPr>
            <w:pStyle w:val="ndice3"/>
            <w:tabs>
              <w:tab w:val="right" w:leader="dot" w:pos="9736"/>
            </w:tabs>
            <w:rPr>
              <w:noProof/>
            </w:rPr>
          </w:pPr>
          <w:hyperlink w:anchor="_Toc236570082" w:history="1">
            <w:r w:rsidRPr="00BB52AA">
              <w:rPr>
                <w:rStyle w:val="Hiperligao"/>
                <w:noProof/>
              </w:rPr>
              <w:t>Presunção de comunhão de bens na união estável mesmo com percentuais diferentes na escritura</w:t>
            </w:r>
            <w:r>
              <w:rPr>
                <w:noProof/>
              </w:rPr>
              <w:tab/>
            </w:r>
            <w:r>
              <w:rPr>
                <w:noProof/>
              </w:rPr>
              <w:fldChar w:fldCharType="begin"/>
            </w:r>
            <w:r>
              <w:rPr>
                <w:noProof/>
              </w:rPr>
              <w:instrText xml:space="preserve"> PAGEREF _Toc236570082 \h </w:instrText>
            </w:r>
            <w:r>
              <w:rPr>
                <w:noProof/>
              </w:rPr>
            </w:r>
            <w:r>
              <w:rPr>
                <w:noProof/>
              </w:rPr>
              <w:fldChar w:fldCharType="separate"/>
            </w:r>
            <w:r>
              <w:rPr>
                <w:noProof/>
              </w:rPr>
              <w:t>16</w:t>
            </w:r>
            <w:r>
              <w:rPr>
                <w:noProof/>
              </w:rPr>
              <w:fldChar w:fldCharType="end"/>
            </w:r>
          </w:hyperlink>
        </w:p>
        <w:p w14:paraId="020C9DC6" w14:textId="770CC212" w:rsidR="00B21702" w:rsidRDefault="00B21702">
          <w:pPr>
            <w:pStyle w:val="ndice3"/>
            <w:tabs>
              <w:tab w:val="right" w:leader="dot" w:pos="9736"/>
            </w:tabs>
            <w:rPr>
              <w:noProof/>
            </w:rPr>
          </w:pPr>
          <w:hyperlink w:anchor="_Toc236570083" w:history="1">
            <w:r w:rsidRPr="00BB52AA">
              <w:rPr>
                <w:rStyle w:val="Hiperligao"/>
                <w:noProof/>
              </w:rPr>
              <w:t>Dívida do FIES tem natureza personalíssima e não é partilhável</w:t>
            </w:r>
            <w:r>
              <w:rPr>
                <w:noProof/>
              </w:rPr>
              <w:tab/>
            </w:r>
            <w:r>
              <w:rPr>
                <w:noProof/>
              </w:rPr>
              <w:fldChar w:fldCharType="begin"/>
            </w:r>
            <w:r>
              <w:rPr>
                <w:noProof/>
              </w:rPr>
              <w:instrText xml:space="preserve"> PAGEREF _Toc236570083 \h </w:instrText>
            </w:r>
            <w:r>
              <w:rPr>
                <w:noProof/>
              </w:rPr>
            </w:r>
            <w:r>
              <w:rPr>
                <w:noProof/>
              </w:rPr>
              <w:fldChar w:fldCharType="separate"/>
            </w:r>
            <w:r>
              <w:rPr>
                <w:noProof/>
              </w:rPr>
              <w:t>16</w:t>
            </w:r>
            <w:r>
              <w:rPr>
                <w:noProof/>
              </w:rPr>
              <w:fldChar w:fldCharType="end"/>
            </w:r>
          </w:hyperlink>
        </w:p>
        <w:p w14:paraId="390D7572" w14:textId="64C6DAF1" w:rsidR="00B21702" w:rsidRDefault="00B21702">
          <w:pPr>
            <w:pStyle w:val="ndice3"/>
            <w:tabs>
              <w:tab w:val="right" w:leader="dot" w:pos="9736"/>
            </w:tabs>
            <w:rPr>
              <w:noProof/>
            </w:rPr>
          </w:pPr>
          <w:hyperlink w:anchor="_Toc236570084" w:history="1">
            <w:r w:rsidRPr="00BB52AA">
              <w:rPr>
                <w:rStyle w:val="Hiperligao"/>
                <w:noProof/>
              </w:rPr>
              <w:t>Legitimidade do herdeiro para ação de reconhecimento e dissolução de união estável post mortem</w:t>
            </w:r>
            <w:r>
              <w:rPr>
                <w:noProof/>
              </w:rPr>
              <w:tab/>
            </w:r>
            <w:r>
              <w:rPr>
                <w:noProof/>
              </w:rPr>
              <w:fldChar w:fldCharType="begin"/>
            </w:r>
            <w:r>
              <w:rPr>
                <w:noProof/>
              </w:rPr>
              <w:instrText xml:space="preserve"> PAGEREF _Toc236570084 \h </w:instrText>
            </w:r>
            <w:r>
              <w:rPr>
                <w:noProof/>
              </w:rPr>
            </w:r>
            <w:r>
              <w:rPr>
                <w:noProof/>
              </w:rPr>
              <w:fldChar w:fldCharType="separate"/>
            </w:r>
            <w:r>
              <w:rPr>
                <w:noProof/>
              </w:rPr>
              <w:t>17</w:t>
            </w:r>
            <w:r>
              <w:rPr>
                <w:noProof/>
              </w:rPr>
              <w:fldChar w:fldCharType="end"/>
            </w:r>
          </w:hyperlink>
        </w:p>
        <w:p w14:paraId="545F58F4" w14:textId="5AF81592" w:rsidR="00B21702" w:rsidRDefault="00B21702">
          <w:pPr>
            <w:pStyle w:val="ndice1"/>
            <w:tabs>
              <w:tab w:val="right" w:leader="dot" w:pos="9736"/>
            </w:tabs>
            <w:rPr>
              <w:noProof/>
            </w:rPr>
          </w:pPr>
          <w:hyperlink w:anchor="_Toc236570085" w:history="1">
            <w:r w:rsidRPr="00BB52AA">
              <w:rPr>
                <w:rStyle w:val="Hiperligao"/>
                <w:noProof/>
              </w:rPr>
              <w:t>II. PARENTESCO, GUARDA E ADMINISTRAÇÃO DE BENS DE FILHOS MENORES</w:t>
            </w:r>
            <w:r>
              <w:rPr>
                <w:noProof/>
              </w:rPr>
              <w:tab/>
            </w:r>
            <w:r>
              <w:rPr>
                <w:noProof/>
              </w:rPr>
              <w:fldChar w:fldCharType="begin"/>
            </w:r>
            <w:r>
              <w:rPr>
                <w:noProof/>
              </w:rPr>
              <w:instrText xml:space="preserve"> PAGEREF _Toc236570085 \h </w:instrText>
            </w:r>
            <w:r>
              <w:rPr>
                <w:noProof/>
              </w:rPr>
            </w:r>
            <w:r>
              <w:rPr>
                <w:noProof/>
              </w:rPr>
              <w:fldChar w:fldCharType="separate"/>
            </w:r>
            <w:r>
              <w:rPr>
                <w:noProof/>
              </w:rPr>
              <w:t>18</w:t>
            </w:r>
            <w:r>
              <w:rPr>
                <w:noProof/>
              </w:rPr>
              <w:fldChar w:fldCharType="end"/>
            </w:r>
          </w:hyperlink>
        </w:p>
        <w:p w14:paraId="68E45E82" w14:textId="5D7AFADE" w:rsidR="00B21702" w:rsidRDefault="00B21702">
          <w:pPr>
            <w:pStyle w:val="ndice2"/>
            <w:tabs>
              <w:tab w:val="right" w:leader="dot" w:pos="9736"/>
            </w:tabs>
            <w:rPr>
              <w:noProof/>
            </w:rPr>
          </w:pPr>
          <w:hyperlink w:anchor="_Toc236570086" w:history="1">
            <w:r w:rsidRPr="00BB52AA">
              <w:rPr>
                <w:rStyle w:val="Hiperligao"/>
                <w:noProof/>
              </w:rPr>
              <w:t>GUARDA E PODER FAMILIAR</w:t>
            </w:r>
            <w:r>
              <w:rPr>
                <w:noProof/>
              </w:rPr>
              <w:tab/>
            </w:r>
            <w:r>
              <w:rPr>
                <w:noProof/>
              </w:rPr>
              <w:fldChar w:fldCharType="begin"/>
            </w:r>
            <w:r>
              <w:rPr>
                <w:noProof/>
              </w:rPr>
              <w:instrText xml:space="preserve"> PAGEREF _Toc236570086 \h </w:instrText>
            </w:r>
            <w:r>
              <w:rPr>
                <w:noProof/>
              </w:rPr>
            </w:r>
            <w:r>
              <w:rPr>
                <w:noProof/>
              </w:rPr>
              <w:fldChar w:fldCharType="separate"/>
            </w:r>
            <w:r>
              <w:rPr>
                <w:noProof/>
              </w:rPr>
              <w:t>18</w:t>
            </w:r>
            <w:r>
              <w:rPr>
                <w:noProof/>
              </w:rPr>
              <w:fldChar w:fldCharType="end"/>
            </w:r>
          </w:hyperlink>
        </w:p>
        <w:p w14:paraId="1C0A8136" w14:textId="09A2BB04" w:rsidR="00B21702" w:rsidRDefault="00B21702">
          <w:pPr>
            <w:pStyle w:val="ndice3"/>
            <w:tabs>
              <w:tab w:val="right" w:leader="dot" w:pos="9736"/>
            </w:tabs>
            <w:rPr>
              <w:noProof/>
            </w:rPr>
          </w:pPr>
          <w:hyperlink w:anchor="_Toc236570087" w:history="1">
            <w:r w:rsidRPr="00BB52AA">
              <w:rPr>
                <w:rStyle w:val="Hiperligao"/>
                <w:noProof/>
              </w:rPr>
              <w:t>Não aplicação da perda do poder familiar à mãe vítima de violência sexual — reconhecimento de multiparentalidade em vez de destituição total</w:t>
            </w:r>
            <w:r>
              <w:rPr>
                <w:noProof/>
              </w:rPr>
              <w:tab/>
            </w:r>
            <w:r>
              <w:rPr>
                <w:noProof/>
              </w:rPr>
              <w:fldChar w:fldCharType="begin"/>
            </w:r>
            <w:r>
              <w:rPr>
                <w:noProof/>
              </w:rPr>
              <w:instrText xml:space="preserve"> PAGEREF _Toc236570087 \h </w:instrText>
            </w:r>
            <w:r>
              <w:rPr>
                <w:noProof/>
              </w:rPr>
            </w:r>
            <w:r>
              <w:rPr>
                <w:noProof/>
              </w:rPr>
              <w:fldChar w:fldCharType="separate"/>
            </w:r>
            <w:r>
              <w:rPr>
                <w:noProof/>
              </w:rPr>
              <w:t>18</w:t>
            </w:r>
            <w:r>
              <w:rPr>
                <w:noProof/>
              </w:rPr>
              <w:fldChar w:fldCharType="end"/>
            </w:r>
          </w:hyperlink>
        </w:p>
        <w:p w14:paraId="5A0BC23E" w14:textId="23AD994A" w:rsidR="00B21702" w:rsidRDefault="00B21702">
          <w:pPr>
            <w:pStyle w:val="ndice3"/>
            <w:tabs>
              <w:tab w:val="right" w:leader="dot" w:pos="9736"/>
            </w:tabs>
            <w:rPr>
              <w:noProof/>
            </w:rPr>
          </w:pPr>
          <w:hyperlink w:anchor="_Toc236570088" w:history="1">
            <w:r w:rsidRPr="00BB52AA">
              <w:rPr>
                <w:rStyle w:val="Hiperligao"/>
                <w:noProof/>
              </w:rPr>
              <w:t>Homologação de sentença estrangeira de guarda não impede ação de modificação de guarda no Brasil</w:t>
            </w:r>
            <w:r>
              <w:rPr>
                <w:noProof/>
              </w:rPr>
              <w:tab/>
            </w:r>
            <w:r>
              <w:rPr>
                <w:noProof/>
              </w:rPr>
              <w:fldChar w:fldCharType="begin"/>
            </w:r>
            <w:r>
              <w:rPr>
                <w:noProof/>
              </w:rPr>
              <w:instrText xml:space="preserve"> PAGEREF _Toc236570088 \h </w:instrText>
            </w:r>
            <w:r>
              <w:rPr>
                <w:noProof/>
              </w:rPr>
            </w:r>
            <w:r>
              <w:rPr>
                <w:noProof/>
              </w:rPr>
              <w:fldChar w:fldCharType="separate"/>
            </w:r>
            <w:r>
              <w:rPr>
                <w:noProof/>
              </w:rPr>
              <w:t>18</w:t>
            </w:r>
            <w:r>
              <w:rPr>
                <w:noProof/>
              </w:rPr>
              <w:fldChar w:fldCharType="end"/>
            </w:r>
          </w:hyperlink>
        </w:p>
        <w:p w14:paraId="1027A542" w14:textId="4FEE933B" w:rsidR="00B21702" w:rsidRDefault="00B21702">
          <w:pPr>
            <w:pStyle w:val="ndice2"/>
            <w:tabs>
              <w:tab w:val="right" w:leader="dot" w:pos="9736"/>
            </w:tabs>
            <w:rPr>
              <w:noProof/>
            </w:rPr>
          </w:pPr>
          <w:hyperlink w:anchor="_Toc236570089" w:history="1">
            <w:r w:rsidRPr="00BB52AA">
              <w:rPr>
                <w:rStyle w:val="Hiperligao"/>
                <w:noProof/>
              </w:rPr>
              <w:t>FILIAÇÃO E RECONHECIMENTO DE PATERNIDADE/MATERNIDADE (incluindo multiparentalidade)</w:t>
            </w:r>
            <w:r>
              <w:rPr>
                <w:noProof/>
              </w:rPr>
              <w:tab/>
            </w:r>
            <w:r>
              <w:rPr>
                <w:noProof/>
              </w:rPr>
              <w:fldChar w:fldCharType="begin"/>
            </w:r>
            <w:r>
              <w:rPr>
                <w:noProof/>
              </w:rPr>
              <w:instrText xml:space="preserve"> PAGEREF _Toc236570089 \h </w:instrText>
            </w:r>
            <w:r>
              <w:rPr>
                <w:noProof/>
              </w:rPr>
            </w:r>
            <w:r>
              <w:rPr>
                <w:noProof/>
              </w:rPr>
              <w:fldChar w:fldCharType="separate"/>
            </w:r>
            <w:r>
              <w:rPr>
                <w:noProof/>
              </w:rPr>
              <w:t>19</w:t>
            </w:r>
            <w:r>
              <w:rPr>
                <w:noProof/>
              </w:rPr>
              <w:fldChar w:fldCharType="end"/>
            </w:r>
          </w:hyperlink>
        </w:p>
        <w:p w14:paraId="5BFB9B8F" w14:textId="3BE3496E" w:rsidR="00B21702" w:rsidRDefault="00B21702">
          <w:pPr>
            <w:pStyle w:val="ndice3"/>
            <w:tabs>
              <w:tab w:val="right" w:leader="dot" w:pos="9736"/>
            </w:tabs>
            <w:rPr>
              <w:noProof/>
            </w:rPr>
          </w:pPr>
          <w:hyperlink w:anchor="_Toc236570090" w:history="1">
            <w:r w:rsidRPr="00BB52AA">
              <w:rPr>
                <w:rStyle w:val="Hiperligao"/>
                <w:noProof/>
              </w:rPr>
              <w:t>Rompimento do vínculo de filiação entre pai registral e filho maior por ausência de socioafetividade e abandono material/afetivo</w:t>
            </w:r>
            <w:r>
              <w:rPr>
                <w:noProof/>
              </w:rPr>
              <w:tab/>
            </w:r>
            <w:r>
              <w:rPr>
                <w:noProof/>
              </w:rPr>
              <w:fldChar w:fldCharType="begin"/>
            </w:r>
            <w:r>
              <w:rPr>
                <w:noProof/>
              </w:rPr>
              <w:instrText xml:space="preserve"> PAGEREF _Toc236570090 \h </w:instrText>
            </w:r>
            <w:r>
              <w:rPr>
                <w:noProof/>
              </w:rPr>
            </w:r>
            <w:r>
              <w:rPr>
                <w:noProof/>
              </w:rPr>
              <w:fldChar w:fldCharType="separate"/>
            </w:r>
            <w:r>
              <w:rPr>
                <w:noProof/>
              </w:rPr>
              <w:t>19</w:t>
            </w:r>
            <w:r>
              <w:rPr>
                <w:noProof/>
              </w:rPr>
              <w:fldChar w:fldCharType="end"/>
            </w:r>
          </w:hyperlink>
        </w:p>
        <w:p w14:paraId="5E8B9AD5" w14:textId="1857C152" w:rsidR="00B21702" w:rsidRDefault="00B21702">
          <w:pPr>
            <w:pStyle w:val="ndice3"/>
            <w:tabs>
              <w:tab w:val="right" w:leader="dot" w:pos="9736"/>
            </w:tabs>
            <w:rPr>
              <w:noProof/>
            </w:rPr>
          </w:pPr>
          <w:hyperlink w:anchor="_Toc236570091" w:history="1">
            <w:r w:rsidRPr="00BB52AA">
              <w:rPr>
                <w:rStyle w:val="Hiperligao"/>
                <w:noProof/>
              </w:rPr>
              <w:t>Reconhecimento de filiação socioafetiva post mortem dos pais socioafetivos</w:t>
            </w:r>
            <w:r>
              <w:rPr>
                <w:noProof/>
              </w:rPr>
              <w:tab/>
            </w:r>
            <w:r>
              <w:rPr>
                <w:noProof/>
              </w:rPr>
              <w:fldChar w:fldCharType="begin"/>
            </w:r>
            <w:r>
              <w:rPr>
                <w:noProof/>
              </w:rPr>
              <w:instrText xml:space="preserve"> PAGEREF _Toc236570091 \h </w:instrText>
            </w:r>
            <w:r>
              <w:rPr>
                <w:noProof/>
              </w:rPr>
            </w:r>
            <w:r>
              <w:rPr>
                <w:noProof/>
              </w:rPr>
              <w:fldChar w:fldCharType="separate"/>
            </w:r>
            <w:r>
              <w:rPr>
                <w:noProof/>
              </w:rPr>
              <w:t>19</w:t>
            </w:r>
            <w:r>
              <w:rPr>
                <w:noProof/>
              </w:rPr>
              <w:fldChar w:fldCharType="end"/>
            </w:r>
          </w:hyperlink>
        </w:p>
        <w:p w14:paraId="2CBFCE13" w14:textId="0FC0217F" w:rsidR="00B21702" w:rsidRDefault="00B21702">
          <w:pPr>
            <w:pStyle w:val="ndice3"/>
            <w:tabs>
              <w:tab w:val="right" w:leader="dot" w:pos="9736"/>
            </w:tabs>
            <w:rPr>
              <w:noProof/>
            </w:rPr>
          </w:pPr>
          <w:hyperlink w:anchor="_Toc236570092" w:history="1">
            <w:r w:rsidRPr="00BB52AA">
              <w:rPr>
                <w:rStyle w:val="Hiperligao"/>
                <w:noProof/>
              </w:rPr>
              <w:t>Reconhecimento de filiação socioafetiva entre avós e neto</w:t>
            </w:r>
            <w:r>
              <w:rPr>
                <w:noProof/>
              </w:rPr>
              <w:tab/>
            </w:r>
            <w:r>
              <w:rPr>
                <w:noProof/>
              </w:rPr>
              <w:fldChar w:fldCharType="begin"/>
            </w:r>
            <w:r>
              <w:rPr>
                <w:noProof/>
              </w:rPr>
              <w:instrText xml:space="preserve"> PAGEREF _Toc236570092 \h </w:instrText>
            </w:r>
            <w:r>
              <w:rPr>
                <w:noProof/>
              </w:rPr>
            </w:r>
            <w:r>
              <w:rPr>
                <w:noProof/>
              </w:rPr>
              <w:fldChar w:fldCharType="separate"/>
            </w:r>
            <w:r>
              <w:rPr>
                <w:noProof/>
              </w:rPr>
              <w:t>20</w:t>
            </w:r>
            <w:r>
              <w:rPr>
                <w:noProof/>
              </w:rPr>
              <w:fldChar w:fldCharType="end"/>
            </w:r>
          </w:hyperlink>
        </w:p>
        <w:p w14:paraId="55516992" w14:textId="02649C89" w:rsidR="00B21702" w:rsidRDefault="00B21702">
          <w:pPr>
            <w:pStyle w:val="ndice3"/>
            <w:tabs>
              <w:tab w:val="right" w:leader="dot" w:pos="9736"/>
            </w:tabs>
            <w:rPr>
              <w:noProof/>
            </w:rPr>
          </w:pPr>
          <w:hyperlink w:anchor="_Toc236570093" w:history="1">
            <w:r w:rsidRPr="00BB52AA">
              <w:rPr>
                <w:rStyle w:val="Hiperligao"/>
                <w:noProof/>
              </w:rPr>
              <w:t>Presunção de maternidade de mãe não biológica em inseminação artificial caseira, em união estável homoafetiva</w:t>
            </w:r>
            <w:r>
              <w:rPr>
                <w:noProof/>
              </w:rPr>
              <w:tab/>
            </w:r>
            <w:r>
              <w:rPr>
                <w:noProof/>
              </w:rPr>
              <w:fldChar w:fldCharType="begin"/>
            </w:r>
            <w:r>
              <w:rPr>
                <w:noProof/>
              </w:rPr>
              <w:instrText xml:space="preserve"> PAGEREF _Toc236570093 \h </w:instrText>
            </w:r>
            <w:r>
              <w:rPr>
                <w:noProof/>
              </w:rPr>
            </w:r>
            <w:r>
              <w:rPr>
                <w:noProof/>
              </w:rPr>
              <w:fldChar w:fldCharType="separate"/>
            </w:r>
            <w:r>
              <w:rPr>
                <w:noProof/>
              </w:rPr>
              <w:t>20</w:t>
            </w:r>
            <w:r>
              <w:rPr>
                <w:noProof/>
              </w:rPr>
              <w:fldChar w:fldCharType="end"/>
            </w:r>
          </w:hyperlink>
        </w:p>
        <w:p w14:paraId="2F4BE87F" w14:textId="72685E4C" w:rsidR="00B21702" w:rsidRDefault="00B21702">
          <w:pPr>
            <w:pStyle w:val="ndice3"/>
            <w:tabs>
              <w:tab w:val="right" w:leader="dot" w:pos="9736"/>
            </w:tabs>
            <w:rPr>
              <w:noProof/>
            </w:rPr>
          </w:pPr>
          <w:hyperlink w:anchor="_Toc236570094" w:history="1">
            <w:r w:rsidRPr="00BB52AA">
              <w:rPr>
                <w:rStyle w:val="Hiperligao"/>
                <w:noProof/>
              </w:rPr>
              <w:t>Competência internacional: investigação de paternidade x petição de herança</w:t>
            </w:r>
            <w:r>
              <w:rPr>
                <w:noProof/>
              </w:rPr>
              <w:tab/>
            </w:r>
            <w:r>
              <w:rPr>
                <w:noProof/>
              </w:rPr>
              <w:fldChar w:fldCharType="begin"/>
            </w:r>
            <w:r>
              <w:rPr>
                <w:noProof/>
              </w:rPr>
              <w:instrText xml:space="preserve"> PAGEREF _Toc236570094 \h </w:instrText>
            </w:r>
            <w:r>
              <w:rPr>
                <w:noProof/>
              </w:rPr>
            </w:r>
            <w:r>
              <w:rPr>
                <w:noProof/>
              </w:rPr>
              <w:fldChar w:fldCharType="separate"/>
            </w:r>
            <w:r>
              <w:rPr>
                <w:noProof/>
              </w:rPr>
              <w:t>21</w:t>
            </w:r>
            <w:r>
              <w:rPr>
                <w:noProof/>
              </w:rPr>
              <w:fldChar w:fldCharType="end"/>
            </w:r>
          </w:hyperlink>
        </w:p>
        <w:p w14:paraId="0E231D8A" w14:textId="14906835" w:rsidR="00B21702" w:rsidRDefault="00B21702">
          <w:pPr>
            <w:pStyle w:val="ndice3"/>
            <w:tabs>
              <w:tab w:val="right" w:leader="dot" w:pos="9736"/>
            </w:tabs>
            <w:rPr>
              <w:noProof/>
            </w:rPr>
          </w:pPr>
          <w:hyperlink w:anchor="_Toc236570095" w:history="1">
            <w:r w:rsidRPr="00BB52AA">
              <w:rPr>
                <w:rStyle w:val="Hiperligao"/>
                <w:noProof/>
              </w:rPr>
              <w:t>Relativização da coisa julgada em investigação de paternidade sem DNA, diante de exame judicial negativo posterior</w:t>
            </w:r>
            <w:r>
              <w:rPr>
                <w:noProof/>
              </w:rPr>
              <w:tab/>
            </w:r>
            <w:r>
              <w:rPr>
                <w:noProof/>
              </w:rPr>
              <w:fldChar w:fldCharType="begin"/>
            </w:r>
            <w:r>
              <w:rPr>
                <w:noProof/>
              </w:rPr>
              <w:instrText xml:space="preserve"> PAGEREF _Toc236570095 \h </w:instrText>
            </w:r>
            <w:r>
              <w:rPr>
                <w:noProof/>
              </w:rPr>
            </w:r>
            <w:r>
              <w:rPr>
                <w:noProof/>
              </w:rPr>
              <w:fldChar w:fldCharType="separate"/>
            </w:r>
            <w:r>
              <w:rPr>
                <w:noProof/>
              </w:rPr>
              <w:t>21</w:t>
            </w:r>
            <w:r>
              <w:rPr>
                <w:noProof/>
              </w:rPr>
              <w:fldChar w:fldCharType="end"/>
            </w:r>
          </w:hyperlink>
        </w:p>
        <w:p w14:paraId="743102F5" w14:textId="5D3B2751" w:rsidR="00B21702" w:rsidRDefault="00B21702">
          <w:pPr>
            <w:pStyle w:val="ndice3"/>
            <w:tabs>
              <w:tab w:val="right" w:leader="dot" w:pos="9736"/>
            </w:tabs>
            <w:rPr>
              <w:noProof/>
            </w:rPr>
          </w:pPr>
          <w:hyperlink w:anchor="_Toc236570096" w:history="1">
            <w:r w:rsidRPr="00BB52AA">
              <w:rPr>
                <w:rStyle w:val="Hiperligao"/>
                <w:noProof/>
              </w:rPr>
              <w:t>Legitimidade do cônjuge supérstite para ação anulatória de registro de nascimento por falsidade ideológica</w:t>
            </w:r>
            <w:r>
              <w:rPr>
                <w:noProof/>
              </w:rPr>
              <w:tab/>
            </w:r>
            <w:r>
              <w:rPr>
                <w:noProof/>
              </w:rPr>
              <w:fldChar w:fldCharType="begin"/>
            </w:r>
            <w:r>
              <w:rPr>
                <w:noProof/>
              </w:rPr>
              <w:instrText xml:space="preserve"> PAGEREF _Toc236570096 \h </w:instrText>
            </w:r>
            <w:r>
              <w:rPr>
                <w:noProof/>
              </w:rPr>
            </w:r>
            <w:r>
              <w:rPr>
                <w:noProof/>
              </w:rPr>
              <w:fldChar w:fldCharType="separate"/>
            </w:r>
            <w:r>
              <w:rPr>
                <w:noProof/>
              </w:rPr>
              <w:t>22</w:t>
            </w:r>
            <w:r>
              <w:rPr>
                <w:noProof/>
              </w:rPr>
              <w:fldChar w:fldCharType="end"/>
            </w:r>
          </w:hyperlink>
        </w:p>
        <w:p w14:paraId="174B6A51" w14:textId="25764D85" w:rsidR="00B21702" w:rsidRDefault="00B21702">
          <w:pPr>
            <w:pStyle w:val="ndice3"/>
            <w:tabs>
              <w:tab w:val="right" w:leader="dot" w:pos="9736"/>
            </w:tabs>
            <w:rPr>
              <w:noProof/>
            </w:rPr>
          </w:pPr>
          <w:hyperlink w:anchor="_Toc236570097" w:history="1">
            <w:r w:rsidRPr="00BB52AA">
              <w:rPr>
                <w:rStyle w:val="Hiperligao"/>
                <w:noProof/>
              </w:rPr>
              <w:t>Reconhecimento de parentesco socioafetivo entre irmãos ("irmãos de criação") post mortem</w:t>
            </w:r>
            <w:r>
              <w:rPr>
                <w:noProof/>
              </w:rPr>
              <w:tab/>
            </w:r>
            <w:r>
              <w:rPr>
                <w:noProof/>
              </w:rPr>
              <w:fldChar w:fldCharType="begin"/>
            </w:r>
            <w:r>
              <w:rPr>
                <w:noProof/>
              </w:rPr>
              <w:instrText xml:space="preserve"> PAGEREF _Toc236570097 \h </w:instrText>
            </w:r>
            <w:r>
              <w:rPr>
                <w:noProof/>
              </w:rPr>
            </w:r>
            <w:r>
              <w:rPr>
                <w:noProof/>
              </w:rPr>
              <w:fldChar w:fldCharType="separate"/>
            </w:r>
            <w:r>
              <w:rPr>
                <w:noProof/>
              </w:rPr>
              <w:t>22</w:t>
            </w:r>
            <w:r>
              <w:rPr>
                <w:noProof/>
              </w:rPr>
              <w:fldChar w:fldCharType="end"/>
            </w:r>
          </w:hyperlink>
        </w:p>
        <w:p w14:paraId="433A5BE6" w14:textId="0589C2AD" w:rsidR="00B21702" w:rsidRDefault="00B21702">
          <w:pPr>
            <w:pStyle w:val="ndice3"/>
            <w:tabs>
              <w:tab w:val="right" w:leader="dot" w:pos="9736"/>
            </w:tabs>
            <w:rPr>
              <w:noProof/>
            </w:rPr>
          </w:pPr>
          <w:hyperlink w:anchor="_Toc236570098" w:history="1">
            <w:r w:rsidRPr="00BB52AA">
              <w:rPr>
                <w:rStyle w:val="Hiperligao"/>
                <w:noProof/>
              </w:rPr>
              <w:t>Multiparentalidade — equivalência de efeitos jurídicos entre paternidade biológica e socioafetiva</w:t>
            </w:r>
            <w:r>
              <w:rPr>
                <w:noProof/>
              </w:rPr>
              <w:tab/>
            </w:r>
            <w:r>
              <w:rPr>
                <w:noProof/>
              </w:rPr>
              <w:fldChar w:fldCharType="begin"/>
            </w:r>
            <w:r>
              <w:rPr>
                <w:noProof/>
              </w:rPr>
              <w:instrText xml:space="preserve"> PAGEREF _Toc236570098 \h </w:instrText>
            </w:r>
            <w:r>
              <w:rPr>
                <w:noProof/>
              </w:rPr>
            </w:r>
            <w:r>
              <w:rPr>
                <w:noProof/>
              </w:rPr>
              <w:fldChar w:fldCharType="separate"/>
            </w:r>
            <w:r>
              <w:rPr>
                <w:noProof/>
              </w:rPr>
              <w:t>23</w:t>
            </w:r>
            <w:r>
              <w:rPr>
                <w:noProof/>
              </w:rPr>
              <w:fldChar w:fldCharType="end"/>
            </w:r>
          </w:hyperlink>
        </w:p>
        <w:p w14:paraId="30E4626B" w14:textId="7E3C3FB8" w:rsidR="00B21702" w:rsidRDefault="00B21702">
          <w:pPr>
            <w:pStyle w:val="ndice3"/>
            <w:tabs>
              <w:tab w:val="right" w:leader="dot" w:pos="9736"/>
            </w:tabs>
            <w:rPr>
              <w:noProof/>
            </w:rPr>
          </w:pPr>
          <w:hyperlink w:anchor="_Toc236570099" w:history="1">
            <w:r w:rsidRPr="00BB52AA">
              <w:rPr>
                <w:rStyle w:val="Hiperligao"/>
                <w:noProof/>
              </w:rPr>
              <w:t>Requisitos para anulação de registro por divergência entre paternidade biológica e registral, dada a proteção da socioafetividade</w:t>
            </w:r>
            <w:r>
              <w:rPr>
                <w:noProof/>
              </w:rPr>
              <w:tab/>
            </w:r>
            <w:r>
              <w:rPr>
                <w:noProof/>
              </w:rPr>
              <w:fldChar w:fldCharType="begin"/>
            </w:r>
            <w:r>
              <w:rPr>
                <w:noProof/>
              </w:rPr>
              <w:instrText xml:space="preserve"> PAGEREF _Toc236570099 \h </w:instrText>
            </w:r>
            <w:r>
              <w:rPr>
                <w:noProof/>
              </w:rPr>
            </w:r>
            <w:r>
              <w:rPr>
                <w:noProof/>
              </w:rPr>
              <w:fldChar w:fldCharType="separate"/>
            </w:r>
            <w:r>
              <w:rPr>
                <w:noProof/>
              </w:rPr>
              <w:t>23</w:t>
            </w:r>
            <w:r>
              <w:rPr>
                <w:noProof/>
              </w:rPr>
              <w:fldChar w:fldCharType="end"/>
            </w:r>
          </w:hyperlink>
        </w:p>
        <w:p w14:paraId="44A070DF" w14:textId="16B0C4A5" w:rsidR="00B21702" w:rsidRDefault="00B21702">
          <w:pPr>
            <w:pStyle w:val="ndice2"/>
            <w:tabs>
              <w:tab w:val="right" w:leader="dot" w:pos="9736"/>
            </w:tabs>
            <w:rPr>
              <w:noProof/>
            </w:rPr>
          </w:pPr>
          <w:hyperlink w:anchor="_Toc236570100" w:history="1">
            <w:r w:rsidRPr="00BB52AA">
              <w:rPr>
                <w:rStyle w:val="Hiperligao"/>
                <w:noProof/>
              </w:rPr>
              <w:t>ADMINISTRAÇÃO DE BENS DE FILHOS MENORES</w:t>
            </w:r>
            <w:r>
              <w:rPr>
                <w:noProof/>
              </w:rPr>
              <w:tab/>
            </w:r>
            <w:r>
              <w:rPr>
                <w:noProof/>
              </w:rPr>
              <w:fldChar w:fldCharType="begin"/>
            </w:r>
            <w:r>
              <w:rPr>
                <w:noProof/>
              </w:rPr>
              <w:instrText xml:space="preserve"> PAGEREF _Toc236570100 \h </w:instrText>
            </w:r>
            <w:r>
              <w:rPr>
                <w:noProof/>
              </w:rPr>
            </w:r>
            <w:r>
              <w:rPr>
                <w:noProof/>
              </w:rPr>
              <w:fldChar w:fldCharType="separate"/>
            </w:r>
            <w:r>
              <w:rPr>
                <w:noProof/>
              </w:rPr>
              <w:t>24</w:t>
            </w:r>
            <w:r>
              <w:rPr>
                <w:noProof/>
              </w:rPr>
              <w:fldChar w:fldCharType="end"/>
            </w:r>
          </w:hyperlink>
        </w:p>
        <w:p w14:paraId="5A16F839" w14:textId="14DFA658" w:rsidR="00B21702" w:rsidRDefault="00B21702">
          <w:pPr>
            <w:pStyle w:val="ndice3"/>
            <w:tabs>
              <w:tab w:val="right" w:leader="dot" w:pos="9736"/>
            </w:tabs>
            <w:rPr>
              <w:noProof/>
            </w:rPr>
          </w:pPr>
          <w:hyperlink w:anchor="_Toc236570101" w:history="1">
            <w:r w:rsidRPr="00BB52AA">
              <w:rPr>
                <w:rStyle w:val="Hiperligao"/>
                <w:noProof/>
              </w:rPr>
              <w:t>Levantamento de valores depositados em juízo em favor de filho menor é ato de simples administração — pais têm legitimidade, salvo justo motivo</w:t>
            </w:r>
            <w:r>
              <w:rPr>
                <w:noProof/>
              </w:rPr>
              <w:tab/>
            </w:r>
            <w:r>
              <w:rPr>
                <w:noProof/>
              </w:rPr>
              <w:fldChar w:fldCharType="begin"/>
            </w:r>
            <w:r>
              <w:rPr>
                <w:noProof/>
              </w:rPr>
              <w:instrText xml:space="preserve"> PAGEREF _Toc236570101 \h </w:instrText>
            </w:r>
            <w:r>
              <w:rPr>
                <w:noProof/>
              </w:rPr>
            </w:r>
            <w:r>
              <w:rPr>
                <w:noProof/>
              </w:rPr>
              <w:fldChar w:fldCharType="separate"/>
            </w:r>
            <w:r>
              <w:rPr>
                <w:noProof/>
              </w:rPr>
              <w:t>24</w:t>
            </w:r>
            <w:r>
              <w:rPr>
                <w:noProof/>
              </w:rPr>
              <w:fldChar w:fldCharType="end"/>
            </w:r>
          </w:hyperlink>
        </w:p>
        <w:p w14:paraId="3E3D7B0C" w14:textId="2A66A5A9" w:rsidR="00B21702" w:rsidRDefault="00B21702">
          <w:pPr>
            <w:pStyle w:val="ndice1"/>
            <w:tabs>
              <w:tab w:val="right" w:leader="dot" w:pos="9736"/>
            </w:tabs>
            <w:rPr>
              <w:noProof/>
            </w:rPr>
          </w:pPr>
          <w:hyperlink w:anchor="_Toc236570102" w:history="1">
            <w:r w:rsidRPr="00BB52AA">
              <w:rPr>
                <w:rStyle w:val="Hiperligao"/>
                <w:noProof/>
              </w:rPr>
              <w:t>III. ALIMENTOS</w:t>
            </w:r>
            <w:r>
              <w:rPr>
                <w:noProof/>
              </w:rPr>
              <w:tab/>
            </w:r>
            <w:r>
              <w:rPr>
                <w:noProof/>
              </w:rPr>
              <w:fldChar w:fldCharType="begin"/>
            </w:r>
            <w:r>
              <w:rPr>
                <w:noProof/>
              </w:rPr>
              <w:instrText xml:space="preserve"> PAGEREF _Toc236570102 \h </w:instrText>
            </w:r>
            <w:r>
              <w:rPr>
                <w:noProof/>
              </w:rPr>
            </w:r>
            <w:r>
              <w:rPr>
                <w:noProof/>
              </w:rPr>
              <w:fldChar w:fldCharType="separate"/>
            </w:r>
            <w:r>
              <w:rPr>
                <w:noProof/>
              </w:rPr>
              <w:t>25</w:t>
            </w:r>
            <w:r>
              <w:rPr>
                <w:noProof/>
              </w:rPr>
              <w:fldChar w:fldCharType="end"/>
            </w:r>
          </w:hyperlink>
        </w:p>
        <w:p w14:paraId="57A65B1E" w14:textId="4CBABB9F" w:rsidR="00B21702" w:rsidRDefault="00B21702">
          <w:pPr>
            <w:pStyle w:val="ndice2"/>
            <w:tabs>
              <w:tab w:val="right" w:leader="dot" w:pos="9736"/>
            </w:tabs>
            <w:rPr>
              <w:noProof/>
            </w:rPr>
          </w:pPr>
          <w:hyperlink w:anchor="_Toc236570103" w:history="1">
            <w:r w:rsidRPr="00BB52AA">
              <w:rPr>
                <w:rStyle w:val="Hiperligao"/>
                <w:noProof/>
              </w:rPr>
              <w:t>GRUPO 1 — Natureza jurídica, obrigação alimentar e transmissibilidade</w:t>
            </w:r>
            <w:r>
              <w:rPr>
                <w:noProof/>
              </w:rPr>
              <w:tab/>
            </w:r>
            <w:r>
              <w:rPr>
                <w:noProof/>
              </w:rPr>
              <w:fldChar w:fldCharType="begin"/>
            </w:r>
            <w:r>
              <w:rPr>
                <w:noProof/>
              </w:rPr>
              <w:instrText xml:space="preserve"> PAGEREF _Toc236570103 \h </w:instrText>
            </w:r>
            <w:r>
              <w:rPr>
                <w:noProof/>
              </w:rPr>
            </w:r>
            <w:r>
              <w:rPr>
                <w:noProof/>
              </w:rPr>
              <w:fldChar w:fldCharType="separate"/>
            </w:r>
            <w:r>
              <w:rPr>
                <w:noProof/>
              </w:rPr>
              <w:t>25</w:t>
            </w:r>
            <w:r>
              <w:rPr>
                <w:noProof/>
              </w:rPr>
              <w:fldChar w:fldCharType="end"/>
            </w:r>
          </w:hyperlink>
        </w:p>
        <w:p w14:paraId="24026CFC" w14:textId="06F646F6" w:rsidR="00B21702" w:rsidRDefault="00B21702">
          <w:pPr>
            <w:pStyle w:val="ndice3"/>
            <w:tabs>
              <w:tab w:val="right" w:leader="dot" w:pos="9736"/>
            </w:tabs>
            <w:rPr>
              <w:noProof/>
            </w:rPr>
          </w:pPr>
          <w:hyperlink w:anchor="_Toc236570104" w:history="1">
            <w:r w:rsidRPr="00BB52AA">
              <w:rPr>
                <w:rStyle w:val="Hiperligao"/>
                <w:noProof/>
              </w:rPr>
              <w:t>Alimentos vencidos e não pagos SE TRANSMITEM aos herdeiros do credor falecido (execução prossegue por sucessão processual)</w:t>
            </w:r>
            <w:r>
              <w:rPr>
                <w:noProof/>
              </w:rPr>
              <w:tab/>
            </w:r>
            <w:r>
              <w:rPr>
                <w:noProof/>
              </w:rPr>
              <w:fldChar w:fldCharType="begin"/>
            </w:r>
            <w:r>
              <w:rPr>
                <w:noProof/>
              </w:rPr>
              <w:instrText xml:space="preserve"> PAGEREF _Toc236570104 \h </w:instrText>
            </w:r>
            <w:r>
              <w:rPr>
                <w:noProof/>
              </w:rPr>
            </w:r>
            <w:r>
              <w:rPr>
                <w:noProof/>
              </w:rPr>
              <w:fldChar w:fldCharType="separate"/>
            </w:r>
            <w:r>
              <w:rPr>
                <w:noProof/>
              </w:rPr>
              <w:t>25</w:t>
            </w:r>
            <w:r>
              <w:rPr>
                <w:noProof/>
              </w:rPr>
              <w:fldChar w:fldCharType="end"/>
            </w:r>
          </w:hyperlink>
        </w:p>
        <w:p w14:paraId="0C1BC648" w14:textId="58F2E926" w:rsidR="00B21702" w:rsidRDefault="00B21702">
          <w:pPr>
            <w:pStyle w:val="ndice3"/>
            <w:tabs>
              <w:tab w:val="right" w:leader="dot" w:pos="9736"/>
            </w:tabs>
            <w:rPr>
              <w:noProof/>
            </w:rPr>
          </w:pPr>
          <w:hyperlink w:anchor="_Toc236570105" w:history="1">
            <w:r w:rsidRPr="00BB52AA">
              <w:rPr>
                <w:rStyle w:val="Hiperligao"/>
                <w:noProof/>
              </w:rPr>
              <w:t>O direito a alimentos vencidos e não pagos NÃO SE TRANSMITE aos herdeiros em caso de morte do alimentando</w:t>
            </w:r>
            <w:r>
              <w:rPr>
                <w:noProof/>
              </w:rPr>
              <w:tab/>
            </w:r>
            <w:r>
              <w:rPr>
                <w:noProof/>
              </w:rPr>
              <w:fldChar w:fldCharType="begin"/>
            </w:r>
            <w:r>
              <w:rPr>
                <w:noProof/>
              </w:rPr>
              <w:instrText xml:space="preserve"> PAGEREF _Toc236570105 \h </w:instrText>
            </w:r>
            <w:r>
              <w:rPr>
                <w:noProof/>
              </w:rPr>
            </w:r>
            <w:r>
              <w:rPr>
                <w:noProof/>
              </w:rPr>
              <w:fldChar w:fldCharType="separate"/>
            </w:r>
            <w:r>
              <w:rPr>
                <w:noProof/>
              </w:rPr>
              <w:t>25</w:t>
            </w:r>
            <w:r>
              <w:rPr>
                <w:noProof/>
              </w:rPr>
              <w:fldChar w:fldCharType="end"/>
            </w:r>
          </w:hyperlink>
        </w:p>
        <w:p w14:paraId="20927D9E" w14:textId="39BCE803" w:rsidR="00B21702" w:rsidRDefault="00B21702">
          <w:pPr>
            <w:pStyle w:val="ndice3"/>
            <w:tabs>
              <w:tab w:val="right" w:leader="dot" w:pos="9736"/>
            </w:tabs>
            <w:rPr>
              <w:noProof/>
            </w:rPr>
          </w:pPr>
          <w:hyperlink w:anchor="_Toc236570106" w:history="1">
            <w:r w:rsidRPr="00BB52AA">
              <w:rPr>
                <w:rStyle w:val="Hiperligao"/>
                <w:noProof/>
              </w:rPr>
              <w:t>Continuidade prolongada do pagamento voluntário de alimentos gera legítima expectativa de manutenção por prazo indeterminado (supressio e surrectio)</w:t>
            </w:r>
            <w:r>
              <w:rPr>
                <w:noProof/>
              </w:rPr>
              <w:tab/>
            </w:r>
            <w:r>
              <w:rPr>
                <w:noProof/>
              </w:rPr>
              <w:fldChar w:fldCharType="begin"/>
            </w:r>
            <w:r>
              <w:rPr>
                <w:noProof/>
              </w:rPr>
              <w:instrText xml:space="preserve"> PAGEREF _Toc236570106 \h </w:instrText>
            </w:r>
            <w:r>
              <w:rPr>
                <w:noProof/>
              </w:rPr>
            </w:r>
            <w:r>
              <w:rPr>
                <w:noProof/>
              </w:rPr>
              <w:fldChar w:fldCharType="separate"/>
            </w:r>
            <w:r>
              <w:rPr>
                <w:noProof/>
              </w:rPr>
              <w:t>26</w:t>
            </w:r>
            <w:r>
              <w:rPr>
                <w:noProof/>
              </w:rPr>
              <w:fldChar w:fldCharType="end"/>
            </w:r>
          </w:hyperlink>
        </w:p>
        <w:p w14:paraId="2EE9D87D" w14:textId="4DA4F799" w:rsidR="00B21702" w:rsidRDefault="00B21702">
          <w:pPr>
            <w:pStyle w:val="ndice3"/>
            <w:tabs>
              <w:tab w:val="right" w:leader="dot" w:pos="9736"/>
            </w:tabs>
            <w:rPr>
              <w:noProof/>
            </w:rPr>
          </w:pPr>
          <w:hyperlink w:anchor="_Toc236570107" w:history="1">
            <w:r w:rsidRPr="00BB52AA">
              <w:rPr>
                <w:rStyle w:val="Hiperligao"/>
                <w:noProof/>
              </w:rPr>
              <w:t>Não se aplica por analogia o regime de alimentos (baseado na filiação) a animais de estimação — e nova lei disciplina o tema</w:t>
            </w:r>
            <w:r>
              <w:rPr>
                <w:noProof/>
              </w:rPr>
              <w:tab/>
            </w:r>
            <w:r>
              <w:rPr>
                <w:noProof/>
              </w:rPr>
              <w:fldChar w:fldCharType="begin"/>
            </w:r>
            <w:r>
              <w:rPr>
                <w:noProof/>
              </w:rPr>
              <w:instrText xml:space="preserve"> PAGEREF _Toc236570107 \h </w:instrText>
            </w:r>
            <w:r>
              <w:rPr>
                <w:noProof/>
              </w:rPr>
            </w:r>
            <w:r>
              <w:rPr>
                <w:noProof/>
              </w:rPr>
              <w:fldChar w:fldCharType="separate"/>
            </w:r>
            <w:r>
              <w:rPr>
                <w:noProof/>
              </w:rPr>
              <w:t>26</w:t>
            </w:r>
            <w:r>
              <w:rPr>
                <w:noProof/>
              </w:rPr>
              <w:fldChar w:fldCharType="end"/>
            </w:r>
          </w:hyperlink>
        </w:p>
        <w:p w14:paraId="5C22EED4" w14:textId="4FF1C1A1" w:rsidR="00B21702" w:rsidRDefault="00B21702">
          <w:pPr>
            <w:pStyle w:val="ndice3"/>
            <w:tabs>
              <w:tab w:val="right" w:leader="dot" w:pos="9736"/>
            </w:tabs>
            <w:rPr>
              <w:noProof/>
            </w:rPr>
          </w:pPr>
          <w:hyperlink w:anchor="_Toc236570108" w:history="1">
            <w:r w:rsidRPr="00BB52AA">
              <w:rPr>
                <w:rStyle w:val="Hiperligao"/>
                <w:noProof/>
              </w:rPr>
              <w:t>Inadimplemento de alimentos compensatórios não autoriza prisão civil</w:t>
            </w:r>
            <w:r>
              <w:rPr>
                <w:noProof/>
              </w:rPr>
              <w:tab/>
            </w:r>
            <w:r>
              <w:rPr>
                <w:noProof/>
              </w:rPr>
              <w:fldChar w:fldCharType="begin"/>
            </w:r>
            <w:r>
              <w:rPr>
                <w:noProof/>
              </w:rPr>
              <w:instrText xml:space="preserve"> PAGEREF _Toc236570108 \h </w:instrText>
            </w:r>
            <w:r>
              <w:rPr>
                <w:noProof/>
              </w:rPr>
            </w:r>
            <w:r>
              <w:rPr>
                <w:noProof/>
              </w:rPr>
              <w:fldChar w:fldCharType="separate"/>
            </w:r>
            <w:r>
              <w:rPr>
                <w:noProof/>
              </w:rPr>
              <w:t>27</w:t>
            </w:r>
            <w:r>
              <w:rPr>
                <w:noProof/>
              </w:rPr>
              <w:fldChar w:fldCharType="end"/>
            </w:r>
          </w:hyperlink>
        </w:p>
        <w:p w14:paraId="4331166E" w14:textId="373EDD2B" w:rsidR="00B21702" w:rsidRDefault="00B21702">
          <w:pPr>
            <w:pStyle w:val="ndice3"/>
            <w:tabs>
              <w:tab w:val="right" w:leader="dot" w:pos="9736"/>
            </w:tabs>
            <w:rPr>
              <w:noProof/>
            </w:rPr>
          </w:pPr>
          <w:hyperlink w:anchor="_Toc236570109" w:history="1">
            <w:r w:rsidRPr="00BB52AA">
              <w:rPr>
                <w:rStyle w:val="Hiperligao"/>
                <w:noProof/>
              </w:rPr>
              <w:t>Preso não fica automaticamente desobrigado de prestar alimentos</w:t>
            </w:r>
            <w:r>
              <w:rPr>
                <w:noProof/>
              </w:rPr>
              <w:tab/>
            </w:r>
            <w:r>
              <w:rPr>
                <w:noProof/>
              </w:rPr>
              <w:fldChar w:fldCharType="begin"/>
            </w:r>
            <w:r>
              <w:rPr>
                <w:noProof/>
              </w:rPr>
              <w:instrText xml:space="preserve"> PAGEREF _Toc236570109 \h </w:instrText>
            </w:r>
            <w:r>
              <w:rPr>
                <w:noProof/>
              </w:rPr>
            </w:r>
            <w:r>
              <w:rPr>
                <w:noProof/>
              </w:rPr>
              <w:fldChar w:fldCharType="separate"/>
            </w:r>
            <w:r>
              <w:rPr>
                <w:noProof/>
              </w:rPr>
              <w:t>27</w:t>
            </w:r>
            <w:r>
              <w:rPr>
                <w:noProof/>
              </w:rPr>
              <w:fldChar w:fldCharType="end"/>
            </w:r>
          </w:hyperlink>
        </w:p>
        <w:p w14:paraId="4D364484" w14:textId="775D6BDA" w:rsidR="00B21702" w:rsidRDefault="00B21702">
          <w:pPr>
            <w:pStyle w:val="ndice2"/>
            <w:tabs>
              <w:tab w:val="right" w:leader="dot" w:pos="9736"/>
            </w:tabs>
            <w:rPr>
              <w:noProof/>
            </w:rPr>
          </w:pPr>
          <w:hyperlink w:anchor="_Toc236570110" w:history="1">
            <w:r w:rsidRPr="00BB52AA">
              <w:rPr>
                <w:rStyle w:val="Hiperligao"/>
                <w:noProof/>
              </w:rPr>
              <w:t>GRUPO 2 — Fixação, quantum e prova da capacidade/necessidade</w:t>
            </w:r>
            <w:r>
              <w:rPr>
                <w:noProof/>
              </w:rPr>
              <w:tab/>
            </w:r>
            <w:r>
              <w:rPr>
                <w:noProof/>
              </w:rPr>
              <w:fldChar w:fldCharType="begin"/>
            </w:r>
            <w:r>
              <w:rPr>
                <w:noProof/>
              </w:rPr>
              <w:instrText xml:space="preserve"> PAGEREF _Toc236570110 \h </w:instrText>
            </w:r>
            <w:r>
              <w:rPr>
                <w:noProof/>
              </w:rPr>
            </w:r>
            <w:r>
              <w:rPr>
                <w:noProof/>
              </w:rPr>
              <w:fldChar w:fldCharType="separate"/>
            </w:r>
            <w:r>
              <w:rPr>
                <w:noProof/>
              </w:rPr>
              <w:t>27</w:t>
            </w:r>
            <w:r>
              <w:rPr>
                <w:noProof/>
              </w:rPr>
              <w:fldChar w:fldCharType="end"/>
            </w:r>
          </w:hyperlink>
        </w:p>
        <w:p w14:paraId="35EF4B87" w14:textId="45622B44" w:rsidR="00B21702" w:rsidRDefault="00B21702">
          <w:pPr>
            <w:pStyle w:val="ndice3"/>
            <w:tabs>
              <w:tab w:val="right" w:leader="dot" w:pos="9736"/>
            </w:tabs>
            <w:rPr>
              <w:noProof/>
            </w:rPr>
          </w:pPr>
          <w:hyperlink w:anchor="_Toc236570111" w:history="1">
            <w:r w:rsidRPr="00BB52AA">
              <w:rPr>
                <w:rStyle w:val="Hiperligao"/>
                <w:noProof/>
              </w:rPr>
              <w:t>Cabível a quebra de sigilo fiscal e bancário do alimentante quando não houver outro meio idôneo de apurar sua real capacidade econômica</w:t>
            </w:r>
            <w:r>
              <w:rPr>
                <w:noProof/>
              </w:rPr>
              <w:tab/>
            </w:r>
            <w:r>
              <w:rPr>
                <w:noProof/>
              </w:rPr>
              <w:fldChar w:fldCharType="begin"/>
            </w:r>
            <w:r>
              <w:rPr>
                <w:noProof/>
              </w:rPr>
              <w:instrText xml:space="preserve"> PAGEREF _Toc236570111 \h </w:instrText>
            </w:r>
            <w:r>
              <w:rPr>
                <w:noProof/>
              </w:rPr>
            </w:r>
            <w:r>
              <w:rPr>
                <w:noProof/>
              </w:rPr>
              <w:fldChar w:fldCharType="separate"/>
            </w:r>
            <w:r>
              <w:rPr>
                <w:noProof/>
              </w:rPr>
              <w:t>28</w:t>
            </w:r>
            <w:r>
              <w:rPr>
                <w:noProof/>
              </w:rPr>
              <w:fldChar w:fldCharType="end"/>
            </w:r>
          </w:hyperlink>
        </w:p>
        <w:p w14:paraId="38315023" w14:textId="688C971F" w:rsidR="00B21702" w:rsidRDefault="00B21702">
          <w:pPr>
            <w:pStyle w:val="ndice3"/>
            <w:tabs>
              <w:tab w:val="right" w:leader="dot" w:pos="9736"/>
            </w:tabs>
            <w:rPr>
              <w:noProof/>
            </w:rPr>
          </w:pPr>
          <w:hyperlink w:anchor="_Toc236570112" w:history="1">
            <w:r w:rsidRPr="00BB52AA">
              <w:rPr>
                <w:rStyle w:val="Hiperligao"/>
                <w:noProof/>
              </w:rPr>
              <w:t>É possível fixar alimentos em patamar inferior ao pedido na inicial mesmo com revelia do réu</w:t>
            </w:r>
            <w:r>
              <w:rPr>
                <w:noProof/>
              </w:rPr>
              <w:tab/>
            </w:r>
            <w:r>
              <w:rPr>
                <w:noProof/>
              </w:rPr>
              <w:fldChar w:fldCharType="begin"/>
            </w:r>
            <w:r>
              <w:rPr>
                <w:noProof/>
              </w:rPr>
              <w:instrText xml:space="preserve"> PAGEREF _Toc236570112 \h </w:instrText>
            </w:r>
            <w:r>
              <w:rPr>
                <w:noProof/>
              </w:rPr>
            </w:r>
            <w:r>
              <w:rPr>
                <w:noProof/>
              </w:rPr>
              <w:fldChar w:fldCharType="separate"/>
            </w:r>
            <w:r>
              <w:rPr>
                <w:noProof/>
              </w:rPr>
              <w:t>28</w:t>
            </w:r>
            <w:r>
              <w:rPr>
                <w:noProof/>
              </w:rPr>
              <w:fldChar w:fldCharType="end"/>
            </w:r>
          </w:hyperlink>
        </w:p>
        <w:p w14:paraId="56DC1D3D" w14:textId="1614B2BF" w:rsidR="00B21702" w:rsidRDefault="00B21702">
          <w:pPr>
            <w:pStyle w:val="ndice2"/>
            <w:tabs>
              <w:tab w:val="right" w:leader="dot" w:pos="9736"/>
            </w:tabs>
            <w:rPr>
              <w:noProof/>
            </w:rPr>
          </w:pPr>
          <w:hyperlink w:anchor="_Toc236570113" w:history="1">
            <w:r w:rsidRPr="00BB52AA">
              <w:rPr>
                <w:rStyle w:val="Hiperligao"/>
                <w:noProof/>
              </w:rPr>
              <w:t>GRUPO 3 — Maioridade, revisão e exoneração de alimentos</w:t>
            </w:r>
            <w:r>
              <w:rPr>
                <w:noProof/>
              </w:rPr>
              <w:tab/>
            </w:r>
            <w:r>
              <w:rPr>
                <w:noProof/>
              </w:rPr>
              <w:fldChar w:fldCharType="begin"/>
            </w:r>
            <w:r>
              <w:rPr>
                <w:noProof/>
              </w:rPr>
              <w:instrText xml:space="preserve"> PAGEREF _Toc236570113 \h </w:instrText>
            </w:r>
            <w:r>
              <w:rPr>
                <w:noProof/>
              </w:rPr>
            </w:r>
            <w:r>
              <w:rPr>
                <w:noProof/>
              </w:rPr>
              <w:fldChar w:fldCharType="separate"/>
            </w:r>
            <w:r>
              <w:rPr>
                <w:noProof/>
              </w:rPr>
              <w:t>28</w:t>
            </w:r>
            <w:r>
              <w:rPr>
                <w:noProof/>
              </w:rPr>
              <w:fldChar w:fldCharType="end"/>
            </w:r>
          </w:hyperlink>
        </w:p>
        <w:p w14:paraId="555A94C9" w14:textId="095C6110" w:rsidR="00B21702" w:rsidRDefault="00B21702">
          <w:pPr>
            <w:pStyle w:val="ndice3"/>
            <w:tabs>
              <w:tab w:val="right" w:leader="dot" w:pos="9736"/>
            </w:tabs>
            <w:rPr>
              <w:noProof/>
            </w:rPr>
          </w:pPr>
          <w:hyperlink w:anchor="_Toc236570114" w:history="1">
            <w:r w:rsidRPr="00BB52AA">
              <w:rPr>
                <w:rStyle w:val="Hiperligao"/>
                <w:noProof/>
              </w:rPr>
              <w:t>Maioridade civil e capacidade em tese de autossustento não desconstituem, por si só, a obrigação alimentar</w:t>
            </w:r>
            <w:r>
              <w:rPr>
                <w:noProof/>
              </w:rPr>
              <w:tab/>
            </w:r>
            <w:r>
              <w:rPr>
                <w:noProof/>
              </w:rPr>
              <w:fldChar w:fldCharType="begin"/>
            </w:r>
            <w:r>
              <w:rPr>
                <w:noProof/>
              </w:rPr>
              <w:instrText xml:space="preserve"> PAGEREF _Toc236570114 \h </w:instrText>
            </w:r>
            <w:r>
              <w:rPr>
                <w:noProof/>
              </w:rPr>
            </w:r>
            <w:r>
              <w:rPr>
                <w:noProof/>
              </w:rPr>
              <w:fldChar w:fldCharType="separate"/>
            </w:r>
            <w:r>
              <w:rPr>
                <w:noProof/>
              </w:rPr>
              <w:t>28</w:t>
            </w:r>
            <w:r>
              <w:rPr>
                <w:noProof/>
              </w:rPr>
              <w:fldChar w:fldCharType="end"/>
            </w:r>
          </w:hyperlink>
        </w:p>
        <w:p w14:paraId="0F0AC4E1" w14:textId="1763FE18" w:rsidR="00B21702" w:rsidRDefault="00B21702">
          <w:pPr>
            <w:pStyle w:val="ndice3"/>
            <w:tabs>
              <w:tab w:val="right" w:leader="dot" w:pos="9736"/>
            </w:tabs>
            <w:rPr>
              <w:noProof/>
            </w:rPr>
          </w:pPr>
          <w:hyperlink w:anchor="_Toc236570115" w:history="1">
            <w:r w:rsidRPr="00BB52AA">
              <w:rPr>
                <w:rStyle w:val="Hiperligao"/>
                <w:noProof/>
              </w:rPr>
              <w:t>Prisão civil pode ser excepcionalmente afastada quando as particularidades do caso evidenciam ausência de urgência no recebimento dos alimentos executados</w:t>
            </w:r>
            <w:r>
              <w:rPr>
                <w:noProof/>
              </w:rPr>
              <w:tab/>
            </w:r>
            <w:r>
              <w:rPr>
                <w:noProof/>
              </w:rPr>
              <w:fldChar w:fldCharType="begin"/>
            </w:r>
            <w:r>
              <w:rPr>
                <w:noProof/>
              </w:rPr>
              <w:instrText xml:space="preserve"> PAGEREF _Toc236570115 \h </w:instrText>
            </w:r>
            <w:r>
              <w:rPr>
                <w:noProof/>
              </w:rPr>
            </w:r>
            <w:r>
              <w:rPr>
                <w:noProof/>
              </w:rPr>
              <w:fldChar w:fldCharType="separate"/>
            </w:r>
            <w:r>
              <w:rPr>
                <w:noProof/>
              </w:rPr>
              <w:t>29</w:t>
            </w:r>
            <w:r>
              <w:rPr>
                <w:noProof/>
              </w:rPr>
              <w:fldChar w:fldCharType="end"/>
            </w:r>
          </w:hyperlink>
        </w:p>
        <w:p w14:paraId="2B2FA7C2" w14:textId="1069B625" w:rsidR="00B21702" w:rsidRDefault="00B21702">
          <w:pPr>
            <w:pStyle w:val="ndice2"/>
            <w:tabs>
              <w:tab w:val="right" w:leader="dot" w:pos="9736"/>
            </w:tabs>
            <w:rPr>
              <w:noProof/>
            </w:rPr>
          </w:pPr>
          <w:hyperlink w:anchor="_Toc236570116" w:history="1">
            <w:r w:rsidRPr="00BB52AA">
              <w:rPr>
                <w:rStyle w:val="Hiperligao"/>
                <w:noProof/>
              </w:rPr>
              <w:t>GRUPO 4 — Prisão civil (aspectos processuais e execução coercitiva)</w:t>
            </w:r>
            <w:r>
              <w:rPr>
                <w:noProof/>
              </w:rPr>
              <w:tab/>
            </w:r>
            <w:r>
              <w:rPr>
                <w:noProof/>
              </w:rPr>
              <w:fldChar w:fldCharType="begin"/>
            </w:r>
            <w:r>
              <w:rPr>
                <w:noProof/>
              </w:rPr>
              <w:instrText xml:space="preserve"> PAGEREF _Toc236570116 \h </w:instrText>
            </w:r>
            <w:r>
              <w:rPr>
                <w:noProof/>
              </w:rPr>
            </w:r>
            <w:r>
              <w:rPr>
                <w:noProof/>
              </w:rPr>
              <w:fldChar w:fldCharType="separate"/>
            </w:r>
            <w:r>
              <w:rPr>
                <w:noProof/>
              </w:rPr>
              <w:t>29</w:t>
            </w:r>
            <w:r>
              <w:rPr>
                <w:noProof/>
              </w:rPr>
              <w:fldChar w:fldCharType="end"/>
            </w:r>
          </w:hyperlink>
        </w:p>
        <w:p w14:paraId="5E4383E8" w14:textId="605C5E48" w:rsidR="00B21702" w:rsidRDefault="00B21702">
          <w:pPr>
            <w:pStyle w:val="ndice3"/>
            <w:tabs>
              <w:tab w:val="right" w:leader="dot" w:pos="9736"/>
            </w:tabs>
            <w:rPr>
              <w:noProof/>
            </w:rPr>
          </w:pPr>
          <w:hyperlink w:anchor="_Toc236570117" w:history="1">
            <w:r w:rsidRPr="00BB52AA">
              <w:rPr>
                <w:rStyle w:val="Hiperligao"/>
                <w:noProof/>
              </w:rPr>
              <w:t>Intimação via WhatsApp não tem previsão legal e não pode fundamentar decreto de prisão civil do devedor de alimentos</w:t>
            </w:r>
            <w:r>
              <w:rPr>
                <w:noProof/>
              </w:rPr>
              <w:tab/>
            </w:r>
            <w:r>
              <w:rPr>
                <w:noProof/>
              </w:rPr>
              <w:fldChar w:fldCharType="begin"/>
            </w:r>
            <w:r>
              <w:rPr>
                <w:noProof/>
              </w:rPr>
              <w:instrText xml:space="preserve"> PAGEREF _Toc236570117 \h </w:instrText>
            </w:r>
            <w:r>
              <w:rPr>
                <w:noProof/>
              </w:rPr>
            </w:r>
            <w:r>
              <w:rPr>
                <w:noProof/>
              </w:rPr>
              <w:fldChar w:fldCharType="separate"/>
            </w:r>
            <w:r>
              <w:rPr>
                <w:noProof/>
              </w:rPr>
              <w:t>29</w:t>
            </w:r>
            <w:r>
              <w:rPr>
                <w:noProof/>
              </w:rPr>
              <w:fldChar w:fldCharType="end"/>
            </w:r>
          </w:hyperlink>
        </w:p>
        <w:p w14:paraId="5F285197" w14:textId="715FC7E0" w:rsidR="00B21702" w:rsidRDefault="00B21702">
          <w:pPr>
            <w:pStyle w:val="ndice3"/>
            <w:tabs>
              <w:tab w:val="right" w:leader="dot" w:pos="9736"/>
            </w:tabs>
            <w:rPr>
              <w:noProof/>
            </w:rPr>
          </w:pPr>
          <w:hyperlink w:anchor="_Toc236570118" w:history="1">
            <w:r w:rsidRPr="00BB52AA">
              <w:rPr>
                <w:rStyle w:val="Hiperligao"/>
                <w:noProof/>
              </w:rPr>
              <w:t>Ausência de vagas no sistema penitenciário, por si só, não justifica substituição do regime fechado pelo aberto na prisão civil</w:t>
            </w:r>
            <w:r>
              <w:rPr>
                <w:noProof/>
              </w:rPr>
              <w:tab/>
            </w:r>
            <w:r>
              <w:rPr>
                <w:noProof/>
              </w:rPr>
              <w:fldChar w:fldCharType="begin"/>
            </w:r>
            <w:r>
              <w:rPr>
                <w:noProof/>
              </w:rPr>
              <w:instrText xml:space="preserve"> PAGEREF _Toc236570118 \h </w:instrText>
            </w:r>
            <w:r>
              <w:rPr>
                <w:noProof/>
              </w:rPr>
            </w:r>
            <w:r>
              <w:rPr>
                <w:noProof/>
              </w:rPr>
              <w:fldChar w:fldCharType="separate"/>
            </w:r>
            <w:r>
              <w:rPr>
                <w:noProof/>
              </w:rPr>
              <w:t>30</w:t>
            </w:r>
            <w:r>
              <w:rPr>
                <w:noProof/>
              </w:rPr>
              <w:fldChar w:fldCharType="end"/>
            </w:r>
          </w:hyperlink>
        </w:p>
        <w:p w14:paraId="28CF06CB" w14:textId="14AF8E2D" w:rsidR="00B21702" w:rsidRDefault="00B21702">
          <w:pPr>
            <w:pStyle w:val="ndice3"/>
            <w:tabs>
              <w:tab w:val="right" w:leader="dot" w:pos="9736"/>
            </w:tabs>
            <w:rPr>
              <w:noProof/>
            </w:rPr>
          </w:pPr>
          <w:hyperlink w:anchor="_Toc236570119" w:history="1">
            <w:r w:rsidRPr="00BB52AA">
              <w:rPr>
                <w:rStyle w:val="Hiperligao"/>
                <w:noProof/>
              </w:rPr>
              <w:t>Decisão que decreta prisão civil deve ser fundamentada quanto à dosimetria do prazo de encarceramento (1 a 3 meses)</w:t>
            </w:r>
            <w:r>
              <w:rPr>
                <w:noProof/>
              </w:rPr>
              <w:tab/>
            </w:r>
            <w:r>
              <w:rPr>
                <w:noProof/>
              </w:rPr>
              <w:fldChar w:fldCharType="begin"/>
            </w:r>
            <w:r>
              <w:rPr>
                <w:noProof/>
              </w:rPr>
              <w:instrText xml:space="preserve"> PAGEREF _Toc236570119 \h </w:instrText>
            </w:r>
            <w:r>
              <w:rPr>
                <w:noProof/>
              </w:rPr>
            </w:r>
            <w:r>
              <w:rPr>
                <w:noProof/>
              </w:rPr>
              <w:fldChar w:fldCharType="separate"/>
            </w:r>
            <w:r>
              <w:rPr>
                <w:noProof/>
              </w:rPr>
              <w:t>30</w:t>
            </w:r>
            <w:r>
              <w:rPr>
                <w:noProof/>
              </w:rPr>
              <w:fldChar w:fldCharType="end"/>
            </w:r>
          </w:hyperlink>
        </w:p>
        <w:p w14:paraId="294453AB" w14:textId="1F72B50C" w:rsidR="00B21702" w:rsidRDefault="00B21702">
          <w:pPr>
            <w:pStyle w:val="ndice3"/>
            <w:tabs>
              <w:tab w:val="right" w:leader="dot" w:pos="9736"/>
            </w:tabs>
            <w:rPr>
              <w:noProof/>
            </w:rPr>
          </w:pPr>
          <w:hyperlink w:anchor="_Toc236570120" w:history="1">
            <w:r w:rsidRPr="00BB52AA">
              <w:rPr>
                <w:rStyle w:val="Hiperligao"/>
                <w:noProof/>
              </w:rPr>
              <w:t>Prerrogativa de sala de Estado-Maior (art. 7º, V, Estatuto da OAB) não se aplica à prisão civil do advogado devedor de alimentos</w:t>
            </w:r>
            <w:r>
              <w:rPr>
                <w:noProof/>
              </w:rPr>
              <w:tab/>
            </w:r>
            <w:r>
              <w:rPr>
                <w:noProof/>
              </w:rPr>
              <w:fldChar w:fldCharType="begin"/>
            </w:r>
            <w:r>
              <w:rPr>
                <w:noProof/>
              </w:rPr>
              <w:instrText xml:space="preserve"> PAGEREF _Toc236570120 \h </w:instrText>
            </w:r>
            <w:r>
              <w:rPr>
                <w:noProof/>
              </w:rPr>
            </w:r>
            <w:r>
              <w:rPr>
                <w:noProof/>
              </w:rPr>
              <w:fldChar w:fldCharType="separate"/>
            </w:r>
            <w:r>
              <w:rPr>
                <w:noProof/>
              </w:rPr>
              <w:t>31</w:t>
            </w:r>
            <w:r>
              <w:rPr>
                <w:noProof/>
              </w:rPr>
              <w:fldChar w:fldCharType="end"/>
            </w:r>
          </w:hyperlink>
        </w:p>
        <w:p w14:paraId="3D4A8A42" w14:textId="0207A2E7" w:rsidR="00B21702" w:rsidRDefault="00B21702">
          <w:pPr>
            <w:pStyle w:val="ndice3"/>
            <w:tabs>
              <w:tab w:val="right" w:leader="dot" w:pos="9736"/>
            </w:tabs>
            <w:rPr>
              <w:noProof/>
            </w:rPr>
          </w:pPr>
          <w:hyperlink w:anchor="_Toc236570121" w:history="1">
            <w:r w:rsidRPr="00BB52AA">
              <w:rPr>
                <w:rStyle w:val="Hiperligao"/>
                <w:noProof/>
              </w:rPr>
              <w:t>Prisão civil de devedora de alimentos pode ser convertida em domiciliar quando ela tem filho de até 12 anos (analogia ao art. 318, V, CPP)</w:t>
            </w:r>
            <w:r>
              <w:rPr>
                <w:noProof/>
              </w:rPr>
              <w:tab/>
            </w:r>
            <w:r>
              <w:rPr>
                <w:noProof/>
              </w:rPr>
              <w:fldChar w:fldCharType="begin"/>
            </w:r>
            <w:r>
              <w:rPr>
                <w:noProof/>
              </w:rPr>
              <w:instrText xml:space="preserve"> PAGEREF _Toc236570121 \h </w:instrText>
            </w:r>
            <w:r>
              <w:rPr>
                <w:noProof/>
              </w:rPr>
            </w:r>
            <w:r>
              <w:rPr>
                <w:noProof/>
              </w:rPr>
              <w:fldChar w:fldCharType="separate"/>
            </w:r>
            <w:r>
              <w:rPr>
                <w:noProof/>
              </w:rPr>
              <w:t>31</w:t>
            </w:r>
            <w:r>
              <w:rPr>
                <w:noProof/>
              </w:rPr>
              <w:fldChar w:fldCharType="end"/>
            </w:r>
          </w:hyperlink>
        </w:p>
        <w:p w14:paraId="6FA6D639" w14:textId="1760F099" w:rsidR="00B21702" w:rsidRDefault="00B21702">
          <w:pPr>
            <w:pStyle w:val="ndice2"/>
            <w:tabs>
              <w:tab w:val="right" w:leader="dot" w:pos="9736"/>
            </w:tabs>
            <w:rPr>
              <w:noProof/>
            </w:rPr>
          </w:pPr>
          <w:hyperlink w:anchor="_Toc236570122" w:history="1">
            <w:r w:rsidRPr="00BB52AA">
              <w:rPr>
                <w:rStyle w:val="Hiperligao"/>
                <w:noProof/>
              </w:rPr>
              <w:t>GRUPO 5 — Execução de alimentos</w:t>
            </w:r>
            <w:r>
              <w:rPr>
                <w:noProof/>
              </w:rPr>
              <w:tab/>
            </w:r>
            <w:r>
              <w:rPr>
                <w:noProof/>
              </w:rPr>
              <w:fldChar w:fldCharType="begin"/>
            </w:r>
            <w:r>
              <w:rPr>
                <w:noProof/>
              </w:rPr>
              <w:instrText xml:space="preserve"> PAGEREF _Toc236570122 \h </w:instrText>
            </w:r>
            <w:r>
              <w:rPr>
                <w:noProof/>
              </w:rPr>
            </w:r>
            <w:r>
              <w:rPr>
                <w:noProof/>
              </w:rPr>
              <w:fldChar w:fldCharType="separate"/>
            </w:r>
            <w:r>
              <w:rPr>
                <w:noProof/>
              </w:rPr>
              <w:t>32</w:t>
            </w:r>
            <w:r>
              <w:rPr>
                <w:noProof/>
              </w:rPr>
              <w:fldChar w:fldCharType="end"/>
            </w:r>
          </w:hyperlink>
        </w:p>
        <w:p w14:paraId="6E753726" w14:textId="3C6F86EA" w:rsidR="00B21702" w:rsidRDefault="00B21702">
          <w:pPr>
            <w:pStyle w:val="ndice3"/>
            <w:tabs>
              <w:tab w:val="right" w:leader="dot" w:pos="9736"/>
            </w:tabs>
            <w:rPr>
              <w:noProof/>
            </w:rPr>
          </w:pPr>
          <w:hyperlink w:anchor="_Toc236570123" w:history="1">
            <w:r w:rsidRPr="00BB52AA">
              <w:rPr>
                <w:rStyle w:val="Hiperligao"/>
                <w:noProof/>
              </w:rPr>
              <w:t>É possível a cumulação de prisão civil (coerção pessoal) e penhora (coerção patrimonial) na mesma execução de alimentos</w:t>
            </w:r>
            <w:r>
              <w:rPr>
                <w:noProof/>
              </w:rPr>
              <w:tab/>
            </w:r>
            <w:r>
              <w:rPr>
                <w:noProof/>
              </w:rPr>
              <w:fldChar w:fldCharType="begin"/>
            </w:r>
            <w:r>
              <w:rPr>
                <w:noProof/>
              </w:rPr>
              <w:instrText xml:space="preserve"> PAGEREF _Toc236570123 \h </w:instrText>
            </w:r>
            <w:r>
              <w:rPr>
                <w:noProof/>
              </w:rPr>
            </w:r>
            <w:r>
              <w:rPr>
                <w:noProof/>
              </w:rPr>
              <w:fldChar w:fldCharType="separate"/>
            </w:r>
            <w:r>
              <w:rPr>
                <w:noProof/>
              </w:rPr>
              <w:t>32</w:t>
            </w:r>
            <w:r>
              <w:rPr>
                <w:noProof/>
              </w:rPr>
              <w:fldChar w:fldCharType="end"/>
            </w:r>
          </w:hyperlink>
        </w:p>
        <w:p w14:paraId="21D1A31E" w14:textId="5D847AD8" w:rsidR="00B21702" w:rsidRDefault="00B21702">
          <w:pPr>
            <w:pStyle w:val="ndice3"/>
            <w:tabs>
              <w:tab w:val="right" w:leader="dot" w:pos="9736"/>
            </w:tabs>
            <w:rPr>
              <w:noProof/>
            </w:rPr>
          </w:pPr>
          <w:hyperlink w:anchor="_Toc236570124" w:history="1">
            <w:r w:rsidRPr="00BB52AA">
              <w:rPr>
                <w:rStyle w:val="Hiperligao"/>
                <w:noProof/>
              </w:rPr>
              <w:t>Execução de alimentos pelo rito da penhora permite a inclusão de prestações vencidas no curso do processo</w:t>
            </w:r>
            <w:r>
              <w:rPr>
                <w:noProof/>
              </w:rPr>
              <w:tab/>
            </w:r>
            <w:r>
              <w:rPr>
                <w:noProof/>
              </w:rPr>
              <w:fldChar w:fldCharType="begin"/>
            </w:r>
            <w:r>
              <w:rPr>
                <w:noProof/>
              </w:rPr>
              <w:instrText xml:space="preserve"> PAGEREF _Toc236570124 \h </w:instrText>
            </w:r>
            <w:r>
              <w:rPr>
                <w:noProof/>
              </w:rPr>
            </w:r>
            <w:r>
              <w:rPr>
                <w:noProof/>
              </w:rPr>
              <w:fldChar w:fldCharType="separate"/>
            </w:r>
            <w:r>
              <w:rPr>
                <w:noProof/>
              </w:rPr>
              <w:t>32</w:t>
            </w:r>
            <w:r>
              <w:rPr>
                <w:noProof/>
              </w:rPr>
              <w:fldChar w:fldCharType="end"/>
            </w:r>
          </w:hyperlink>
        </w:p>
        <w:p w14:paraId="026B888C" w14:textId="75B75EA8" w:rsidR="00B21702" w:rsidRDefault="00B21702">
          <w:pPr>
            <w:pStyle w:val="ndice2"/>
            <w:tabs>
              <w:tab w:val="right" w:leader="dot" w:pos="9736"/>
            </w:tabs>
            <w:rPr>
              <w:noProof/>
            </w:rPr>
          </w:pPr>
          <w:hyperlink w:anchor="_Toc236570125" w:history="1">
            <w:r w:rsidRPr="00BB52AA">
              <w:rPr>
                <w:rStyle w:val="Hiperligao"/>
                <w:noProof/>
              </w:rPr>
              <w:t>GRUPO 6 — Aspectos processuais gerais da ação de alimentos</w:t>
            </w:r>
            <w:r>
              <w:rPr>
                <w:noProof/>
              </w:rPr>
              <w:tab/>
            </w:r>
            <w:r>
              <w:rPr>
                <w:noProof/>
              </w:rPr>
              <w:fldChar w:fldCharType="begin"/>
            </w:r>
            <w:r>
              <w:rPr>
                <w:noProof/>
              </w:rPr>
              <w:instrText xml:space="preserve"> PAGEREF _Toc236570125 \h </w:instrText>
            </w:r>
            <w:r>
              <w:rPr>
                <w:noProof/>
              </w:rPr>
            </w:r>
            <w:r>
              <w:rPr>
                <w:noProof/>
              </w:rPr>
              <w:fldChar w:fldCharType="separate"/>
            </w:r>
            <w:r>
              <w:rPr>
                <w:noProof/>
              </w:rPr>
              <w:t>33</w:t>
            </w:r>
            <w:r>
              <w:rPr>
                <w:noProof/>
              </w:rPr>
              <w:fldChar w:fldCharType="end"/>
            </w:r>
          </w:hyperlink>
        </w:p>
        <w:p w14:paraId="726223BF" w14:textId="10298BC2" w:rsidR="00B21702" w:rsidRDefault="00B21702">
          <w:pPr>
            <w:pStyle w:val="ndice3"/>
            <w:tabs>
              <w:tab w:val="right" w:leader="dot" w:pos="9736"/>
            </w:tabs>
            <w:rPr>
              <w:noProof/>
            </w:rPr>
          </w:pPr>
          <w:hyperlink w:anchor="_Toc236570126" w:history="1">
            <w:r w:rsidRPr="00BB52AA">
              <w:rPr>
                <w:rStyle w:val="Hiperligao"/>
                <w:noProof/>
              </w:rPr>
              <w:t>É compatível com a CF/88 a dispensa de advogado na audiência inicial do rito especial da ação de alimentos (Lei 5.478/68)</w:t>
            </w:r>
            <w:r>
              <w:rPr>
                <w:noProof/>
              </w:rPr>
              <w:tab/>
            </w:r>
            <w:r>
              <w:rPr>
                <w:noProof/>
              </w:rPr>
              <w:fldChar w:fldCharType="begin"/>
            </w:r>
            <w:r>
              <w:rPr>
                <w:noProof/>
              </w:rPr>
              <w:instrText xml:space="preserve"> PAGEREF _Toc236570126 \h </w:instrText>
            </w:r>
            <w:r>
              <w:rPr>
                <w:noProof/>
              </w:rPr>
            </w:r>
            <w:r>
              <w:rPr>
                <w:noProof/>
              </w:rPr>
              <w:fldChar w:fldCharType="separate"/>
            </w:r>
            <w:r>
              <w:rPr>
                <w:noProof/>
              </w:rPr>
              <w:t>33</w:t>
            </w:r>
            <w:r>
              <w:rPr>
                <w:noProof/>
              </w:rPr>
              <w:fldChar w:fldCharType="end"/>
            </w:r>
          </w:hyperlink>
        </w:p>
        <w:p w14:paraId="3A023BC5" w14:textId="3C9FC469" w:rsidR="00B21702" w:rsidRDefault="00B21702">
          <w:pPr>
            <w:pStyle w:val="ndice3"/>
            <w:tabs>
              <w:tab w:val="right" w:leader="dot" w:pos="9736"/>
            </w:tabs>
            <w:rPr>
              <w:noProof/>
            </w:rPr>
          </w:pPr>
          <w:hyperlink w:anchor="_Toc236570127" w:history="1">
            <w:r w:rsidRPr="00BB52AA">
              <w:rPr>
                <w:rStyle w:val="Hiperligao"/>
                <w:noProof/>
              </w:rPr>
              <w:t>Abandono de ação de alimentos pelo representante legal configura conflito de interesses e autoriza nomeação da Defensoria Pública como curadora especial</w:t>
            </w:r>
            <w:r>
              <w:rPr>
                <w:noProof/>
              </w:rPr>
              <w:tab/>
            </w:r>
            <w:r>
              <w:rPr>
                <w:noProof/>
              </w:rPr>
              <w:fldChar w:fldCharType="begin"/>
            </w:r>
            <w:r>
              <w:rPr>
                <w:noProof/>
              </w:rPr>
              <w:instrText xml:space="preserve"> PAGEREF _Toc236570127 \h </w:instrText>
            </w:r>
            <w:r>
              <w:rPr>
                <w:noProof/>
              </w:rPr>
            </w:r>
            <w:r>
              <w:rPr>
                <w:noProof/>
              </w:rPr>
              <w:fldChar w:fldCharType="separate"/>
            </w:r>
            <w:r>
              <w:rPr>
                <w:noProof/>
              </w:rPr>
              <w:t>33</w:t>
            </w:r>
            <w:r>
              <w:rPr>
                <w:noProof/>
              </w:rPr>
              <w:fldChar w:fldCharType="end"/>
            </w:r>
          </w:hyperlink>
        </w:p>
        <w:p w14:paraId="02BBB5D5" w14:textId="7A1A0E43" w:rsidR="00B21702" w:rsidRDefault="00B21702">
          <w:pPr>
            <w:pStyle w:val="ndice3"/>
            <w:tabs>
              <w:tab w:val="right" w:leader="dot" w:pos="9736"/>
            </w:tabs>
            <w:rPr>
              <w:noProof/>
            </w:rPr>
          </w:pPr>
          <w:hyperlink w:anchor="_Toc236570128" w:history="1">
            <w:r w:rsidRPr="00BB52AA">
              <w:rPr>
                <w:rStyle w:val="Hiperligao"/>
                <w:noProof/>
              </w:rPr>
              <w:t>O autor não pode desistir de ação de alimentos, mesmo antes da contestação, se isso prejudicar interesses de pessoa com deficiência beneficiada</w:t>
            </w:r>
            <w:r>
              <w:rPr>
                <w:noProof/>
              </w:rPr>
              <w:tab/>
            </w:r>
            <w:r>
              <w:rPr>
                <w:noProof/>
              </w:rPr>
              <w:fldChar w:fldCharType="begin"/>
            </w:r>
            <w:r>
              <w:rPr>
                <w:noProof/>
              </w:rPr>
              <w:instrText xml:space="preserve"> PAGEREF _Toc236570128 \h </w:instrText>
            </w:r>
            <w:r>
              <w:rPr>
                <w:noProof/>
              </w:rPr>
            </w:r>
            <w:r>
              <w:rPr>
                <w:noProof/>
              </w:rPr>
              <w:fldChar w:fldCharType="separate"/>
            </w:r>
            <w:r>
              <w:rPr>
                <w:noProof/>
              </w:rPr>
              <w:t>34</w:t>
            </w:r>
            <w:r>
              <w:rPr>
                <w:noProof/>
              </w:rPr>
              <w:fldChar w:fldCharType="end"/>
            </w:r>
          </w:hyperlink>
        </w:p>
        <w:p w14:paraId="763B67DE" w14:textId="68B37E3E" w:rsidR="00B21702" w:rsidRDefault="00B21702">
          <w:pPr>
            <w:pStyle w:val="ndice3"/>
            <w:tabs>
              <w:tab w:val="right" w:leader="dot" w:pos="9736"/>
            </w:tabs>
            <w:rPr>
              <w:noProof/>
            </w:rPr>
          </w:pPr>
          <w:hyperlink w:anchor="_Toc236570129" w:history="1">
            <w:r w:rsidRPr="00BB52AA">
              <w:rPr>
                <w:rStyle w:val="Hiperligao"/>
                <w:noProof/>
              </w:rPr>
              <w:t>Ação de exigir contas do alimentante contra a guardiã do alimentando: divergência entre a 3ª e a 4ª Turma do STJ</w:t>
            </w:r>
            <w:r>
              <w:rPr>
                <w:noProof/>
              </w:rPr>
              <w:tab/>
            </w:r>
            <w:r>
              <w:rPr>
                <w:noProof/>
              </w:rPr>
              <w:fldChar w:fldCharType="begin"/>
            </w:r>
            <w:r>
              <w:rPr>
                <w:noProof/>
              </w:rPr>
              <w:instrText xml:space="preserve"> PAGEREF _Toc236570129 \h </w:instrText>
            </w:r>
            <w:r>
              <w:rPr>
                <w:noProof/>
              </w:rPr>
            </w:r>
            <w:r>
              <w:rPr>
                <w:noProof/>
              </w:rPr>
              <w:fldChar w:fldCharType="separate"/>
            </w:r>
            <w:r>
              <w:rPr>
                <w:noProof/>
              </w:rPr>
              <w:t>34</w:t>
            </w:r>
            <w:r>
              <w:rPr>
                <w:noProof/>
              </w:rPr>
              <w:fldChar w:fldCharType="end"/>
            </w:r>
          </w:hyperlink>
        </w:p>
        <w:p w14:paraId="600CB865" w14:textId="77BC5495" w:rsidR="00B21702" w:rsidRDefault="00B21702">
          <w:pPr>
            <w:pStyle w:val="ndice3"/>
            <w:tabs>
              <w:tab w:val="right" w:leader="dot" w:pos="9736"/>
            </w:tabs>
            <w:rPr>
              <w:noProof/>
            </w:rPr>
          </w:pPr>
          <w:hyperlink w:anchor="_Toc236570130" w:history="1">
            <w:r w:rsidRPr="00BB52AA">
              <w:rPr>
                <w:rStyle w:val="Hiperligao"/>
                <w:noProof/>
              </w:rPr>
              <w:t>Mesmo após a homologação de sentença estrangeira sobre alimentos, o devedor pode ajuizar ação revisional do valor da pensão</w:t>
            </w:r>
            <w:r>
              <w:rPr>
                <w:noProof/>
              </w:rPr>
              <w:tab/>
            </w:r>
            <w:r>
              <w:rPr>
                <w:noProof/>
              </w:rPr>
              <w:fldChar w:fldCharType="begin"/>
            </w:r>
            <w:r>
              <w:rPr>
                <w:noProof/>
              </w:rPr>
              <w:instrText xml:space="preserve"> PAGEREF _Toc236570130 \h </w:instrText>
            </w:r>
            <w:r>
              <w:rPr>
                <w:noProof/>
              </w:rPr>
            </w:r>
            <w:r>
              <w:rPr>
                <w:noProof/>
              </w:rPr>
              <w:fldChar w:fldCharType="separate"/>
            </w:r>
            <w:r>
              <w:rPr>
                <w:noProof/>
              </w:rPr>
              <w:t>35</w:t>
            </w:r>
            <w:r>
              <w:rPr>
                <w:noProof/>
              </w:rPr>
              <w:fldChar w:fldCharType="end"/>
            </w:r>
          </w:hyperlink>
        </w:p>
        <w:p w14:paraId="630AD820" w14:textId="6C2F7EBB" w:rsidR="00B21702" w:rsidRDefault="00B21702">
          <w:pPr>
            <w:pStyle w:val="ndice1"/>
            <w:tabs>
              <w:tab w:val="right" w:leader="dot" w:pos="9736"/>
            </w:tabs>
            <w:rPr>
              <w:noProof/>
            </w:rPr>
          </w:pPr>
          <w:hyperlink w:anchor="_Toc236570131" w:history="1">
            <w:r w:rsidRPr="00BB52AA">
              <w:rPr>
                <w:rStyle w:val="Hiperligao"/>
                <w:noProof/>
              </w:rPr>
              <w:t>IV. BEM DE FAMÍLIA</w:t>
            </w:r>
            <w:r>
              <w:rPr>
                <w:noProof/>
              </w:rPr>
              <w:tab/>
            </w:r>
            <w:r>
              <w:rPr>
                <w:noProof/>
              </w:rPr>
              <w:fldChar w:fldCharType="begin"/>
            </w:r>
            <w:r>
              <w:rPr>
                <w:noProof/>
              </w:rPr>
              <w:instrText xml:space="preserve"> PAGEREF _Toc236570131 \h </w:instrText>
            </w:r>
            <w:r>
              <w:rPr>
                <w:noProof/>
              </w:rPr>
            </w:r>
            <w:r>
              <w:rPr>
                <w:noProof/>
              </w:rPr>
              <w:fldChar w:fldCharType="separate"/>
            </w:r>
            <w:r>
              <w:rPr>
                <w:noProof/>
              </w:rPr>
              <w:t>36</w:t>
            </w:r>
            <w:r>
              <w:rPr>
                <w:noProof/>
              </w:rPr>
              <w:fldChar w:fldCharType="end"/>
            </w:r>
          </w:hyperlink>
        </w:p>
        <w:p w14:paraId="321230DF" w14:textId="139D477F" w:rsidR="00B21702" w:rsidRDefault="00B21702">
          <w:pPr>
            <w:pStyle w:val="ndice2"/>
            <w:tabs>
              <w:tab w:val="right" w:leader="dot" w:pos="9736"/>
            </w:tabs>
            <w:rPr>
              <w:noProof/>
            </w:rPr>
          </w:pPr>
          <w:hyperlink w:anchor="_Toc236570132" w:history="1">
            <w:r w:rsidRPr="00BB52AA">
              <w:rPr>
                <w:rStyle w:val="Hiperligao"/>
                <w:noProof/>
              </w:rPr>
              <w:t>1. Conceito e abrangência do bem de família (legal x voluntário)</w:t>
            </w:r>
            <w:r>
              <w:rPr>
                <w:noProof/>
              </w:rPr>
              <w:tab/>
            </w:r>
            <w:r>
              <w:rPr>
                <w:noProof/>
              </w:rPr>
              <w:fldChar w:fldCharType="begin"/>
            </w:r>
            <w:r>
              <w:rPr>
                <w:noProof/>
              </w:rPr>
              <w:instrText xml:space="preserve"> PAGEREF _Toc236570132 \h </w:instrText>
            </w:r>
            <w:r>
              <w:rPr>
                <w:noProof/>
              </w:rPr>
            </w:r>
            <w:r>
              <w:rPr>
                <w:noProof/>
              </w:rPr>
              <w:fldChar w:fldCharType="separate"/>
            </w:r>
            <w:r>
              <w:rPr>
                <w:noProof/>
              </w:rPr>
              <w:t>36</w:t>
            </w:r>
            <w:r>
              <w:rPr>
                <w:noProof/>
              </w:rPr>
              <w:fldChar w:fldCharType="end"/>
            </w:r>
          </w:hyperlink>
        </w:p>
        <w:p w14:paraId="7EE9AE67" w14:textId="29467BD8" w:rsidR="00B21702" w:rsidRDefault="00B21702">
          <w:pPr>
            <w:pStyle w:val="ndice3"/>
            <w:tabs>
              <w:tab w:val="right" w:leader="dot" w:pos="9736"/>
            </w:tabs>
            <w:rPr>
              <w:noProof/>
            </w:rPr>
          </w:pPr>
          <w:hyperlink w:anchor="_Toc236570133" w:history="1">
            <w:r w:rsidRPr="00BB52AA">
              <w:rPr>
                <w:rStyle w:val="Hiperligao"/>
                <w:noProof/>
              </w:rPr>
              <w:t>Coexistência entre bem de família voluntário (CC) e bem de família legal (Lei 8.009/90)</w:t>
            </w:r>
            <w:r>
              <w:rPr>
                <w:noProof/>
              </w:rPr>
              <w:tab/>
            </w:r>
            <w:r>
              <w:rPr>
                <w:noProof/>
              </w:rPr>
              <w:fldChar w:fldCharType="begin"/>
            </w:r>
            <w:r>
              <w:rPr>
                <w:noProof/>
              </w:rPr>
              <w:instrText xml:space="preserve"> PAGEREF _Toc236570133 \h </w:instrText>
            </w:r>
            <w:r>
              <w:rPr>
                <w:noProof/>
              </w:rPr>
            </w:r>
            <w:r>
              <w:rPr>
                <w:noProof/>
              </w:rPr>
              <w:fldChar w:fldCharType="separate"/>
            </w:r>
            <w:r>
              <w:rPr>
                <w:noProof/>
              </w:rPr>
              <w:t>36</w:t>
            </w:r>
            <w:r>
              <w:rPr>
                <w:noProof/>
              </w:rPr>
              <w:fldChar w:fldCharType="end"/>
            </w:r>
          </w:hyperlink>
        </w:p>
        <w:p w14:paraId="65D4ABFD" w14:textId="66C7D5B2" w:rsidR="00B21702" w:rsidRDefault="00B21702">
          <w:pPr>
            <w:pStyle w:val="ndice3"/>
            <w:tabs>
              <w:tab w:val="right" w:leader="dot" w:pos="9736"/>
            </w:tabs>
            <w:rPr>
              <w:noProof/>
            </w:rPr>
          </w:pPr>
          <w:hyperlink w:anchor="_Toc236570134" w:history="1">
            <w:r w:rsidRPr="00BB52AA">
              <w:rPr>
                <w:rStyle w:val="Hiperligao"/>
                <w:noProof/>
              </w:rPr>
              <w:t>Impenhorabilidade do imóvel indivisível em sua integralidade, mesmo quando apenas um coproprietário nele reside</w:t>
            </w:r>
            <w:r>
              <w:rPr>
                <w:noProof/>
              </w:rPr>
              <w:tab/>
            </w:r>
            <w:r>
              <w:rPr>
                <w:noProof/>
              </w:rPr>
              <w:fldChar w:fldCharType="begin"/>
            </w:r>
            <w:r>
              <w:rPr>
                <w:noProof/>
              </w:rPr>
              <w:instrText xml:space="preserve"> PAGEREF _Toc236570134 \h </w:instrText>
            </w:r>
            <w:r>
              <w:rPr>
                <w:noProof/>
              </w:rPr>
            </w:r>
            <w:r>
              <w:rPr>
                <w:noProof/>
              </w:rPr>
              <w:fldChar w:fldCharType="separate"/>
            </w:r>
            <w:r>
              <w:rPr>
                <w:noProof/>
              </w:rPr>
              <w:t>36</w:t>
            </w:r>
            <w:r>
              <w:rPr>
                <w:noProof/>
              </w:rPr>
              <w:fldChar w:fldCharType="end"/>
            </w:r>
          </w:hyperlink>
        </w:p>
        <w:p w14:paraId="2AD6EB71" w14:textId="01D3D47F" w:rsidR="00B21702" w:rsidRDefault="00B21702">
          <w:pPr>
            <w:pStyle w:val="ndice2"/>
            <w:tabs>
              <w:tab w:val="right" w:leader="dot" w:pos="9736"/>
            </w:tabs>
            <w:rPr>
              <w:noProof/>
            </w:rPr>
          </w:pPr>
          <w:hyperlink w:anchor="_Toc236570135" w:history="1">
            <w:r w:rsidRPr="00BB52AA">
              <w:rPr>
                <w:rStyle w:val="Hiperligao"/>
                <w:noProof/>
              </w:rPr>
              <w:t>2. Exceções à impenhorabilidade — fiança e caução em contrato de locação (tema mais cobrado em concursos)</w:t>
            </w:r>
            <w:r>
              <w:rPr>
                <w:noProof/>
              </w:rPr>
              <w:tab/>
            </w:r>
            <w:r>
              <w:rPr>
                <w:noProof/>
              </w:rPr>
              <w:fldChar w:fldCharType="begin"/>
            </w:r>
            <w:r>
              <w:rPr>
                <w:noProof/>
              </w:rPr>
              <w:instrText xml:space="preserve"> PAGEREF _Toc236570135 \h </w:instrText>
            </w:r>
            <w:r>
              <w:rPr>
                <w:noProof/>
              </w:rPr>
            </w:r>
            <w:r>
              <w:rPr>
                <w:noProof/>
              </w:rPr>
              <w:fldChar w:fldCharType="separate"/>
            </w:r>
            <w:r>
              <w:rPr>
                <w:noProof/>
              </w:rPr>
              <w:t>37</w:t>
            </w:r>
            <w:r>
              <w:rPr>
                <w:noProof/>
              </w:rPr>
              <w:fldChar w:fldCharType="end"/>
            </w:r>
          </w:hyperlink>
        </w:p>
        <w:p w14:paraId="1213226C" w14:textId="2BE668D4" w:rsidR="00B21702" w:rsidRDefault="00B21702">
          <w:pPr>
            <w:pStyle w:val="ndice3"/>
            <w:tabs>
              <w:tab w:val="right" w:leader="dot" w:pos="9736"/>
            </w:tabs>
            <w:rPr>
              <w:noProof/>
            </w:rPr>
          </w:pPr>
          <w:hyperlink w:anchor="_Toc236570136" w:history="1">
            <w:r w:rsidRPr="00BB52AA">
              <w:rPr>
                <w:rStyle w:val="Hiperligao"/>
                <w:noProof/>
              </w:rPr>
              <w:t>Penhorabilidade do bem de família do fiador — locação residencial e comercial (constitucionalidade)</w:t>
            </w:r>
            <w:r>
              <w:rPr>
                <w:noProof/>
              </w:rPr>
              <w:tab/>
            </w:r>
            <w:r>
              <w:rPr>
                <w:noProof/>
              </w:rPr>
              <w:fldChar w:fldCharType="begin"/>
            </w:r>
            <w:r>
              <w:rPr>
                <w:noProof/>
              </w:rPr>
              <w:instrText xml:space="preserve"> PAGEREF _Toc236570136 \h </w:instrText>
            </w:r>
            <w:r>
              <w:rPr>
                <w:noProof/>
              </w:rPr>
            </w:r>
            <w:r>
              <w:rPr>
                <w:noProof/>
              </w:rPr>
              <w:fldChar w:fldCharType="separate"/>
            </w:r>
            <w:r>
              <w:rPr>
                <w:noProof/>
              </w:rPr>
              <w:t>37</w:t>
            </w:r>
            <w:r>
              <w:rPr>
                <w:noProof/>
              </w:rPr>
              <w:fldChar w:fldCharType="end"/>
            </w:r>
          </w:hyperlink>
        </w:p>
        <w:p w14:paraId="031C50F2" w14:textId="43F9D791" w:rsidR="00B21702" w:rsidRDefault="00B21702">
          <w:pPr>
            <w:pStyle w:val="ndice3"/>
            <w:tabs>
              <w:tab w:val="right" w:leader="dot" w:pos="9736"/>
            </w:tabs>
            <w:rPr>
              <w:noProof/>
            </w:rPr>
          </w:pPr>
          <w:hyperlink w:anchor="_Toc236570137" w:history="1">
            <w:r w:rsidRPr="00BB52AA">
              <w:rPr>
                <w:rStyle w:val="Hiperligao"/>
                <w:noProof/>
              </w:rPr>
              <w:t>Devedor solidário de locação não se equipara a fiador — impenhorabilidade mantida</w:t>
            </w:r>
            <w:r>
              <w:rPr>
                <w:noProof/>
              </w:rPr>
              <w:tab/>
            </w:r>
            <w:r>
              <w:rPr>
                <w:noProof/>
              </w:rPr>
              <w:fldChar w:fldCharType="begin"/>
            </w:r>
            <w:r>
              <w:rPr>
                <w:noProof/>
              </w:rPr>
              <w:instrText xml:space="preserve"> PAGEREF _Toc236570137 \h </w:instrText>
            </w:r>
            <w:r>
              <w:rPr>
                <w:noProof/>
              </w:rPr>
            </w:r>
            <w:r>
              <w:rPr>
                <w:noProof/>
              </w:rPr>
              <w:fldChar w:fldCharType="separate"/>
            </w:r>
            <w:r>
              <w:rPr>
                <w:noProof/>
              </w:rPr>
              <w:t>37</w:t>
            </w:r>
            <w:r>
              <w:rPr>
                <w:noProof/>
              </w:rPr>
              <w:fldChar w:fldCharType="end"/>
            </w:r>
          </w:hyperlink>
        </w:p>
        <w:p w14:paraId="705A00DE" w14:textId="55FFFBF1" w:rsidR="00B21702" w:rsidRDefault="00B21702">
          <w:pPr>
            <w:pStyle w:val="ndice3"/>
            <w:tabs>
              <w:tab w:val="right" w:leader="dot" w:pos="9736"/>
            </w:tabs>
            <w:rPr>
              <w:noProof/>
            </w:rPr>
          </w:pPr>
          <w:hyperlink w:anchor="_Toc236570138" w:history="1">
            <w:r w:rsidRPr="00BB52AA">
              <w:rPr>
                <w:rStyle w:val="Hiperligao"/>
                <w:noProof/>
              </w:rPr>
              <w:t>Caução imobiliária em contrato de locação (comercial) não é hipótese de exceção — impenhorabilidade mantida</w:t>
            </w:r>
            <w:r>
              <w:rPr>
                <w:noProof/>
              </w:rPr>
              <w:tab/>
            </w:r>
            <w:r>
              <w:rPr>
                <w:noProof/>
              </w:rPr>
              <w:fldChar w:fldCharType="begin"/>
            </w:r>
            <w:r>
              <w:rPr>
                <w:noProof/>
              </w:rPr>
              <w:instrText xml:space="preserve"> PAGEREF _Toc236570138 \h </w:instrText>
            </w:r>
            <w:r>
              <w:rPr>
                <w:noProof/>
              </w:rPr>
            </w:r>
            <w:r>
              <w:rPr>
                <w:noProof/>
              </w:rPr>
              <w:fldChar w:fldCharType="separate"/>
            </w:r>
            <w:r>
              <w:rPr>
                <w:noProof/>
              </w:rPr>
              <w:t>38</w:t>
            </w:r>
            <w:r>
              <w:rPr>
                <w:noProof/>
              </w:rPr>
              <w:fldChar w:fldCharType="end"/>
            </w:r>
          </w:hyperlink>
        </w:p>
        <w:p w14:paraId="47E04441" w14:textId="089B3357" w:rsidR="00B21702" w:rsidRDefault="00B21702">
          <w:pPr>
            <w:pStyle w:val="ndice2"/>
            <w:tabs>
              <w:tab w:val="right" w:leader="dot" w:pos="9736"/>
            </w:tabs>
            <w:rPr>
              <w:noProof/>
            </w:rPr>
          </w:pPr>
          <w:hyperlink w:anchor="_Toc236570139" w:history="1">
            <w:r w:rsidRPr="00BB52AA">
              <w:rPr>
                <w:rStyle w:val="Hiperligao"/>
                <w:noProof/>
              </w:rPr>
              <w:t>3. Exceções à impenhorabilidade — garantia real (hipoteca/alienação fiduciária) em benefício da entidade familiar</w:t>
            </w:r>
            <w:r>
              <w:rPr>
                <w:noProof/>
              </w:rPr>
              <w:tab/>
            </w:r>
            <w:r>
              <w:rPr>
                <w:noProof/>
              </w:rPr>
              <w:fldChar w:fldCharType="begin"/>
            </w:r>
            <w:r>
              <w:rPr>
                <w:noProof/>
              </w:rPr>
              <w:instrText xml:space="preserve"> PAGEREF _Toc236570139 \h </w:instrText>
            </w:r>
            <w:r>
              <w:rPr>
                <w:noProof/>
              </w:rPr>
            </w:r>
            <w:r>
              <w:rPr>
                <w:noProof/>
              </w:rPr>
              <w:fldChar w:fldCharType="separate"/>
            </w:r>
            <w:r>
              <w:rPr>
                <w:noProof/>
              </w:rPr>
              <w:t>38</w:t>
            </w:r>
            <w:r>
              <w:rPr>
                <w:noProof/>
              </w:rPr>
              <w:fldChar w:fldCharType="end"/>
            </w:r>
          </w:hyperlink>
        </w:p>
        <w:p w14:paraId="01A748E9" w14:textId="27C61924" w:rsidR="00B21702" w:rsidRDefault="00B21702">
          <w:pPr>
            <w:pStyle w:val="ndice3"/>
            <w:tabs>
              <w:tab w:val="right" w:leader="dot" w:pos="9736"/>
            </w:tabs>
            <w:rPr>
              <w:noProof/>
            </w:rPr>
          </w:pPr>
          <w:hyperlink w:anchor="_Toc236570140" w:history="1">
            <w:r w:rsidRPr="00BB52AA">
              <w:rPr>
                <w:rStyle w:val="Hiperligao"/>
                <w:noProof/>
              </w:rPr>
              <w:t>Penhora do bem de família hipotecado por sócio — ônus da prova do benefício à entidade familiar (Tema 1261)</w:t>
            </w:r>
            <w:r>
              <w:rPr>
                <w:noProof/>
              </w:rPr>
              <w:tab/>
            </w:r>
            <w:r>
              <w:rPr>
                <w:noProof/>
              </w:rPr>
              <w:fldChar w:fldCharType="begin"/>
            </w:r>
            <w:r>
              <w:rPr>
                <w:noProof/>
              </w:rPr>
              <w:instrText xml:space="preserve"> PAGEREF _Toc236570140 \h </w:instrText>
            </w:r>
            <w:r>
              <w:rPr>
                <w:noProof/>
              </w:rPr>
            </w:r>
            <w:r>
              <w:rPr>
                <w:noProof/>
              </w:rPr>
              <w:fldChar w:fldCharType="separate"/>
            </w:r>
            <w:r>
              <w:rPr>
                <w:noProof/>
              </w:rPr>
              <w:t>38</w:t>
            </w:r>
            <w:r>
              <w:rPr>
                <w:noProof/>
              </w:rPr>
              <w:fldChar w:fldCharType="end"/>
            </w:r>
          </w:hyperlink>
        </w:p>
        <w:p w14:paraId="09A4B737" w14:textId="45097250" w:rsidR="00B21702" w:rsidRDefault="00B21702">
          <w:pPr>
            <w:pStyle w:val="ndice3"/>
            <w:tabs>
              <w:tab w:val="right" w:leader="dot" w:pos="9736"/>
            </w:tabs>
            <w:rPr>
              <w:noProof/>
            </w:rPr>
          </w:pPr>
          <w:hyperlink w:anchor="_Toc236570141" w:history="1">
            <w:r w:rsidRPr="00BB52AA">
              <w:rPr>
                <w:rStyle w:val="Hiperligao"/>
                <w:noProof/>
              </w:rPr>
              <w:t>Hipoteca anterior à constituição da família — reconhecimento superveniente do bem de família</w:t>
            </w:r>
            <w:r>
              <w:rPr>
                <w:noProof/>
              </w:rPr>
              <w:tab/>
            </w:r>
            <w:r>
              <w:rPr>
                <w:noProof/>
              </w:rPr>
              <w:fldChar w:fldCharType="begin"/>
            </w:r>
            <w:r>
              <w:rPr>
                <w:noProof/>
              </w:rPr>
              <w:instrText xml:space="preserve"> PAGEREF _Toc236570141 \h </w:instrText>
            </w:r>
            <w:r>
              <w:rPr>
                <w:noProof/>
              </w:rPr>
            </w:r>
            <w:r>
              <w:rPr>
                <w:noProof/>
              </w:rPr>
              <w:fldChar w:fldCharType="separate"/>
            </w:r>
            <w:r>
              <w:rPr>
                <w:noProof/>
              </w:rPr>
              <w:t>39</w:t>
            </w:r>
            <w:r>
              <w:rPr>
                <w:noProof/>
              </w:rPr>
              <w:fldChar w:fldCharType="end"/>
            </w:r>
          </w:hyperlink>
        </w:p>
        <w:p w14:paraId="0F155EAD" w14:textId="612E5153" w:rsidR="00B21702" w:rsidRDefault="00B21702">
          <w:pPr>
            <w:pStyle w:val="ndice3"/>
            <w:tabs>
              <w:tab w:val="right" w:leader="dot" w:pos="9736"/>
            </w:tabs>
            <w:rPr>
              <w:noProof/>
            </w:rPr>
          </w:pPr>
          <w:hyperlink w:anchor="_Toc236570142" w:history="1">
            <w:r w:rsidRPr="00BB52AA">
              <w:rPr>
                <w:rStyle w:val="Hiperligao"/>
                <w:noProof/>
              </w:rPr>
              <w:t>Impenhorabilidade da pequena propriedade rural também na consolidação extrajudicial de alienação fiduciária</w:t>
            </w:r>
            <w:r>
              <w:rPr>
                <w:noProof/>
              </w:rPr>
              <w:tab/>
            </w:r>
            <w:r>
              <w:rPr>
                <w:noProof/>
              </w:rPr>
              <w:fldChar w:fldCharType="begin"/>
            </w:r>
            <w:r>
              <w:rPr>
                <w:noProof/>
              </w:rPr>
              <w:instrText xml:space="preserve"> PAGEREF _Toc236570142 \h </w:instrText>
            </w:r>
            <w:r>
              <w:rPr>
                <w:noProof/>
              </w:rPr>
            </w:r>
            <w:r>
              <w:rPr>
                <w:noProof/>
              </w:rPr>
              <w:fldChar w:fldCharType="separate"/>
            </w:r>
            <w:r>
              <w:rPr>
                <w:noProof/>
              </w:rPr>
              <w:t>39</w:t>
            </w:r>
            <w:r>
              <w:rPr>
                <w:noProof/>
              </w:rPr>
              <w:fldChar w:fldCharType="end"/>
            </w:r>
          </w:hyperlink>
        </w:p>
        <w:p w14:paraId="41DDB979" w14:textId="27484790" w:rsidR="00B21702" w:rsidRDefault="00B21702">
          <w:pPr>
            <w:pStyle w:val="ndice3"/>
            <w:tabs>
              <w:tab w:val="right" w:leader="dot" w:pos="9736"/>
            </w:tabs>
            <w:rPr>
              <w:noProof/>
            </w:rPr>
          </w:pPr>
          <w:hyperlink w:anchor="_Toc236570143" w:history="1">
            <w:r w:rsidRPr="00BB52AA">
              <w:rPr>
                <w:rStyle w:val="Hiperligao"/>
                <w:noProof/>
              </w:rPr>
              <w:t>Oferta voluntária do único imóvel em garantia de alienação fiduciária para beneficiar pessoa jurídica</w:t>
            </w:r>
            <w:r>
              <w:rPr>
                <w:noProof/>
              </w:rPr>
              <w:tab/>
            </w:r>
            <w:r>
              <w:rPr>
                <w:noProof/>
              </w:rPr>
              <w:fldChar w:fldCharType="begin"/>
            </w:r>
            <w:r>
              <w:rPr>
                <w:noProof/>
              </w:rPr>
              <w:instrText xml:space="preserve"> PAGEREF _Toc236570143 \h </w:instrText>
            </w:r>
            <w:r>
              <w:rPr>
                <w:noProof/>
              </w:rPr>
            </w:r>
            <w:r>
              <w:rPr>
                <w:noProof/>
              </w:rPr>
              <w:fldChar w:fldCharType="separate"/>
            </w:r>
            <w:r>
              <w:rPr>
                <w:noProof/>
              </w:rPr>
              <w:t>40</w:t>
            </w:r>
            <w:r>
              <w:rPr>
                <w:noProof/>
              </w:rPr>
              <w:fldChar w:fldCharType="end"/>
            </w:r>
          </w:hyperlink>
        </w:p>
        <w:p w14:paraId="72213600" w14:textId="3B33D6F8" w:rsidR="00B21702" w:rsidRDefault="00B21702">
          <w:pPr>
            <w:pStyle w:val="ndice2"/>
            <w:tabs>
              <w:tab w:val="right" w:leader="dot" w:pos="9736"/>
            </w:tabs>
            <w:rPr>
              <w:noProof/>
            </w:rPr>
          </w:pPr>
          <w:hyperlink w:anchor="_Toc236570144" w:history="1">
            <w:r w:rsidRPr="00BB52AA">
              <w:rPr>
                <w:rStyle w:val="Hiperligao"/>
                <w:noProof/>
              </w:rPr>
              <w:t>4. Exceções à impenhorabilidade — crédito para construção, aquisição ou reforma do próprio imóvel (art. 3º, II)</w:t>
            </w:r>
            <w:r>
              <w:rPr>
                <w:noProof/>
              </w:rPr>
              <w:tab/>
            </w:r>
            <w:r>
              <w:rPr>
                <w:noProof/>
              </w:rPr>
              <w:fldChar w:fldCharType="begin"/>
            </w:r>
            <w:r>
              <w:rPr>
                <w:noProof/>
              </w:rPr>
              <w:instrText xml:space="preserve"> PAGEREF _Toc236570144 \h </w:instrText>
            </w:r>
            <w:r>
              <w:rPr>
                <w:noProof/>
              </w:rPr>
            </w:r>
            <w:r>
              <w:rPr>
                <w:noProof/>
              </w:rPr>
              <w:fldChar w:fldCharType="separate"/>
            </w:r>
            <w:r>
              <w:rPr>
                <w:noProof/>
              </w:rPr>
              <w:t>40</w:t>
            </w:r>
            <w:r>
              <w:rPr>
                <w:noProof/>
              </w:rPr>
              <w:fldChar w:fldCharType="end"/>
            </w:r>
          </w:hyperlink>
        </w:p>
        <w:p w14:paraId="7F219AD4" w14:textId="513FD95C" w:rsidR="00B21702" w:rsidRDefault="00B21702">
          <w:pPr>
            <w:pStyle w:val="ndice3"/>
            <w:tabs>
              <w:tab w:val="right" w:leader="dot" w:pos="9736"/>
            </w:tabs>
            <w:rPr>
              <w:noProof/>
            </w:rPr>
          </w:pPr>
          <w:hyperlink w:anchor="_Toc236570145" w:history="1">
            <w:r w:rsidRPr="00BB52AA">
              <w:rPr>
                <w:rStyle w:val="Hiperligao"/>
                <w:noProof/>
              </w:rPr>
              <w:t>Penhora do bem de família para pagamento de dívida de reforma do próprio imóvel</w:t>
            </w:r>
            <w:r>
              <w:rPr>
                <w:noProof/>
              </w:rPr>
              <w:tab/>
            </w:r>
            <w:r>
              <w:rPr>
                <w:noProof/>
              </w:rPr>
              <w:fldChar w:fldCharType="begin"/>
            </w:r>
            <w:r>
              <w:rPr>
                <w:noProof/>
              </w:rPr>
              <w:instrText xml:space="preserve"> PAGEREF _Toc236570145 \h </w:instrText>
            </w:r>
            <w:r>
              <w:rPr>
                <w:noProof/>
              </w:rPr>
            </w:r>
            <w:r>
              <w:rPr>
                <w:noProof/>
              </w:rPr>
              <w:fldChar w:fldCharType="separate"/>
            </w:r>
            <w:r>
              <w:rPr>
                <w:noProof/>
              </w:rPr>
              <w:t>40</w:t>
            </w:r>
            <w:r>
              <w:rPr>
                <w:noProof/>
              </w:rPr>
              <w:fldChar w:fldCharType="end"/>
            </w:r>
          </w:hyperlink>
        </w:p>
        <w:p w14:paraId="473DA888" w14:textId="400414B7" w:rsidR="00B21702" w:rsidRDefault="00B21702">
          <w:pPr>
            <w:pStyle w:val="ndice3"/>
            <w:tabs>
              <w:tab w:val="right" w:leader="dot" w:pos="9736"/>
            </w:tabs>
            <w:rPr>
              <w:noProof/>
            </w:rPr>
          </w:pPr>
          <w:hyperlink w:anchor="_Toc236570146" w:history="1">
            <w:r w:rsidRPr="00BB52AA">
              <w:rPr>
                <w:rStyle w:val="Hiperligao"/>
                <w:noProof/>
              </w:rPr>
              <w:t>Penhora do bem de família por dívida de contrato de empreitada global para construção do imóvel</w:t>
            </w:r>
            <w:r>
              <w:rPr>
                <w:noProof/>
              </w:rPr>
              <w:tab/>
            </w:r>
            <w:r>
              <w:rPr>
                <w:noProof/>
              </w:rPr>
              <w:fldChar w:fldCharType="begin"/>
            </w:r>
            <w:r>
              <w:rPr>
                <w:noProof/>
              </w:rPr>
              <w:instrText xml:space="preserve"> PAGEREF _Toc236570146 \h </w:instrText>
            </w:r>
            <w:r>
              <w:rPr>
                <w:noProof/>
              </w:rPr>
            </w:r>
            <w:r>
              <w:rPr>
                <w:noProof/>
              </w:rPr>
              <w:fldChar w:fldCharType="separate"/>
            </w:r>
            <w:r>
              <w:rPr>
                <w:noProof/>
              </w:rPr>
              <w:t>41</w:t>
            </w:r>
            <w:r>
              <w:rPr>
                <w:noProof/>
              </w:rPr>
              <w:fldChar w:fldCharType="end"/>
            </w:r>
          </w:hyperlink>
        </w:p>
        <w:p w14:paraId="23774A71" w14:textId="250ABDFB" w:rsidR="00B21702" w:rsidRDefault="00B21702">
          <w:pPr>
            <w:pStyle w:val="ndice3"/>
            <w:tabs>
              <w:tab w:val="right" w:leader="dot" w:pos="9736"/>
            </w:tabs>
            <w:rPr>
              <w:noProof/>
            </w:rPr>
          </w:pPr>
          <w:hyperlink w:anchor="_Toc236570147" w:history="1">
            <w:r w:rsidRPr="00BB52AA">
              <w:rPr>
                <w:rStyle w:val="Hiperligao"/>
                <w:noProof/>
              </w:rPr>
              <w:t>Sub-rogação real da exceção do art. 3º, II — imóvel adquirido com produto da venda do bem originalmente financiado</w:t>
            </w:r>
            <w:r>
              <w:rPr>
                <w:noProof/>
              </w:rPr>
              <w:tab/>
            </w:r>
            <w:r>
              <w:rPr>
                <w:noProof/>
              </w:rPr>
              <w:fldChar w:fldCharType="begin"/>
            </w:r>
            <w:r>
              <w:rPr>
                <w:noProof/>
              </w:rPr>
              <w:instrText xml:space="preserve"> PAGEREF _Toc236570147 \h </w:instrText>
            </w:r>
            <w:r>
              <w:rPr>
                <w:noProof/>
              </w:rPr>
            </w:r>
            <w:r>
              <w:rPr>
                <w:noProof/>
              </w:rPr>
              <w:fldChar w:fldCharType="separate"/>
            </w:r>
            <w:r>
              <w:rPr>
                <w:noProof/>
              </w:rPr>
              <w:t>41</w:t>
            </w:r>
            <w:r>
              <w:rPr>
                <w:noProof/>
              </w:rPr>
              <w:fldChar w:fldCharType="end"/>
            </w:r>
          </w:hyperlink>
        </w:p>
        <w:p w14:paraId="326F8D25" w14:textId="7CB17E21" w:rsidR="00B21702" w:rsidRDefault="00B21702">
          <w:pPr>
            <w:pStyle w:val="ndice2"/>
            <w:tabs>
              <w:tab w:val="right" w:leader="dot" w:pos="9736"/>
            </w:tabs>
            <w:rPr>
              <w:noProof/>
            </w:rPr>
          </w:pPr>
          <w:hyperlink w:anchor="_Toc236570148" w:history="1">
            <w:r w:rsidRPr="00BB52AA">
              <w:rPr>
                <w:rStyle w:val="Hiperligao"/>
                <w:noProof/>
              </w:rPr>
              <w:t>5. Bem de família, sucessão e espólio</w:t>
            </w:r>
            <w:r>
              <w:rPr>
                <w:noProof/>
              </w:rPr>
              <w:tab/>
            </w:r>
            <w:r>
              <w:rPr>
                <w:noProof/>
              </w:rPr>
              <w:fldChar w:fldCharType="begin"/>
            </w:r>
            <w:r>
              <w:rPr>
                <w:noProof/>
              </w:rPr>
              <w:instrText xml:space="preserve"> PAGEREF _Toc236570148 \h </w:instrText>
            </w:r>
            <w:r>
              <w:rPr>
                <w:noProof/>
              </w:rPr>
            </w:r>
            <w:r>
              <w:rPr>
                <w:noProof/>
              </w:rPr>
              <w:fldChar w:fldCharType="separate"/>
            </w:r>
            <w:r>
              <w:rPr>
                <w:noProof/>
              </w:rPr>
              <w:t>42</w:t>
            </w:r>
            <w:r>
              <w:rPr>
                <w:noProof/>
              </w:rPr>
              <w:fldChar w:fldCharType="end"/>
            </w:r>
          </w:hyperlink>
        </w:p>
        <w:p w14:paraId="7C8691D7" w14:textId="0CAACFC7" w:rsidR="00B21702" w:rsidRDefault="00B21702">
          <w:pPr>
            <w:pStyle w:val="ndice3"/>
            <w:tabs>
              <w:tab w:val="right" w:leader="dot" w:pos="9736"/>
            </w:tabs>
            <w:rPr>
              <w:noProof/>
            </w:rPr>
          </w:pPr>
          <w:hyperlink w:anchor="_Toc236570149" w:history="1">
            <w:r w:rsidRPr="00BB52AA">
              <w:rPr>
                <w:rStyle w:val="Hiperligao"/>
                <w:noProof/>
              </w:rPr>
              <w:t>Impenhorabilidade do bem de família ainda no inventário, sem partilha formal</w:t>
            </w:r>
            <w:r>
              <w:rPr>
                <w:noProof/>
              </w:rPr>
              <w:tab/>
            </w:r>
            <w:r>
              <w:rPr>
                <w:noProof/>
              </w:rPr>
              <w:fldChar w:fldCharType="begin"/>
            </w:r>
            <w:r>
              <w:rPr>
                <w:noProof/>
              </w:rPr>
              <w:instrText xml:space="preserve"> PAGEREF _Toc236570149 \h </w:instrText>
            </w:r>
            <w:r>
              <w:rPr>
                <w:noProof/>
              </w:rPr>
            </w:r>
            <w:r>
              <w:rPr>
                <w:noProof/>
              </w:rPr>
              <w:fldChar w:fldCharType="separate"/>
            </w:r>
            <w:r>
              <w:rPr>
                <w:noProof/>
              </w:rPr>
              <w:t>42</w:t>
            </w:r>
            <w:r>
              <w:rPr>
                <w:noProof/>
              </w:rPr>
              <w:fldChar w:fldCharType="end"/>
            </w:r>
          </w:hyperlink>
        </w:p>
        <w:p w14:paraId="5195D74C" w14:textId="47361025" w:rsidR="00B21702" w:rsidRDefault="00B21702">
          <w:pPr>
            <w:pStyle w:val="ndice3"/>
            <w:tabs>
              <w:tab w:val="right" w:leader="dot" w:pos="9736"/>
            </w:tabs>
            <w:rPr>
              <w:noProof/>
            </w:rPr>
          </w:pPr>
          <w:hyperlink w:anchor="_Toc236570150" w:history="1">
            <w:r w:rsidRPr="00BB52AA">
              <w:rPr>
                <w:rStyle w:val="Hiperligao"/>
                <w:noProof/>
              </w:rPr>
              <w:t>Transmissão hereditária não desconfigura, por si só, a natureza de bem de família</w:t>
            </w:r>
            <w:r>
              <w:rPr>
                <w:noProof/>
              </w:rPr>
              <w:tab/>
            </w:r>
            <w:r>
              <w:rPr>
                <w:noProof/>
              </w:rPr>
              <w:fldChar w:fldCharType="begin"/>
            </w:r>
            <w:r>
              <w:rPr>
                <w:noProof/>
              </w:rPr>
              <w:instrText xml:space="preserve"> PAGEREF _Toc236570150 \h </w:instrText>
            </w:r>
            <w:r>
              <w:rPr>
                <w:noProof/>
              </w:rPr>
            </w:r>
            <w:r>
              <w:rPr>
                <w:noProof/>
              </w:rPr>
              <w:fldChar w:fldCharType="separate"/>
            </w:r>
            <w:r>
              <w:rPr>
                <w:noProof/>
              </w:rPr>
              <w:t>42</w:t>
            </w:r>
            <w:r>
              <w:rPr>
                <w:noProof/>
              </w:rPr>
              <w:fldChar w:fldCharType="end"/>
            </w:r>
          </w:hyperlink>
        </w:p>
        <w:p w14:paraId="7C71518D" w14:textId="6D888E07" w:rsidR="00B21702" w:rsidRDefault="00B21702">
          <w:pPr>
            <w:pStyle w:val="ndice2"/>
            <w:tabs>
              <w:tab w:val="right" w:leader="dot" w:pos="9736"/>
            </w:tabs>
            <w:rPr>
              <w:noProof/>
            </w:rPr>
          </w:pPr>
          <w:hyperlink w:anchor="_Toc236570151" w:history="1">
            <w:r w:rsidRPr="00BB52AA">
              <w:rPr>
                <w:rStyle w:val="Hiperligao"/>
                <w:noProof/>
              </w:rPr>
              <w:t>6. Fraude à execução, disposição do bem de família e má-fé (art. 4º)</w:t>
            </w:r>
            <w:r>
              <w:rPr>
                <w:noProof/>
              </w:rPr>
              <w:tab/>
            </w:r>
            <w:r>
              <w:rPr>
                <w:noProof/>
              </w:rPr>
              <w:fldChar w:fldCharType="begin"/>
            </w:r>
            <w:r>
              <w:rPr>
                <w:noProof/>
              </w:rPr>
              <w:instrText xml:space="preserve"> PAGEREF _Toc236570151 \h </w:instrText>
            </w:r>
            <w:r>
              <w:rPr>
                <w:noProof/>
              </w:rPr>
            </w:r>
            <w:r>
              <w:rPr>
                <w:noProof/>
              </w:rPr>
              <w:fldChar w:fldCharType="separate"/>
            </w:r>
            <w:r>
              <w:rPr>
                <w:noProof/>
              </w:rPr>
              <w:t>43</w:t>
            </w:r>
            <w:r>
              <w:rPr>
                <w:noProof/>
              </w:rPr>
              <w:fldChar w:fldCharType="end"/>
            </w:r>
          </w:hyperlink>
        </w:p>
        <w:p w14:paraId="22529159" w14:textId="43EEE8D3" w:rsidR="00B21702" w:rsidRDefault="00B21702">
          <w:pPr>
            <w:pStyle w:val="ndice3"/>
            <w:tabs>
              <w:tab w:val="right" w:leader="dot" w:pos="9736"/>
            </w:tabs>
            <w:rPr>
              <w:noProof/>
            </w:rPr>
          </w:pPr>
          <w:hyperlink w:anchor="_Toc236570152" w:history="1">
            <w:r w:rsidRPr="00BB52AA">
              <w:rPr>
                <w:rStyle w:val="Hiperligao"/>
                <w:noProof/>
              </w:rPr>
              <w:t>Doação de bem de família em fraude à execução não afasta a proteção legal se o imóvel segue como moradia</w:t>
            </w:r>
            <w:r>
              <w:rPr>
                <w:noProof/>
              </w:rPr>
              <w:tab/>
            </w:r>
            <w:r>
              <w:rPr>
                <w:noProof/>
              </w:rPr>
              <w:fldChar w:fldCharType="begin"/>
            </w:r>
            <w:r>
              <w:rPr>
                <w:noProof/>
              </w:rPr>
              <w:instrText xml:space="preserve"> PAGEREF _Toc236570152 \h </w:instrText>
            </w:r>
            <w:r>
              <w:rPr>
                <w:noProof/>
              </w:rPr>
            </w:r>
            <w:r>
              <w:rPr>
                <w:noProof/>
              </w:rPr>
              <w:fldChar w:fldCharType="separate"/>
            </w:r>
            <w:r>
              <w:rPr>
                <w:noProof/>
              </w:rPr>
              <w:t>43</w:t>
            </w:r>
            <w:r>
              <w:rPr>
                <w:noProof/>
              </w:rPr>
              <w:fldChar w:fldCharType="end"/>
            </w:r>
          </w:hyperlink>
        </w:p>
        <w:p w14:paraId="549ED860" w14:textId="657781FC" w:rsidR="00B21702" w:rsidRDefault="00B21702">
          <w:pPr>
            <w:pStyle w:val="ndice3"/>
            <w:tabs>
              <w:tab w:val="right" w:leader="dot" w:pos="9736"/>
            </w:tabs>
            <w:rPr>
              <w:noProof/>
            </w:rPr>
          </w:pPr>
          <w:hyperlink w:anchor="_Toc236570153" w:history="1">
            <w:r w:rsidRPr="00BB52AA">
              <w:rPr>
                <w:rStyle w:val="Hiperligao"/>
                <w:noProof/>
              </w:rPr>
              <w:t>Proteção da meação do cônjuge não devedor se estende à totalidade do bem de família</w:t>
            </w:r>
            <w:r>
              <w:rPr>
                <w:noProof/>
              </w:rPr>
              <w:tab/>
            </w:r>
            <w:r>
              <w:rPr>
                <w:noProof/>
              </w:rPr>
              <w:fldChar w:fldCharType="begin"/>
            </w:r>
            <w:r>
              <w:rPr>
                <w:noProof/>
              </w:rPr>
              <w:instrText xml:space="preserve"> PAGEREF _Toc236570153 \h </w:instrText>
            </w:r>
            <w:r>
              <w:rPr>
                <w:noProof/>
              </w:rPr>
            </w:r>
            <w:r>
              <w:rPr>
                <w:noProof/>
              </w:rPr>
              <w:fldChar w:fldCharType="separate"/>
            </w:r>
            <w:r>
              <w:rPr>
                <w:noProof/>
              </w:rPr>
              <w:t>43</w:t>
            </w:r>
            <w:r>
              <w:rPr>
                <w:noProof/>
              </w:rPr>
              <w:fldChar w:fldCharType="end"/>
            </w:r>
          </w:hyperlink>
        </w:p>
        <w:p w14:paraId="6CDFBAEE" w14:textId="26A9B970" w:rsidR="00B21702" w:rsidRDefault="00B21702">
          <w:pPr>
            <w:pStyle w:val="ndice3"/>
            <w:tabs>
              <w:tab w:val="right" w:leader="dot" w:pos="9736"/>
            </w:tabs>
            <w:rPr>
              <w:noProof/>
            </w:rPr>
          </w:pPr>
          <w:hyperlink w:anchor="_Toc236570154" w:history="1">
            <w:r w:rsidRPr="00BB52AA">
              <w:rPr>
                <w:rStyle w:val="Hiperligao"/>
                <w:noProof/>
              </w:rPr>
              <w:t>Aquisição de imóvel no curso de demanda executiva não afasta a impenhorabilidade, salvo má-fé (art. 4º)</w:t>
            </w:r>
            <w:r>
              <w:rPr>
                <w:noProof/>
              </w:rPr>
              <w:tab/>
            </w:r>
            <w:r>
              <w:rPr>
                <w:noProof/>
              </w:rPr>
              <w:fldChar w:fldCharType="begin"/>
            </w:r>
            <w:r>
              <w:rPr>
                <w:noProof/>
              </w:rPr>
              <w:instrText xml:space="preserve"> PAGEREF _Toc236570154 \h </w:instrText>
            </w:r>
            <w:r>
              <w:rPr>
                <w:noProof/>
              </w:rPr>
            </w:r>
            <w:r>
              <w:rPr>
                <w:noProof/>
              </w:rPr>
              <w:fldChar w:fldCharType="separate"/>
            </w:r>
            <w:r>
              <w:rPr>
                <w:noProof/>
              </w:rPr>
              <w:t>44</w:t>
            </w:r>
            <w:r>
              <w:rPr>
                <w:noProof/>
              </w:rPr>
              <w:fldChar w:fldCharType="end"/>
            </w:r>
          </w:hyperlink>
        </w:p>
        <w:p w14:paraId="5E13376B" w14:textId="0669FA07" w:rsidR="00B21702" w:rsidRDefault="00B21702">
          <w:pPr>
            <w:pStyle w:val="ndice2"/>
            <w:tabs>
              <w:tab w:val="right" w:leader="dot" w:pos="9736"/>
            </w:tabs>
            <w:rPr>
              <w:noProof/>
            </w:rPr>
          </w:pPr>
          <w:hyperlink w:anchor="_Toc236570155" w:history="1">
            <w:r w:rsidRPr="00BB52AA">
              <w:rPr>
                <w:rStyle w:val="Hiperligao"/>
                <w:noProof/>
              </w:rPr>
              <w:t>7. Outros temas relevantes (imóvel em nome de pessoa jurídica; construção em andamento)</w:t>
            </w:r>
            <w:r>
              <w:rPr>
                <w:noProof/>
              </w:rPr>
              <w:tab/>
            </w:r>
            <w:r>
              <w:rPr>
                <w:noProof/>
              </w:rPr>
              <w:fldChar w:fldCharType="begin"/>
            </w:r>
            <w:r>
              <w:rPr>
                <w:noProof/>
              </w:rPr>
              <w:instrText xml:space="preserve"> PAGEREF _Toc236570155 \h </w:instrText>
            </w:r>
            <w:r>
              <w:rPr>
                <w:noProof/>
              </w:rPr>
            </w:r>
            <w:r>
              <w:rPr>
                <w:noProof/>
              </w:rPr>
              <w:fldChar w:fldCharType="separate"/>
            </w:r>
            <w:r>
              <w:rPr>
                <w:noProof/>
              </w:rPr>
              <w:t>44</w:t>
            </w:r>
            <w:r>
              <w:rPr>
                <w:noProof/>
              </w:rPr>
              <w:fldChar w:fldCharType="end"/>
            </w:r>
          </w:hyperlink>
        </w:p>
        <w:p w14:paraId="2241E08F" w14:textId="45090A5C" w:rsidR="00B21702" w:rsidRDefault="00B21702">
          <w:pPr>
            <w:pStyle w:val="ndice3"/>
            <w:tabs>
              <w:tab w:val="right" w:leader="dot" w:pos="9736"/>
            </w:tabs>
            <w:rPr>
              <w:noProof/>
            </w:rPr>
          </w:pPr>
          <w:hyperlink w:anchor="_Toc236570156" w:history="1">
            <w:r w:rsidRPr="00BB52AA">
              <w:rPr>
                <w:rStyle w:val="Hiperligao"/>
                <w:noProof/>
              </w:rPr>
              <w:t>Confusão entre moradia da família e sede da empresa não é requisito para a proteção do bem de família</w:t>
            </w:r>
            <w:r>
              <w:rPr>
                <w:noProof/>
              </w:rPr>
              <w:tab/>
            </w:r>
            <w:r>
              <w:rPr>
                <w:noProof/>
              </w:rPr>
              <w:fldChar w:fldCharType="begin"/>
            </w:r>
            <w:r>
              <w:rPr>
                <w:noProof/>
              </w:rPr>
              <w:instrText xml:space="preserve"> PAGEREF _Toc236570156 \h </w:instrText>
            </w:r>
            <w:r>
              <w:rPr>
                <w:noProof/>
              </w:rPr>
            </w:r>
            <w:r>
              <w:rPr>
                <w:noProof/>
              </w:rPr>
              <w:fldChar w:fldCharType="separate"/>
            </w:r>
            <w:r>
              <w:rPr>
                <w:noProof/>
              </w:rPr>
              <w:t>45</w:t>
            </w:r>
            <w:r>
              <w:rPr>
                <w:noProof/>
              </w:rPr>
              <w:fldChar w:fldCharType="end"/>
            </w:r>
          </w:hyperlink>
        </w:p>
        <w:p w14:paraId="54509BE0" w14:textId="4067F661" w:rsidR="00B21702" w:rsidRDefault="00B21702">
          <w:pPr>
            <w:pStyle w:val="ndice3"/>
            <w:tabs>
              <w:tab w:val="right" w:leader="dot" w:pos="9736"/>
            </w:tabs>
            <w:rPr>
              <w:noProof/>
            </w:rPr>
          </w:pPr>
          <w:hyperlink w:anchor="_Toc236570157" w:history="1">
            <w:r w:rsidRPr="00BB52AA">
              <w:rPr>
                <w:rStyle w:val="Hiperligao"/>
                <w:noProof/>
              </w:rPr>
              <w:t>Imóvel em construção destinado à moradia é bem de família antecipado</w:t>
            </w:r>
            <w:r>
              <w:rPr>
                <w:noProof/>
              </w:rPr>
              <w:tab/>
            </w:r>
            <w:r>
              <w:rPr>
                <w:noProof/>
              </w:rPr>
              <w:fldChar w:fldCharType="begin"/>
            </w:r>
            <w:r>
              <w:rPr>
                <w:noProof/>
              </w:rPr>
              <w:instrText xml:space="preserve"> PAGEREF _Toc236570157 \h </w:instrText>
            </w:r>
            <w:r>
              <w:rPr>
                <w:noProof/>
              </w:rPr>
            </w:r>
            <w:r>
              <w:rPr>
                <w:noProof/>
              </w:rPr>
              <w:fldChar w:fldCharType="separate"/>
            </w:r>
            <w:r>
              <w:rPr>
                <w:noProof/>
              </w:rPr>
              <w:t>45</w:t>
            </w:r>
            <w:r>
              <w:rPr>
                <w:noProof/>
              </w:rPr>
              <w:fldChar w:fldCharType="end"/>
            </w:r>
          </w:hyperlink>
        </w:p>
        <w:p w14:paraId="3378B69E" w14:textId="6209C164" w:rsidR="00B21702" w:rsidRDefault="00B21702">
          <w:pPr>
            <w:pStyle w:val="ndice1"/>
            <w:tabs>
              <w:tab w:val="right" w:leader="dot" w:pos="9736"/>
            </w:tabs>
            <w:rPr>
              <w:noProof/>
            </w:rPr>
          </w:pPr>
          <w:hyperlink w:anchor="_Toc236570158" w:history="1">
            <w:r w:rsidRPr="00BB52AA">
              <w:rPr>
                <w:rStyle w:val="Hiperligao"/>
                <w:noProof/>
              </w:rPr>
              <w:t>V. TUTELA, CURATELA E TOMADA DE DECISÃO APOIADA</w:t>
            </w:r>
            <w:r>
              <w:rPr>
                <w:noProof/>
              </w:rPr>
              <w:tab/>
            </w:r>
            <w:r>
              <w:rPr>
                <w:noProof/>
              </w:rPr>
              <w:fldChar w:fldCharType="begin"/>
            </w:r>
            <w:r>
              <w:rPr>
                <w:noProof/>
              </w:rPr>
              <w:instrText xml:space="preserve"> PAGEREF _Toc236570158 \h </w:instrText>
            </w:r>
            <w:r>
              <w:rPr>
                <w:noProof/>
              </w:rPr>
            </w:r>
            <w:r>
              <w:rPr>
                <w:noProof/>
              </w:rPr>
              <w:fldChar w:fldCharType="separate"/>
            </w:r>
            <w:r>
              <w:rPr>
                <w:noProof/>
              </w:rPr>
              <w:t>46</w:t>
            </w:r>
            <w:r>
              <w:rPr>
                <w:noProof/>
              </w:rPr>
              <w:fldChar w:fldCharType="end"/>
            </w:r>
          </w:hyperlink>
        </w:p>
        <w:p w14:paraId="3902A7DC" w14:textId="4560E488" w:rsidR="00B21702" w:rsidRDefault="00B21702">
          <w:pPr>
            <w:pStyle w:val="ndice2"/>
            <w:tabs>
              <w:tab w:val="right" w:leader="dot" w:pos="9736"/>
            </w:tabs>
            <w:rPr>
              <w:noProof/>
            </w:rPr>
          </w:pPr>
          <w:hyperlink w:anchor="_Toc236570159" w:history="1">
            <w:r w:rsidRPr="00BB52AA">
              <w:rPr>
                <w:rStyle w:val="Hiperligao"/>
                <w:noProof/>
              </w:rPr>
              <w:t>Curatela e capacidade civil</w:t>
            </w:r>
            <w:r>
              <w:rPr>
                <w:noProof/>
              </w:rPr>
              <w:tab/>
            </w:r>
            <w:r>
              <w:rPr>
                <w:noProof/>
              </w:rPr>
              <w:fldChar w:fldCharType="begin"/>
            </w:r>
            <w:r>
              <w:rPr>
                <w:noProof/>
              </w:rPr>
              <w:instrText xml:space="preserve"> PAGEREF _Toc236570159 \h </w:instrText>
            </w:r>
            <w:r>
              <w:rPr>
                <w:noProof/>
              </w:rPr>
            </w:r>
            <w:r>
              <w:rPr>
                <w:noProof/>
              </w:rPr>
              <w:fldChar w:fldCharType="separate"/>
            </w:r>
            <w:r>
              <w:rPr>
                <w:noProof/>
              </w:rPr>
              <w:t>46</w:t>
            </w:r>
            <w:r>
              <w:rPr>
                <w:noProof/>
              </w:rPr>
              <w:fldChar w:fldCharType="end"/>
            </w:r>
          </w:hyperlink>
        </w:p>
        <w:p w14:paraId="35EE824E" w14:textId="00240EA7" w:rsidR="00B21702" w:rsidRDefault="00B21702">
          <w:pPr>
            <w:pStyle w:val="ndice3"/>
            <w:tabs>
              <w:tab w:val="right" w:leader="dot" w:pos="9736"/>
            </w:tabs>
            <w:rPr>
              <w:noProof/>
            </w:rPr>
          </w:pPr>
          <w:hyperlink w:anchor="_Toc236570160" w:history="1">
            <w:r w:rsidRPr="00BB52AA">
              <w:rPr>
                <w:rStyle w:val="Hiperligao"/>
                <w:noProof/>
              </w:rPr>
              <w:t>Curatela provisória e restrição da capacidade civil do testador — nulidade do testamento lavrado na sua vigência</w:t>
            </w:r>
            <w:r>
              <w:rPr>
                <w:noProof/>
              </w:rPr>
              <w:tab/>
            </w:r>
            <w:r>
              <w:rPr>
                <w:noProof/>
              </w:rPr>
              <w:fldChar w:fldCharType="begin"/>
            </w:r>
            <w:r>
              <w:rPr>
                <w:noProof/>
              </w:rPr>
              <w:instrText xml:space="preserve"> PAGEREF _Toc236570160 \h </w:instrText>
            </w:r>
            <w:r>
              <w:rPr>
                <w:noProof/>
              </w:rPr>
            </w:r>
            <w:r>
              <w:rPr>
                <w:noProof/>
              </w:rPr>
              <w:fldChar w:fldCharType="separate"/>
            </w:r>
            <w:r>
              <w:rPr>
                <w:noProof/>
              </w:rPr>
              <w:t>46</w:t>
            </w:r>
            <w:r>
              <w:rPr>
                <w:noProof/>
              </w:rPr>
              <w:fldChar w:fldCharType="end"/>
            </w:r>
          </w:hyperlink>
        </w:p>
        <w:p w14:paraId="1A09CCF2" w14:textId="3D0AF87F" w:rsidR="00B21702" w:rsidRDefault="00B21702">
          <w:pPr>
            <w:pStyle w:val="ndice1"/>
            <w:tabs>
              <w:tab w:val="right" w:leader="dot" w:pos="9736"/>
            </w:tabs>
            <w:rPr>
              <w:noProof/>
            </w:rPr>
          </w:pPr>
          <w:hyperlink w:anchor="_Toc236570161" w:history="1">
            <w:r w:rsidRPr="00BB52AA">
              <w:rPr>
                <w:rStyle w:val="Hiperligao"/>
                <w:noProof/>
              </w:rPr>
              <w:t>TOP 10 IMPERDÍVEIS DESTA MATÉRIA</w:t>
            </w:r>
            <w:r>
              <w:rPr>
                <w:noProof/>
              </w:rPr>
              <w:tab/>
            </w:r>
            <w:r>
              <w:rPr>
                <w:noProof/>
              </w:rPr>
              <w:fldChar w:fldCharType="begin"/>
            </w:r>
            <w:r>
              <w:rPr>
                <w:noProof/>
              </w:rPr>
              <w:instrText xml:space="preserve"> PAGEREF _Toc236570161 \h </w:instrText>
            </w:r>
            <w:r>
              <w:rPr>
                <w:noProof/>
              </w:rPr>
            </w:r>
            <w:r>
              <w:rPr>
                <w:noProof/>
              </w:rPr>
              <w:fldChar w:fldCharType="separate"/>
            </w:r>
            <w:r>
              <w:rPr>
                <w:noProof/>
              </w:rPr>
              <w:t>47</w:t>
            </w:r>
            <w:r>
              <w:rPr>
                <w:noProof/>
              </w:rPr>
              <w:fldChar w:fldCharType="end"/>
            </w:r>
          </w:hyperlink>
        </w:p>
        <w:p w14:paraId="050814E4" w14:textId="77777777" w:rsidR="00B874B0" w:rsidRDefault="00000000">
          <w:r>
            <w:fldChar w:fldCharType="end"/>
          </w:r>
        </w:p>
      </w:sdtContent>
    </w:sdt>
    <w:p w14:paraId="2216326A" w14:textId="77777777" w:rsidR="00B874B0" w:rsidRDefault="00000000">
      <w:r>
        <w:br w:type="page"/>
      </w:r>
    </w:p>
    <w:p w14:paraId="4898E034" w14:textId="77777777" w:rsidR="00B874B0" w:rsidRDefault="00000000">
      <w:pPr>
        <w:pStyle w:val="Ttulo1"/>
        <w:pageBreakBefore/>
        <w:spacing w:after="200"/>
      </w:pPr>
      <w:bookmarkStart w:id="1" w:name="_Toc236570055"/>
      <w:r>
        <w:lastRenderedPageBreak/>
        <w:t>I. CASAMENTO, REGIME DE BENS E UNIÃO ESTÁVEL</w:t>
      </w:r>
      <w:bookmarkEnd w:id="1"/>
    </w:p>
    <w:p w14:paraId="2BDE009C" w14:textId="77777777" w:rsidR="00B874B0" w:rsidRDefault="00000000">
      <w:pPr>
        <w:spacing w:after="300"/>
      </w:pPr>
      <w:r>
        <w:rPr>
          <w:i/>
          <w:iCs/>
          <w:color w:val="555555"/>
        </w:rPr>
        <w:t>CC arts. 1.511 a 1.582 (Casamento) · arts. 1.639 a 1.688 (Regime de Bens) · arts. 1.723 a 1.727 (União Estável, incl. homoafetiva)</w:t>
      </w:r>
    </w:p>
    <w:p w14:paraId="7ECA32B7" w14:textId="77777777" w:rsidR="00B874B0" w:rsidRDefault="00000000">
      <w:pPr>
        <w:pStyle w:val="Ttulo2"/>
        <w:spacing w:after="160"/>
      </w:pPr>
      <w:bookmarkStart w:id="2" w:name="_Toc236570056"/>
      <w:r>
        <w:t>CASAMENTO</w:t>
      </w:r>
      <w:bookmarkEnd w:id="2"/>
    </w:p>
    <w:tbl>
      <w:tblPr>
        <w:tblW w:w="5000" w:type="pct"/>
        <w:tblBorders>
          <w:top w:val="single" w:sz="8" w:space="0" w:color="C9B78C"/>
          <w:left w:val="single" w:sz="8" w:space="0" w:color="C9B78C"/>
          <w:bottom w:val="single" w:sz="8" w:space="0" w:color="C9B78C"/>
          <w:right w:val="single" w:sz="8" w:space="0" w:color="C9B78C"/>
        </w:tblBorders>
        <w:tblCellMar>
          <w:left w:w="10" w:type="dxa"/>
          <w:right w:w="10" w:type="dxa"/>
        </w:tblCellMar>
        <w:tblLook w:val="04A0" w:firstRow="1" w:lastRow="0" w:firstColumn="1" w:lastColumn="0" w:noHBand="0" w:noVBand="1"/>
      </w:tblPr>
      <w:tblGrid>
        <w:gridCol w:w="9726"/>
      </w:tblGrid>
      <w:tr w:rsidR="00B874B0" w14:paraId="57FE941E" w14:textId="77777777">
        <w:tblPrEx>
          <w:tblCellMar>
            <w:top w:w="0" w:type="dxa"/>
            <w:bottom w:w="0" w:type="dxa"/>
          </w:tblCellMar>
        </w:tblPrEx>
        <w:tc>
          <w:tcPr>
            <w:tcW w:w="5000" w:type="pct"/>
            <w:shd w:val="clear" w:color="auto" w:fill="F6F1E8"/>
            <w:tcMar>
              <w:top w:w="160" w:type="dxa"/>
              <w:left w:w="200" w:type="dxa"/>
              <w:bottom w:w="160" w:type="dxa"/>
              <w:right w:w="200" w:type="dxa"/>
            </w:tcMar>
          </w:tcPr>
          <w:p w14:paraId="2E0892B7" w14:textId="77777777" w:rsidR="00B874B0" w:rsidRDefault="00000000">
            <w:pPr>
              <w:pStyle w:val="Ttulo3"/>
              <w:spacing w:after="80"/>
            </w:pPr>
            <w:bookmarkStart w:id="3" w:name="_Toc236570057"/>
            <w:r>
              <w:t>Casamento nuncupativo — flexibilização do prazo de 10 dias para as testemunhas comparecerem ao juiz</w:t>
            </w:r>
            <w:bookmarkEnd w:id="3"/>
          </w:p>
          <w:p w14:paraId="19F13041" w14:textId="77777777" w:rsidR="00B874B0" w:rsidRDefault="00000000">
            <w:pPr>
              <w:spacing w:after="40"/>
            </w:pPr>
            <w:r>
              <w:rPr>
                <w:b/>
                <w:bCs/>
                <w:color w:val="555555"/>
                <w:sz w:val="19"/>
                <w:szCs w:val="19"/>
              </w:rPr>
              <w:t>Tribunal: STJ   |   Órgão: 3ª Turma</w:t>
            </w:r>
          </w:p>
          <w:p w14:paraId="54D4E2D0" w14:textId="77777777" w:rsidR="00B874B0" w:rsidRDefault="00000000">
            <w:pPr>
              <w:spacing w:after="40"/>
            </w:pPr>
            <w:r>
              <w:rPr>
                <w:color w:val="555555"/>
                <w:sz w:val="19"/>
                <w:szCs w:val="19"/>
              </w:rPr>
              <w:t>Processo: REsp 1.978.121/RJ   |   Relator: Min. Nancy Andrighi   |   Data: 22/03/2022</w:t>
            </w:r>
          </w:p>
          <w:p w14:paraId="060E1E0F" w14:textId="77777777" w:rsidR="00B874B0" w:rsidRDefault="00000000">
            <w:pPr>
              <w:spacing w:after="100"/>
            </w:pPr>
            <w:r>
              <w:rPr>
                <w:i/>
                <w:iCs/>
                <w:color w:val="555555"/>
                <w:sz w:val="19"/>
                <w:szCs w:val="19"/>
              </w:rPr>
              <w:t>Sistemática: Caso isolado (Info 730)</w:t>
            </w:r>
          </w:p>
          <w:p w14:paraId="66A3C66A" w14:textId="77777777" w:rsidR="00B874B0" w:rsidRDefault="00000000">
            <w:pPr>
              <w:spacing w:after="100"/>
            </w:pPr>
            <w:r>
              <w:rPr>
                <w:b/>
                <w:bCs/>
              </w:rPr>
              <w:t xml:space="preserve">TESE FIXADA / DECISÃO: </w:t>
            </w:r>
            <w:r>
              <w:t>O prazo de 10 dias do art. 1.541 do CC, para que as testemunhas do casamento nuncupativo (in extremis vitae) compareçam perante a autoridade judicial, é formalidade do ato — não elemento de existência, validade ou eficácia — sendo suscetível de flexibilização, especialmente na ausência de má-fé.</w:t>
            </w:r>
          </w:p>
          <w:p w14:paraId="33FFCDB7" w14:textId="77777777" w:rsidR="00B874B0" w:rsidRDefault="00000000">
            <w:pPr>
              <w:spacing w:after="100"/>
            </w:pPr>
            <w:r>
              <w:rPr>
                <w:b/>
                <w:bCs/>
              </w:rPr>
              <w:t xml:space="preserve">RESUMO DO CASO: </w:t>
            </w:r>
            <w:r>
              <w:t>Casamento nuncupativo é celebrado quando um dos contraentes está em iminente risco de vida, sem habilitação prévia e sem autoridade celebrante disponível, perante 6 testemunhas. No caso, as testemunhas compareceram ao juiz após o prazo de 10 dias previsto no art. 1.541 do CC. O STJ entendeu que esse prazo é meramente formal e não afeta a validade do casamento, devendo o descumprimento ser contextualizado caso a caso, desde que presentes os requisitos essenciais.</w:t>
            </w:r>
          </w:p>
          <w:p w14:paraId="7783ACF6" w14:textId="77777777" w:rsidR="00B874B0" w:rsidRDefault="00000000">
            <w:pPr>
              <w:spacing w:after="40"/>
            </w:pPr>
            <w:r>
              <w:rPr>
                <w:b/>
                <w:bCs/>
              </w:rPr>
              <w:t>COMO PODE SER COBRADO EM PROVA:</w:t>
            </w:r>
          </w:p>
          <w:p w14:paraId="118F3E26" w14:textId="77777777" w:rsidR="00B874B0" w:rsidRDefault="00000000">
            <w:pPr>
              <w:pStyle w:val="PargrafodaLista"/>
              <w:numPr>
                <w:ilvl w:val="0"/>
                <w:numId w:val="2"/>
              </w:numPr>
              <w:spacing w:after="40"/>
            </w:pPr>
            <w:r>
              <w:rPr>
                <w:b/>
                <w:bCs/>
                <w:i/>
                <w:iCs/>
              </w:rPr>
              <w:t xml:space="preserve">Objetiva: </w:t>
            </w:r>
            <w:r>
              <w:t>alternativa afirmando que o descumprimento do prazo de 10 dias invalida automaticamente o casamento nuncupativo — INCORRETA.</w:t>
            </w:r>
          </w:p>
          <w:p w14:paraId="3F4FF71F" w14:textId="77777777" w:rsidR="00B874B0" w:rsidRDefault="00000000">
            <w:pPr>
              <w:pStyle w:val="PargrafodaLista"/>
              <w:numPr>
                <w:ilvl w:val="0"/>
                <w:numId w:val="2"/>
              </w:numPr>
              <w:spacing w:after="40"/>
            </w:pPr>
            <w:r>
              <w:rPr>
                <w:b/>
                <w:bCs/>
                <w:i/>
                <w:iCs/>
              </w:rPr>
              <w:t xml:space="preserve">Discursiva/Sentença: </w:t>
            </w:r>
            <w:r>
              <w:t>caso concreto de casamento in extremis com testemunhas fora do prazo; pedir fundamentação sobre validade.</w:t>
            </w:r>
          </w:p>
          <w:p w14:paraId="79C82664" w14:textId="77777777" w:rsidR="00B874B0" w:rsidRDefault="00000000">
            <w:pPr>
              <w:pStyle w:val="PargrafodaLista"/>
              <w:numPr>
                <w:ilvl w:val="0"/>
                <w:numId w:val="2"/>
              </w:numPr>
              <w:spacing w:after="100"/>
            </w:pPr>
            <w:r>
              <w:rPr>
                <w:b/>
                <w:bCs/>
                <w:i/>
                <w:iCs/>
              </w:rPr>
              <w:t xml:space="preserve">Oral: </w:t>
            </w:r>
            <w:r>
              <w:t>distinguir requisitos de existência, validade e eficácia do casamento nuncupativo.</w:t>
            </w:r>
          </w:p>
          <w:p w14:paraId="0E75CB22" w14:textId="77777777" w:rsidR="00B874B0" w:rsidRDefault="00000000">
            <w:r>
              <w:rPr>
                <w:b/>
                <w:bCs/>
                <w:color w:val="A9762F"/>
              </w:rPr>
              <w:t xml:space="preserve">CONEXÕES: </w:t>
            </w:r>
            <w:r>
              <w:rPr>
                <w:i/>
                <w:iCs/>
              </w:rPr>
              <w:t>arts. 1.540–1.542 do CC; tema já cobrado pela FGV — "casamento nuncupativo (in extremis vitae)".</w:t>
            </w:r>
          </w:p>
        </w:tc>
      </w:tr>
    </w:tbl>
    <w:p w14:paraId="5C8528A6" w14:textId="77777777" w:rsidR="00B874B0" w:rsidRDefault="00B874B0">
      <w:pPr>
        <w:spacing w:after="160"/>
      </w:pPr>
    </w:p>
    <w:tbl>
      <w:tblPr>
        <w:tblW w:w="5000" w:type="pct"/>
        <w:tblBorders>
          <w:top w:val="single" w:sz="8" w:space="0" w:color="C9B78C"/>
          <w:left w:val="single" w:sz="8" w:space="0" w:color="C9B78C"/>
          <w:bottom w:val="single" w:sz="8" w:space="0" w:color="C9B78C"/>
          <w:right w:val="single" w:sz="8" w:space="0" w:color="C9B78C"/>
        </w:tblBorders>
        <w:tblCellMar>
          <w:left w:w="10" w:type="dxa"/>
          <w:right w:w="10" w:type="dxa"/>
        </w:tblCellMar>
        <w:tblLook w:val="04A0" w:firstRow="1" w:lastRow="0" w:firstColumn="1" w:lastColumn="0" w:noHBand="0" w:noVBand="1"/>
      </w:tblPr>
      <w:tblGrid>
        <w:gridCol w:w="9726"/>
      </w:tblGrid>
      <w:tr w:rsidR="00B874B0" w14:paraId="71345E18" w14:textId="77777777">
        <w:tblPrEx>
          <w:tblCellMar>
            <w:top w:w="0" w:type="dxa"/>
            <w:bottom w:w="0" w:type="dxa"/>
          </w:tblCellMar>
        </w:tblPrEx>
        <w:tc>
          <w:tcPr>
            <w:tcW w:w="5000" w:type="pct"/>
            <w:shd w:val="clear" w:color="auto" w:fill="F6F1E8"/>
            <w:tcMar>
              <w:top w:w="160" w:type="dxa"/>
              <w:left w:w="200" w:type="dxa"/>
              <w:bottom w:w="160" w:type="dxa"/>
              <w:right w:w="200" w:type="dxa"/>
            </w:tcMar>
          </w:tcPr>
          <w:p w14:paraId="7B755BC4" w14:textId="77777777" w:rsidR="00B874B0" w:rsidRDefault="00000000">
            <w:pPr>
              <w:pStyle w:val="Ttulo3"/>
              <w:spacing w:after="80"/>
            </w:pPr>
            <w:bookmarkStart w:id="4" w:name="_Toc236570058"/>
            <w:r>
              <w:t>Extinção da separação judicial como figura autônoma após a EC 66/2010 — Tema 1053</w:t>
            </w:r>
            <w:bookmarkEnd w:id="4"/>
          </w:p>
          <w:p w14:paraId="604E6AE2" w14:textId="77777777" w:rsidR="00B874B0" w:rsidRDefault="00000000">
            <w:pPr>
              <w:spacing w:after="40"/>
            </w:pPr>
            <w:r>
              <w:rPr>
                <w:b/>
                <w:bCs/>
                <w:color w:val="555555"/>
                <w:sz w:val="19"/>
                <w:szCs w:val="19"/>
              </w:rPr>
              <w:t>Tribunal: STF   |   Órgão: Plenário</w:t>
            </w:r>
          </w:p>
          <w:p w14:paraId="3B674388" w14:textId="77777777" w:rsidR="00B874B0" w:rsidRDefault="00000000">
            <w:pPr>
              <w:spacing w:after="40"/>
            </w:pPr>
            <w:r>
              <w:rPr>
                <w:color w:val="555555"/>
                <w:sz w:val="19"/>
                <w:szCs w:val="19"/>
              </w:rPr>
              <w:t>Processo: RE 1.167.478/RJ   |   Relator: Min. Luiz Fux   |   Data: 08/11/2023</w:t>
            </w:r>
          </w:p>
          <w:p w14:paraId="039693AC" w14:textId="77777777" w:rsidR="00B874B0" w:rsidRDefault="00000000">
            <w:pPr>
              <w:spacing w:after="100"/>
            </w:pPr>
            <w:r>
              <w:rPr>
                <w:i/>
                <w:iCs/>
                <w:color w:val="555555"/>
                <w:sz w:val="19"/>
                <w:szCs w:val="19"/>
              </w:rPr>
              <w:t>Sistemática: Repercussão Geral — Tema 1053</w:t>
            </w:r>
          </w:p>
          <w:p w14:paraId="42ABEA1A" w14:textId="77777777" w:rsidR="00B874B0" w:rsidRDefault="00000000">
            <w:pPr>
              <w:spacing w:after="100"/>
            </w:pPr>
            <w:r>
              <w:rPr>
                <w:b/>
                <w:bCs/>
              </w:rPr>
              <w:t xml:space="preserve">TESE FIXADA / DECISÃO: </w:t>
            </w:r>
            <w:r>
              <w:t>"Após a promulgação da EC nº 66/2010, a separação judicial não é mais requisito para o divórcio nem subsiste como figura autônoma no ordenamento jurídico." Preserva-se, contudo, o estado civil de quem já se separou judicialmente ou por escritura pública, por se tratar de ato jurídico perfeito (art. 5º, XXXVI, CF).</w:t>
            </w:r>
          </w:p>
          <w:p w14:paraId="5840BF43" w14:textId="77777777" w:rsidR="00B874B0" w:rsidRDefault="00000000">
            <w:pPr>
              <w:spacing w:after="100"/>
            </w:pPr>
            <w:r>
              <w:rPr>
                <w:b/>
                <w:bCs/>
              </w:rPr>
              <w:t xml:space="preserve">RESUMO DO CASO: </w:t>
            </w:r>
            <w:r>
              <w:t>Discutiu-se se a separação judicial, mesmo após a EC 66/2010 (que eliminou requisitos temporais/prévios para o divórcio do texto constitucional), ainda subsistiria como instituto autônomo do Código Civil. O STF fixou tese vinculante afastando as normas do CC sobre separação judicial, ressalvando situações jurídicas já consolidadas.</w:t>
            </w:r>
          </w:p>
          <w:p w14:paraId="46F642AF" w14:textId="77777777" w:rsidR="00B874B0" w:rsidRDefault="00000000">
            <w:pPr>
              <w:spacing w:after="40"/>
            </w:pPr>
            <w:r>
              <w:rPr>
                <w:b/>
                <w:bCs/>
              </w:rPr>
              <w:t>COMO PODE SER COBRADO EM PROVA:</w:t>
            </w:r>
          </w:p>
          <w:p w14:paraId="70690924" w14:textId="77777777" w:rsidR="00B874B0" w:rsidRDefault="00000000">
            <w:pPr>
              <w:pStyle w:val="PargrafodaLista"/>
              <w:numPr>
                <w:ilvl w:val="0"/>
                <w:numId w:val="2"/>
              </w:numPr>
              <w:spacing w:after="40"/>
            </w:pPr>
            <w:r>
              <w:rPr>
                <w:b/>
                <w:bCs/>
                <w:i/>
                <w:iCs/>
              </w:rPr>
              <w:t xml:space="preserve">Objetiva: </w:t>
            </w:r>
            <w:r>
              <w:t>alternativa tratando a separação judicial como ainda vigente/obrigatória — INCORRETA.</w:t>
            </w:r>
          </w:p>
          <w:p w14:paraId="0890948E" w14:textId="77777777" w:rsidR="00B874B0" w:rsidRDefault="00000000">
            <w:pPr>
              <w:pStyle w:val="PargrafodaLista"/>
              <w:numPr>
                <w:ilvl w:val="0"/>
                <w:numId w:val="2"/>
              </w:numPr>
              <w:spacing w:after="40"/>
            </w:pPr>
            <w:r>
              <w:rPr>
                <w:b/>
                <w:bCs/>
                <w:i/>
                <w:iCs/>
              </w:rPr>
              <w:t xml:space="preserve">Discursiva/Sentença: </w:t>
            </w:r>
            <w:r>
              <w:t>fundamentar sentença de divórcio direto, sem separação prévia.</w:t>
            </w:r>
          </w:p>
          <w:p w14:paraId="2D9FC369" w14:textId="77777777" w:rsidR="00B874B0" w:rsidRDefault="00000000">
            <w:pPr>
              <w:pStyle w:val="PargrafodaLista"/>
              <w:numPr>
                <w:ilvl w:val="0"/>
                <w:numId w:val="2"/>
              </w:numPr>
              <w:spacing w:after="100"/>
            </w:pPr>
            <w:r>
              <w:rPr>
                <w:b/>
                <w:bCs/>
                <w:i/>
                <w:iCs/>
              </w:rPr>
              <w:t xml:space="preserve">Oral: </w:t>
            </w:r>
            <w:r>
              <w:t>efeitos da EC 66/2010 sobre os dispositivos do CC relativos à separação.</w:t>
            </w:r>
          </w:p>
          <w:p w14:paraId="651852FB" w14:textId="77777777" w:rsidR="00B874B0" w:rsidRDefault="00000000">
            <w:r>
              <w:rPr>
                <w:b/>
                <w:bCs/>
                <w:color w:val="A9762F"/>
              </w:rPr>
              <w:t xml:space="preserve">CONEXÕES: </w:t>
            </w:r>
            <w:r>
              <w:rPr>
                <w:i/>
                <w:iCs/>
              </w:rPr>
              <w:t>EC 66/2010; divórcio como direito potestativo (REsp 2.154.062-RJ e REsp 2.022.649-MA, abaixo).</w:t>
            </w:r>
          </w:p>
        </w:tc>
      </w:tr>
    </w:tbl>
    <w:p w14:paraId="010AA2AD" w14:textId="77777777" w:rsidR="00B874B0" w:rsidRDefault="00B874B0">
      <w:pPr>
        <w:spacing w:after="160"/>
      </w:pPr>
    </w:p>
    <w:tbl>
      <w:tblPr>
        <w:tblW w:w="5000" w:type="pct"/>
        <w:tblBorders>
          <w:top w:val="single" w:sz="8" w:space="0" w:color="C9B78C"/>
          <w:left w:val="single" w:sz="8" w:space="0" w:color="C9B78C"/>
          <w:bottom w:val="single" w:sz="8" w:space="0" w:color="C9B78C"/>
          <w:right w:val="single" w:sz="8" w:space="0" w:color="C9B78C"/>
        </w:tblBorders>
        <w:tblCellMar>
          <w:left w:w="10" w:type="dxa"/>
          <w:right w:w="10" w:type="dxa"/>
        </w:tblCellMar>
        <w:tblLook w:val="04A0" w:firstRow="1" w:lastRow="0" w:firstColumn="1" w:lastColumn="0" w:noHBand="0" w:noVBand="1"/>
      </w:tblPr>
      <w:tblGrid>
        <w:gridCol w:w="9726"/>
      </w:tblGrid>
      <w:tr w:rsidR="00B874B0" w14:paraId="7C218F0B" w14:textId="77777777">
        <w:tblPrEx>
          <w:tblCellMar>
            <w:top w:w="0" w:type="dxa"/>
            <w:bottom w:w="0" w:type="dxa"/>
          </w:tblCellMar>
        </w:tblPrEx>
        <w:tc>
          <w:tcPr>
            <w:tcW w:w="5000" w:type="pct"/>
            <w:shd w:val="clear" w:color="auto" w:fill="F6F1E8"/>
            <w:tcMar>
              <w:top w:w="160" w:type="dxa"/>
              <w:left w:w="200" w:type="dxa"/>
              <w:bottom w:w="160" w:type="dxa"/>
              <w:right w:w="200" w:type="dxa"/>
            </w:tcMar>
          </w:tcPr>
          <w:p w14:paraId="100F8651" w14:textId="77777777" w:rsidR="00B874B0" w:rsidRDefault="00000000">
            <w:pPr>
              <w:pStyle w:val="Ttulo3"/>
              <w:spacing w:after="80"/>
            </w:pPr>
            <w:bookmarkStart w:id="5" w:name="_Toc236570059"/>
            <w:r>
              <w:lastRenderedPageBreak/>
              <w:t>Divórcio post mortem — autor falece no curso do processo</w:t>
            </w:r>
            <w:bookmarkEnd w:id="5"/>
          </w:p>
          <w:p w14:paraId="3EA07F22" w14:textId="77777777" w:rsidR="00B874B0" w:rsidRDefault="00000000">
            <w:pPr>
              <w:spacing w:after="40"/>
            </w:pPr>
            <w:r>
              <w:rPr>
                <w:b/>
                <w:bCs/>
                <w:color w:val="555555"/>
                <w:sz w:val="19"/>
                <w:szCs w:val="19"/>
              </w:rPr>
              <w:t>Tribunal: STJ   |   Órgão: 3ª Turma</w:t>
            </w:r>
          </w:p>
          <w:p w14:paraId="2E3A190D" w14:textId="77777777" w:rsidR="00B874B0" w:rsidRDefault="00000000">
            <w:pPr>
              <w:spacing w:after="40"/>
            </w:pPr>
            <w:r>
              <w:rPr>
                <w:color w:val="555555"/>
                <w:sz w:val="19"/>
                <w:szCs w:val="19"/>
              </w:rPr>
              <w:t>Processo: REsp 2.154.062-RJ   |   Relator: Min. Ricardo Villas Bôas Cueva   |   Data: 27/08/2024</w:t>
            </w:r>
          </w:p>
          <w:p w14:paraId="05DFD3DB" w14:textId="77777777" w:rsidR="00B874B0" w:rsidRDefault="00000000">
            <w:pPr>
              <w:spacing w:after="100"/>
            </w:pPr>
            <w:r>
              <w:rPr>
                <w:i/>
                <w:iCs/>
                <w:color w:val="555555"/>
                <w:sz w:val="19"/>
                <w:szCs w:val="19"/>
              </w:rPr>
              <w:t>Sistemática: Caso isolado (Info 23 — Edição Extraordinária)</w:t>
            </w:r>
          </w:p>
          <w:p w14:paraId="76CF1AA6" w14:textId="77777777" w:rsidR="00B874B0" w:rsidRDefault="00000000">
            <w:pPr>
              <w:spacing w:after="100"/>
            </w:pPr>
            <w:r>
              <w:rPr>
                <w:b/>
                <w:bCs/>
              </w:rPr>
              <w:t xml:space="preserve">TESE FIXADA / DECISÃO: </w:t>
            </w:r>
            <w:r>
              <w:t>A manifestação de vontade inequívoca de divorciar-se, ainda que não apreciada em definitivo, produz efeitos mesmo após a morte do autor da ação, à luz da EC 66/2010, que transformou o divórcio em direito potestativo.</w:t>
            </w:r>
          </w:p>
          <w:p w14:paraId="023E44F3" w14:textId="77777777" w:rsidR="00B874B0" w:rsidRDefault="00000000">
            <w:pPr>
              <w:spacing w:after="100"/>
            </w:pPr>
            <w:r>
              <w:rPr>
                <w:b/>
                <w:bCs/>
              </w:rPr>
              <w:t xml:space="preserve">RESUMO DO CASO: </w:t>
            </w:r>
            <w:r>
              <w:t>Autor com câncer em estágio avançado ajuizou ação de divórcio; obteve tutela recursal antecipada decretando o divórcio provisoriamente e faleceu antes do julgamento definitivo do agravo. O TJ revogou a liminar por entender que o divórcio é personalíssimo e não sobreviveria à morte do autor. O STJ reformou, reconhecendo o divórcio postumamente.</w:t>
            </w:r>
          </w:p>
          <w:p w14:paraId="29E7CE75" w14:textId="77777777" w:rsidR="00B874B0" w:rsidRDefault="00000000">
            <w:pPr>
              <w:spacing w:after="40"/>
            </w:pPr>
            <w:r>
              <w:rPr>
                <w:b/>
                <w:bCs/>
              </w:rPr>
              <w:t>COMO PODE SER COBRADO EM PROVA:</w:t>
            </w:r>
          </w:p>
          <w:p w14:paraId="3CE8307A" w14:textId="77777777" w:rsidR="00B874B0" w:rsidRDefault="00000000">
            <w:pPr>
              <w:pStyle w:val="PargrafodaLista"/>
              <w:numPr>
                <w:ilvl w:val="0"/>
                <w:numId w:val="2"/>
              </w:numPr>
              <w:spacing w:after="40"/>
            </w:pPr>
            <w:r>
              <w:rPr>
                <w:b/>
                <w:bCs/>
                <w:i/>
                <w:iCs/>
              </w:rPr>
              <w:t xml:space="preserve">Objetiva: </w:t>
            </w:r>
            <w:r>
              <w:t>alternativa afirmando que a morte do autor sempre extingue o processo de divórcio sem resolução do mérito — INCORRETA.</w:t>
            </w:r>
          </w:p>
          <w:p w14:paraId="32989E39" w14:textId="77777777" w:rsidR="00B874B0" w:rsidRDefault="00000000">
            <w:pPr>
              <w:pStyle w:val="PargrafodaLista"/>
              <w:numPr>
                <w:ilvl w:val="0"/>
                <w:numId w:val="2"/>
              </w:numPr>
              <w:spacing w:after="40"/>
            </w:pPr>
            <w:r>
              <w:rPr>
                <w:b/>
                <w:bCs/>
                <w:i/>
                <w:iCs/>
              </w:rPr>
              <w:t xml:space="preserve">Discursiva/Sentença: </w:t>
            </w:r>
            <w:r>
              <w:t>elaborar sentença reconhecendo divórcio post mortem.</w:t>
            </w:r>
          </w:p>
          <w:p w14:paraId="23FACBBF" w14:textId="77777777" w:rsidR="00B874B0" w:rsidRDefault="00000000">
            <w:pPr>
              <w:pStyle w:val="PargrafodaLista"/>
              <w:numPr>
                <w:ilvl w:val="0"/>
                <w:numId w:val="2"/>
              </w:numPr>
              <w:spacing w:after="100"/>
            </w:pPr>
            <w:r>
              <w:rPr>
                <w:b/>
                <w:bCs/>
                <w:i/>
                <w:iCs/>
              </w:rPr>
              <w:t xml:space="preserve">Oral: </w:t>
            </w:r>
            <w:r>
              <w:t>natureza potestativa do divórcio após a EC 66/2010.</w:t>
            </w:r>
          </w:p>
          <w:p w14:paraId="67672C76" w14:textId="77777777" w:rsidR="00B874B0" w:rsidRDefault="00000000">
            <w:r>
              <w:rPr>
                <w:b/>
                <w:bCs/>
                <w:color w:val="A9762F"/>
              </w:rPr>
              <w:t xml:space="preserve">CONEXÕES: </w:t>
            </w:r>
            <w:r>
              <w:rPr>
                <w:i/>
                <w:iCs/>
              </w:rPr>
              <w:t>REsp 2.022.649-MA (mesmo tema, sob outro ângulo); EC 66/2010; RE 1.167.478/RJ (Tema 1053).</w:t>
            </w:r>
          </w:p>
        </w:tc>
      </w:tr>
    </w:tbl>
    <w:p w14:paraId="2E799395" w14:textId="77777777" w:rsidR="00B874B0" w:rsidRDefault="00B874B0">
      <w:pPr>
        <w:spacing w:after="160"/>
      </w:pPr>
    </w:p>
    <w:tbl>
      <w:tblPr>
        <w:tblW w:w="5000" w:type="pct"/>
        <w:tblBorders>
          <w:top w:val="single" w:sz="8" w:space="0" w:color="C9B78C"/>
          <w:left w:val="single" w:sz="8" w:space="0" w:color="C9B78C"/>
          <w:bottom w:val="single" w:sz="8" w:space="0" w:color="C9B78C"/>
          <w:right w:val="single" w:sz="8" w:space="0" w:color="C9B78C"/>
        </w:tblBorders>
        <w:tblCellMar>
          <w:left w:w="10" w:type="dxa"/>
          <w:right w:w="10" w:type="dxa"/>
        </w:tblCellMar>
        <w:tblLook w:val="04A0" w:firstRow="1" w:lastRow="0" w:firstColumn="1" w:lastColumn="0" w:noHBand="0" w:noVBand="1"/>
      </w:tblPr>
      <w:tblGrid>
        <w:gridCol w:w="9726"/>
      </w:tblGrid>
      <w:tr w:rsidR="00B874B0" w14:paraId="51CB4F67" w14:textId="77777777">
        <w:tblPrEx>
          <w:tblCellMar>
            <w:top w:w="0" w:type="dxa"/>
            <w:bottom w:w="0" w:type="dxa"/>
          </w:tblCellMar>
        </w:tblPrEx>
        <w:tc>
          <w:tcPr>
            <w:tcW w:w="5000" w:type="pct"/>
            <w:shd w:val="clear" w:color="auto" w:fill="F6F1E8"/>
            <w:tcMar>
              <w:top w:w="160" w:type="dxa"/>
              <w:left w:w="200" w:type="dxa"/>
              <w:bottom w:w="160" w:type="dxa"/>
              <w:right w:w="200" w:type="dxa"/>
            </w:tcMar>
          </w:tcPr>
          <w:p w14:paraId="091F74E7" w14:textId="77777777" w:rsidR="00B874B0" w:rsidRDefault="00000000">
            <w:pPr>
              <w:pStyle w:val="Ttulo3"/>
              <w:spacing w:after="80"/>
            </w:pPr>
            <w:bookmarkStart w:id="6" w:name="_Toc236570060"/>
            <w:r>
              <w:t>Divórcio post mortem — cônjuge ré falece no curso do processo; legitimidade dos herdeiros</w:t>
            </w:r>
            <w:bookmarkEnd w:id="6"/>
          </w:p>
          <w:p w14:paraId="16D4771F" w14:textId="77777777" w:rsidR="00B874B0" w:rsidRDefault="00000000">
            <w:pPr>
              <w:spacing w:after="40"/>
            </w:pPr>
            <w:r>
              <w:rPr>
                <w:b/>
                <w:bCs/>
                <w:color w:val="555555"/>
                <w:sz w:val="19"/>
                <w:szCs w:val="19"/>
              </w:rPr>
              <w:t>Tribunal: STJ   |   Órgão: 4ª Turma</w:t>
            </w:r>
          </w:p>
          <w:p w14:paraId="6FEA9263" w14:textId="77777777" w:rsidR="00B874B0" w:rsidRDefault="00000000">
            <w:pPr>
              <w:spacing w:after="40"/>
            </w:pPr>
            <w:r>
              <w:rPr>
                <w:color w:val="555555"/>
                <w:sz w:val="19"/>
                <w:szCs w:val="19"/>
              </w:rPr>
              <w:t>Processo: REsp 2.022.649-MA   |   Relator: Min. Antonio Carlos Ferreira   |   Data: 16/05/2024</w:t>
            </w:r>
          </w:p>
          <w:p w14:paraId="14FECDAA" w14:textId="77777777" w:rsidR="00B874B0" w:rsidRDefault="00000000">
            <w:pPr>
              <w:spacing w:after="100"/>
            </w:pPr>
            <w:r>
              <w:rPr>
                <w:i/>
                <w:iCs/>
                <w:color w:val="555555"/>
                <w:sz w:val="19"/>
                <w:szCs w:val="19"/>
              </w:rPr>
              <w:t>Sistemática: Caso isolado (Info 815)</w:t>
            </w:r>
          </w:p>
          <w:p w14:paraId="0E24A33D" w14:textId="77777777" w:rsidR="00B874B0" w:rsidRDefault="00000000">
            <w:pPr>
              <w:spacing w:after="100"/>
            </w:pPr>
            <w:r>
              <w:rPr>
                <w:b/>
                <w:bCs/>
              </w:rPr>
              <w:t xml:space="preserve">TESE FIXADA / DECISÃO: </w:t>
            </w:r>
            <w:r>
              <w:t>É possível decretar o divórcio ainda que um dos cônjuges faleça no curso do processo, quando há manifestação inequívoca de vontade em vida de dissolver o vínculo; os herdeiros do falecido têm legitimidade para prosseguir no feito.</w:t>
            </w:r>
          </w:p>
          <w:p w14:paraId="2E9722A5" w14:textId="77777777" w:rsidR="00B874B0" w:rsidRDefault="00000000">
            <w:pPr>
              <w:spacing w:after="100"/>
            </w:pPr>
            <w:r>
              <w:rPr>
                <w:b/>
                <w:bCs/>
              </w:rPr>
              <w:t xml:space="preserve">RESUMO DO CASO: </w:t>
            </w:r>
            <w:r>
              <w:t>Marido ajuizou divórcio; a esposa, citada, concordou expressamente e pediu a decretação independentemente da partilha; faleceu durante o trâmite processual. O marido pediu extinção sem resolução de mérito; os herdeiros dela pleitearam o prosseguimento. O STJ decretou o divórcio post mortem, preservando efeitos patrimoniais e sucessórios.</w:t>
            </w:r>
          </w:p>
          <w:p w14:paraId="7718D25B" w14:textId="77777777" w:rsidR="00B874B0" w:rsidRDefault="00000000">
            <w:pPr>
              <w:spacing w:after="40"/>
            </w:pPr>
            <w:r>
              <w:rPr>
                <w:b/>
                <w:bCs/>
              </w:rPr>
              <w:t>COMO PODE SER COBRADO EM PROVA:</w:t>
            </w:r>
          </w:p>
          <w:p w14:paraId="0E4AD2AA" w14:textId="77777777" w:rsidR="00B874B0" w:rsidRDefault="00000000">
            <w:pPr>
              <w:pStyle w:val="PargrafodaLista"/>
              <w:numPr>
                <w:ilvl w:val="0"/>
                <w:numId w:val="2"/>
              </w:numPr>
              <w:spacing w:after="40"/>
            </w:pPr>
            <w:r>
              <w:rPr>
                <w:b/>
                <w:bCs/>
                <w:i/>
                <w:iCs/>
              </w:rPr>
              <w:t xml:space="preserve">Objetiva: </w:t>
            </w:r>
            <w:r>
              <w:t>identificar a legitimidade dos herdeiros para prosseguir no pedido de divórcio quando já houve manifestação de vontade.</w:t>
            </w:r>
          </w:p>
          <w:p w14:paraId="678082EC" w14:textId="77777777" w:rsidR="00B874B0" w:rsidRDefault="00000000">
            <w:pPr>
              <w:pStyle w:val="PargrafodaLista"/>
              <w:numPr>
                <w:ilvl w:val="0"/>
                <w:numId w:val="2"/>
              </w:numPr>
              <w:spacing w:after="40"/>
            </w:pPr>
            <w:r>
              <w:rPr>
                <w:b/>
                <w:bCs/>
                <w:i/>
                <w:iCs/>
              </w:rPr>
              <w:t xml:space="preserve">Discursiva/Sentença: </w:t>
            </w:r>
            <w:r>
              <w:t>caso análogo pedindo fundamentação sobre efeitos sucessórios do divórcio post mortem.</w:t>
            </w:r>
          </w:p>
          <w:p w14:paraId="482B764B" w14:textId="77777777" w:rsidR="00B874B0" w:rsidRDefault="00000000">
            <w:pPr>
              <w:pStyle w:val="PargrafodaLista"/>
              <w:numPr>
                <w:ilvl w:val="0"/>
                <w:numId w:val="2"/>
              </w:numPr>
              <w:spacing w:after="100"/>
            </w:pPr>
            <w:r>
              <w:rPr>
                <w:b/>
                <w:bCs/>
                <w:i/>
                <w:iCs/>
              </w:rPr>
              <w:t xml:space="preserve">Oral: </w:t>
            </w:r>
            <w:r>
              <w:t>diferença entre este caso e o REsp 2.154.062-RJ (autor x ré falecendo).</w:t>
            </w:r>
          </w:p>
          <w:p w14:paraId="4665FDED" w14:textId="77777777" w:rsidR="00B874B0" w:rsidRDefault="00000000">
            <w:r>
              <w:rPr>
                <w:b/>
                <w:bCs/>
                <w:color w:val="A9762F"/>
              </w:rPr>
              <w:t xml:space="preserve">CONEXÕES: </w:t>
            </w:r>
            <w:r>
              <w:rPr>
                <w:i/>
                <w:iCs/>
              </w:rPr>
              <w:t>REsp 2.154.062-RJ; EC 66/2010; direito potestativo ao divórcio.</w:t>
            </w:r>
          </w:p>
        </w:tc>
      </w:tr>
    </w:tbl>
    <w:p w14:paraId="7FB2083E" w14:textId="77777777" w:rsidR="00B874B0" w:rsidRDefault="00B874B0">
      <w:pPr>
        <w:spacing w:after="160"/>
      </w:pPr>
    </w:p>
    <w:tbl>
      <w:tblPr>
        <w:tblW w:w="5000" w:type="pct"/>
        <w:tblBorders>
          <w:top w:val="single" w:sz="8" w:space="0" w:color="C9B78C"/>
          <w:left w:val="single" w:sz="8" w:space="0" w:color="C9B78C"/>
          <w:bottom w:val="single" w:sz="8" w:space="0" w:color="C9B78C"/>
          <w:right w:val="single" w:sz="8" w:space="0" w:color="C9B78C"/>
        </w:tblBorders>
        <w:tblCellMar>
          <w:left w:w="10" w:type="dxa"/>
          <w:right w:w="10" w:type="dxa"/>
        </w:tblCellMar>
        <w:tblLook w:val="04A0" w:firstRow="1" w:lastRow="0" w:firstColumn="1" w:lastColumn="0" w:noHBand="0" w:noVBand="1"/>
      </w:tblPr>
      <w:tblGrid>
        <w:gridCol w:w="9726"/>
      </w:tblGrid>
      <w:tr w:rsidR="00B874B0" w14:paraId="3B97B203" w14:textId="77777777">
        <w:tblPrEx>
          <w:tblCellMar>
            <w:top w:w="0" w:type="dxa"/>
            <w:bottom w:w="0" w:type="dxa"/>
          </w:tblCellMar>
        </w:tblPrEx>
        <w:tc>
          <w:tcPr>
            <w:tcW w:w="5000" w:type="pct"/>
            <w:shd w:val="clear" w:color="auto" w:fill="F6F1E8"/>
            <w:tcMar>
              <w:top w:w="160" w:type="dxa"/>
              <w:left w:w="200" w:type="dxa"/>
              <w:bottom w:w="160" w:type="dxa"/>
              <w:right w:w="200" w:type="dxa"/>
            </w:tcMar>
          </w:tcPr>
          <w:p w14:paraId="6BF32CF4" w14:textId="77777777" w:rsidR="00B874B0" w:rsidRDefault="00000000">
            <w:pPr>
              <w:pStyle w:val="Ttulo3"/>
              <w:spacing w:after="80"/>
            </w:pPr>
            <w:bookmarkStart w:id="7" w:name="_Toc236570061"/>
            <w:r>
              <w:t>Manutenção do sobrenome de casado após o divórcio, quando consolidado pelo uso</w:t>
            </w:r>
            <w:bookmarkEnd w:id="7"/>
          </w:p>
          <w:p w14:paraId="6B108559" w14:textId="77777777" w:rsidR="00B874B0" w:rsidRDefault="00000000">
            <w:pPr>
              <w:spacing w:after="40"/>
            </w:pPr>
            <w:r>
              <w:rPr>
                <w:b/>
                <w:bCs/>
                <w:color w:val="555555"/>
                <w:sz w:val="19"/>
                <w:szCs w:val="19"/>
              </w:rPr>
              <w:t>Tribunal: STJ   |   Órgão: 4ª Turma</w:t>
            </w:r>
          </w:p>
          <w:p w14:paraId="73D89925" w14:textId="77777777" w:rsidR="00B874B0" w:rsidRDefault="00000000">
            <w:pPr>
              <w:spacing w:after="40"/>
            </w:pPr>
            <w:r>
              <w:rPr>
                <w:color w:val="555555"/>
                <w:sz w:val="19"/>
                <w:szCs w:val="19"/>
              </w:rPr>
              <w:t>Processo: AgInt no AREsp 1.550.337-SP   |   Relator: Min. Raul Araújo   |   Data: 04/03/2024</w:t>
            </w:r>
          </w:p>
          <w:p w14:paraId="57781D59" w14:textId="77777777" w:rsidR="00B874B0" w:rsidRDefault="00000000">
            <w:pPr>
              <w:spacing w:after="100"/>
            </w:pPr>
            <w:r>
              <w:rPr>
                <w:i/>
                <w:iCs/>
                <w:color w:val="555555"/>
                <w:sz w:val="19"/>
                <w:szCs w:val="19"/>
              </w:rPr>
              <w:t>Sistemática: Caso isolado (Info 808)</w:t>
            </w:r>
          </w:p>
          <w:p w14:paraId="360AB161" w14:textId="77777777" w:rsidR="00B874B0" w:rsidRDefault="00000000">
            <w:pPr>
              <w:spacing w:after="100"/>
            </w:pPr>
            <w:r>
              <w:rPr>
                <w:b/>
                <w:bCs/>
              </w:rPr>
              <w:t xml:space="preserve">TESE FIXADA / DECISÃO: </w:t>
            </w:r>
            <w:r>
              <w:t>A perda do direito ao uso do nome de casado (art. 1.578 do CC) é exceção, não regra; é inadmissível excluir o patronímico incorporado por uso contínuo e prolongado, sem circunstâncias que justifiquem a alteração.</w:t>
            </w:r>
          </w:p>
          <w:p w14:paraId="5343AC1B" w14:textId="77777777" w:rsidR="00B874B0" w:rsidRDefault="00000000">
            <w:pPr>
              <w:spacing w:after="100"/>
            </w:pPr>
            <w:r>
              <w:rPr>
                <w:b/>
                <w:bCs/>
              </w:rPr>
              <w:lastRenderedPageBreak/>
              <w:t xml:space="preserve">RESUMO DO CASO: </w:t>
            </w:r>
            <w:r>
              <w:t>Após 20 anos de casamento com adoção do sobrenome do marido, este pediu, no divórcio, que a ex-mulher deixasse de usar seu patronímico. O STJ negou o pedido, reafirmando a excepcionalidade da perda do nome de casado e a proteção do nome já consolidado na vida civil e social da pessoa.</w:t>
            </w:r>
          </w:p>
          <w:p w14:paraId="662E67CA" w14:textId="77777777" w:rsidR="00B874B0" w:rsidRDefault="00000000">
            <w:pPr>
              <w:spacing w:after="40"/>
            </w:pPr>
            <w:r>
              <w:rPr>
                <w:b/>
                <w:bCs/>
              </w:rPr>
              <w:t>COMO PODE SER COBRADO EM PROVA:</w:t>
            </w:r>
          </w:p>
          <w:p w14:paraId="1D50A460" w14:textId="77777777" w:rsidR="00B874B0" w:rsidRDefault="00000000">
            <w:pPr>
              <w:pStyle w:val="PargrafodaLista"/>
              <w:numPr>
                <w:ilvl w:val="0"/>
                <w:numId w:val="2"/>
              </w:numPr>
              <w:spacing w:after="40"/>
            </w:pPr>
            <w:r>
              <w:rPr>
                <w:b/>
                <w:bCs/>
                <w:i/>
                <w:iCs/>
              </w:rPr>
              <w:t xml:space="preserve">Objetiva: </w:t>
            </w:r>
            <w:r>
              <w:t>assertiva de que o divórcio implica automaticamente a perda do nome de casado — INCORRETA.</w:t>
            </w:r>
          </w:p>
          <w:p w14:paraId="39BEB13F" w14:textId="77777777" w:rsidR="00B874B0" w:rsidRDefault="00000000">
            <w:pPr>
              <w:pStyle w:val="PargrafodaLista"/>
              <w:numPr>
                <w:ilvl w:val="0"/>
                <w:numId w:val="2"/>
              </w:numPr>
              <w:spacing w:after="40"/>
            </w:pPr>
            <w:r>
              <w:rPr>
                <w:b/>
                <w:bCs/>
                <w:i/>
                <w:iCs/>
              </w:rPr>
              <w:t xml:space="preserve">Discursiva/Sentença: </w:t>
            </w:r>
            <w:r>
              <w:t>pedido de exclusão de sobrenome versus direitos da personalidade.</w:t>
            </w:r>
          </w:p>
          <w:p w14:paraId="63A28478" w14:textId="77777777" w:rsidR="00B874B0" w:rsidRDefault="00000000">
            <w:pPr>
              <w:pStyle w:val="PargrafodaLista"/>
              <w:numPr>
                <w:ilvl w:val="0"/>
                <w:numId w:val="2"/>
              </w:numPr>
              <w:spacing w:after="100"/>
            </w:pPr>
            <w:r>
              <w:rPr>
                <w:b/>
                <w:bCs/>
                <w:i/>
                <w:iCs/>
              </w:rPr>
              <w:t xml:space="preserve">Oral: </w:t>
            </w:r>
            <w:r>
              <w:t>hipóteses do art. 1.578 do CC (perda do nome por culpa na separação).</w:t>
            </w:r>
          </w:p>
          <w:p w14:paraId="6CC0CD7A" w14:textId="77777777" w:rsidR="00B874B0" w:rsidRDefault="00000000">
            <w:r>
              <w:rPr>
                <w:b/>
                <w:bCs/>
                <w:color w:val="A9762F"/>
              </w:rPr>
              <w:t xml:space="preserve">CONEXÕES: </w:t>
            </w:r>
            <w:r>
              <w:rPr>
                <w:i/>
                <w:iCs/>
              </w:rPr>
              <w:t>art. 1.578 do CC; direitos da personalidade (nome civil).</w:t>
            </w:r>
          </w:p>
        </w:tc>
      </w:tr>
    </w:tbl>
    <w:p w14:paraId="4594FE1F" w14:textId="77777777" w:rsidR="00B874B0" w:rsidRDefault="00B874B0">
      <w:pPr>
        <w:spacing w:after="160"/>
      </w:pPr>
    </w:p>
    <w:p w14:paraId="7FE5CDB7" w14:textId="77777777" w:rsidR="00B874B0" w:rsidRDefault="00000000">
      <w:pPr>
        <w:pStyle w:val="Ttulo2"/>
        <w:spacing w:after="160"/>
      </w:pPr>
      <w:bookmarkStart w:id="8" w:name="_Toc236570062"/>
      <w:r>
        <w:t>REGIME DE BENS ENTRE OS CÔNJUGES</w:t>
      </w:r>
      <w:bookmarkEnd w:id="8"/>
    </w:p>
    <w:tbl>
      <w:tblPr>
        <w:tblW w:w="5000" w:type="pct"/>
        <w:tblBorders>
          <w:top w:val="single" w:sz="8" w:space="0" w:color="C9B78C"/>
          <w:left w:val="single" w:sz="8" w:space="0" w:color="C9B78C"/>
          <w:bottom w:val="single" w:sz="8" w:space="0" w:color="C9B78C"/>
          <w:right w:val="single" w:sz="8" w:space="0" w:color="C9B78C"/>
        </w:tblBorders>
        <w:tblCellMar>
          <w:left w:w="10" w:type="dxa"/>
          <w:right w:w="10" w:type="dxa"/>
        </w:tblCellMar>
        <w:tblLook w:val="04A0" w:firstRow="1" w:lastRow="0" w:firstColumn="1" w:lastColumn="0" w:noHBand="0" w:noVBand="1"/>
      </w:tblPr>
      <w:tblGrid>
        <w:gridCol w:w="9726"/>
      </w:tblGrid>
      <w:tr w:rsidR="00B874B0" w14:paraId="0606DDE9" w14:textId="77777777">
        <w:tblPrEx>
          <w:tblCellMar>
            <w:top w:w="0" w:type="dxa"/>
            <w:bottom w:w="0" w:type="dxa"/>
          </w:tblCellMar>
        </w:tblPrEx>
        <w:tc>
          <w:tcPr>
            <w:tcW w:w="5000" w:type="pct"/>
            <w:shd w:val="clear" w:color="auto" w:fill="F6F1E8"/>
            <w:tcMar>
              <w:top w:w="160" w:type="dxa"/>
              <w:left w:w="200" w:type="dxa"/>
              <w:bottom w:w="160" w:type="dxa"/>
              <w:right w:w="200" w:type="dxa"/>
            </w:tcMar>
          </w:tcPr>
          <w:p w14:paraId="2E11D93F" w14:textId="77777777" w:rsidR="00B874B0" w:rsidRDefault="00000000">
            <w:pPr>
              <w:pStyle w:val="Ttulo3"/>
              <w:spacing w:after="80"/>
            </w:pPr>
            <w:bookmarkStart w:id="9" w:name="_Toc236570063"/>
            <w:r>
              <w:t>Nulidade da partilha por instrumento particular — exigência de forma pública ou via judicial</w:t>
            </w:r>
            <w:bookmarkEnd w:id="9"/>
          </w:p>
          <w:p w14:paraId="7DC811C9" w14:textId="77777777" w:rsidR="00B874B0" w:rsidRDefault="00000000">
            <w:pPr>
              <w:spacing w:after="40"/>
            </w:pPr>
            <w:r>
              <w:rPr>
                <w:b/>
                <w:bCs/>
                <w:color w:val="555555"/>
                <w:sz w:val="19"/>
                <w:szCs w:val="19"/>
              </w:rPr>
              <w:t>Tribunal: STJ   |   Órgão: 3ª Turma</w:t>
            </w:r>
          </w:p>
          <w:p w14:paraId="7F5F4C4B" w14:textId="77777777" w:rsidR="00B874B0" w:rsidRDefault="00000000">
            <w:pPr>
              <w:spacing w:after="40"/>
            </w:pPr>
            <w:r>
              <w:rPr>
                <w:color w:val="555555"/>
                <w:sz w:val="19"/>
                <w:szCs w:val="19"/>
              </w:rPr>
              <w:t>Processo: REsp 2.206.085-RJ   |   Relator: Min. Nancy Andrighi   |   Data: 03/03/2026</w:t>
            </w:r>
          </w:p>
          <w:p w14:paraId="05FED841" w14:textId="77777777" w:rsidR="00B874B0" w:rsidRDefault="00000000">
            <w:pPr>
              <w:spacing w:after="100"/>
            </w:pPr>
            <w:r>
              <w:rPr>
                <w:i/>
                <w:iCs/>
                <w:color w:val="555555"/>
                <w:sz w:val="19"/>
                <w:szCs w:val="19"/>
              </w:rPr>
              <w:t>Sistemática: Caso isolado (Info 881)</w:t>
            </w:r>
          </w:p>
          <w:p w14:paraId="1CBAE499" w14:textId="77777777" w:rsidR="00B874B0" w:rsidRDefault="00000000">
            <w:pPr>
              <w:spacing w:after="100"/>
            </w:pPr>
            <w:r>
              <w:rPr>
                <w:b/>
                <w:bCs/>
              </w:rPr>
              <w:t xml:space="preserve">TESE FIXADA / DECISÃO: </w:t>
            </w:r>
            <w:r>
              <w:t>A partilha dos bens do casamento só pode ser feita por ação judicial ou escritura pública; a partilha por instrumento particular é nula (arts. 166, IV e V, e 169 do CC), podendo qualquer das partes propor ação autônoma de partilha a qualquer tempo.</w:t>
            </w:r>
          </w:p>
          <w:p w14:paraId="48E070C9" w14:textId="77777777" w:rsidR="00B874B0" w:rsidRDefault="00000000">
            <w:pPr>
              <w:spacing w:after="100"/>
            </w:pPr>
            <w:r>
              <w:rPr>
                <w:b/>
                <w:bCs/>
              </w:rPr>
              <w:t xml:space="preserve">RESUMO DO CASO: </w:t>
            </w:r>
            <w:r>
              <w:t>Casal se divorciou por escritura pública sem partilhar bens (o que é possível, art. 1.581 do CC) e, no mesmo dia, fez a partilha por instrumento particular. Cerca de um ano depois, a ex-mulher, percebendo prejuízo, ajuizou ação de partilha; o juiz extinguiu o processo por entender já existir partilha anterior. O STJ reformou, por ser nulo o instrumento particular por inobservância da forma legal.</w:t>
            </w:r>
          </w:p>
          <w:p w14:paraId="6553B97E" w14:textId="77777777" w:rsidR="00B874B0" w:rsidRDefault="00000000">
            <w:pPr>
              <w:spacing w:after="40"/>
            </w:pPr>
            <w:r>
              <w:rPr>
                <w:b/>
                <w:bCs/>
              </w:rPr>
              <w:t>COMO PODE SER COBRADO EM PROVA:</w:t>
            </w:r>
          </w:p>
          <w:p w14:paraId="57FFF4E2" w14:textId="77777777" w:rsidR="00B874B0" w:rsidRDefault="00000000">
            <w:pPr>
              <w:pStyle w:val="PargrafodaLista"/>
              <w:numPr>
                <w:ilvl w:val="0"/>
                <w:numId w:val="2"/>
              </w:numPr>
              <w:spacing w:after="40"/>
            </w:pPr>
            <w:r>
              <w:rPr>
                <w:b/>
                <w:bCs/>
                <w:i/>
                <w:iCs/>
              </w:rPr>
              <w:t xml:space="preserve">Objetiva: </w:t>
            </w:r>
            <w:r>
              <w:t>forma correta da partilha extrajudicial (escritura pública) x instrumento particular (nulo) — tema FGV explícito.</w:t>
            </w:r>
          </w:p>
          <w:p w14:paraId="11626157" w14:textId="77777777" w:rsidR="00B874B0" w:rsidRDefault="00000000">
            <w:pPr>
              <w:pStyle w:val="PargrafodaLista"/>
              <w:numPr>
                <w:ilvl w:val="0"/>
                <w:numId w:val="2"/>
              </w:numPr>
              <w:spacing w:after="40"/>
            </w:pPr>
            <w:r>
              <w:rPr>
                <w:b/>
                <w:bCs/>
                <w:i/>
                <w:iCs/>
              </w:rPr>
              <w:t xml:space="preserve">Discursiva/Sentença: </w:t>
            </w:r>
            <w:r>
              <w:t>elaborar sentença anulando partilha extrajudicial irregular e determinando nova partilha.</w:t>
            </w:r>
          </w:p>
          <w:p w14:paraId="063CF4EA" w14:textId="77777777" w:rsidR="00B874B0" w:rsidRDefault="00000000">
            <w:pPr>
              <w:pStyle w:val="PargrafodaLista"/>
              <w:numPr>
                <w:ilvl w:val="0"/>
                <w:numId w:val="2"/>
              </w:numPr>
              <w:spacing w:after="100"/>
            </w:pPr>
            <w:r>
              <w:rPr>
                <w:b/>
                <w:bCs/>
                <w:i/>
                <w:iCs/>
              </w:rPr>
              <w:t xml:space="preserve">Oral: </w:t>
            </w:r>
            <w:r>
              <w:t>diferenciar nulidade x anulabilidade aplicada à partilha; prazo para arguição de cada uma.</w:t>
            </w:r>
          </w:p>
          <w:p w14:paraId="6B8C7239" w14:textId="77777777" w:rsidR="00B874B0" w:rsidRDefault="00000000">
            <w:r>
              <w:rPr>
                <w:b/>
                <w:bCs/>
                <w:color w:val="A9762F"/>
              </w:rPr>
              <w:t xml:space="preserve">CONEXÕES: </w:t>
            </w:r>
            <w:r>
              <w:rPr>
                <w:i/>
                <w:iCs/>
              </w:rPr>
              <w:t>art. 1.581 do CC (divórcio sem partilha prévia); arts. 166 e 169 do CC; tema FGV "partilha por escritura pública x nulidade de partilha por instrumento particular"; REsp 1.817.812-SP (partilha como direito potestativo imprescritível).</w:t>
            </w:r>
          </w:p>
        </w:tc>
      </w:tr>
    </w:tbl>
    <w:p w14:paraId="507BE805" w14:textId="77777777" w:rsidR="00B874B0" w:rsidRDefault="00B874B0">
      <w:pPr>
        <w:spacing w:after="160"/>
      </w:pPr>
    </w:p>
    <w:tbl>
      <w:tblPr>
        <w:tblW w:w="5000" w:type="pct"/>
        <w:tblBorders>
          <w:top w:val="single" w:sz="8" w:space="0" w:color="C9B78C"/>
          <w:left w:val="single" w:sz="8" w:space="0" w:color="C9B78C"/>
          <w:bottom w:val="single" w:sz="8" w:space="0" w:color="C9B78C"/>
          <w:right w:val="single" w:sz="8" w:space="0" w:color="C9B78C"/>
        </w:tblBorders>
        <w:tblCellMar>
          <w:left w:w="10" w:type="dxa"/>
          <w:right w:w="10" w:type="dxa"/>
        </w:tblCellMar>
        <w:tblLook w:val="04A0" w:firstRow="1" w:lastRow="0" w:firstColumn="1" w:lastColumn="0" w:noHBand="0" w:noVBand="1"/>
      </w:tblPr>
      <w:tblGrid>
        <w:gridCol w:w="9726"/>
      </w:tblGrid>
      <w:tr w:rsidR="00B874B0" w14:paraId="6CD9C23C" w14:textId="77777777">
        <w:tblPrEx>
          <w:tblCellMar>
            <w:top w:w="0" w:type="dxa"/>
            <w:bottom w:w="0" w:type="dxa"/>
          </w:tblCellMar>
        </w:tblPrEx>
        <w:tc>
          <w:tcPr>
            <w:tcW w:w="5000" w:type="pct"/>
            <w:shd w:val="clear" w:color="auto" w:fill="F6F1E8"/>
            <w:tcMar>
              <w:top w:w="160" w:type="dxa"/>
              <w:left w:w="200" w:type="dxa"/>
              <w:bottom w:w="160" w:type="dxa"/>
              <w:right w:w="200" w:type="dxa"/>
            </w:tcMar>
          </w:tcPr>
          <w:p w14:paraId="3C80E062" w14:textId="77777777" w:rsidR="00B874B0" w:rsidRDefault="00000000">
            <w:pPr>
              <w:pStyle w:val="Ttulo3"/>
              <w:spacing w:after="80"/>
            </w:pPr>
            <w:bookmarkStart w:id="10" w:name="_Toc236570064"/>
            <w:r>
              <w:t>Presunção de construção comum em terreno de ambos os cônjuges, mesmo na separação convencional</w:t>
            </w:r>
            <w:bookmarkEnd w:id="10"/>
          </w:p>
          <w:p w14:paraId="372CDDE7" w14:textId="77777777" w:rsidR="00B874B0" w:rsidRDefault="00000000">
            <w:pPr>
              <w:spacing w:after="40"/>
            </w:pPr>
            <w:r>
              <w:rPr>
                <w:b/>
                <w:bCs/>
                <w:color w:val="555555"/>
                <w:sz w:val="19"/>
                <w:szCs w:val="19"/>
              </w:rPr>
              <w:t>Tribunal: STJ   |   Órgão: 4ª Turma</w:t>
            </w:r>
          </w:p>
          <w:p w14:paraId="4F49B9A3" w14:textId="77777777" w:rsidR="00B874B0" w:rsidRDefault="00000000">
            <w:pPr>
              <w:spacing w:after="40"/>
            </w:pPr>
            <w:r>
              <w:rPr>
                <w:color w:val="555555"/>
                <w:sz w:val="19"/>
                <w:szCs w:val="19"/>
              </w:rPr>
              <w:t>Processo: REsp 2.126.992-DF   |   Relator: Min. Raul Araújo   |   Data: 09/12/2025</w:t>
            </w:r>
          </w:p>
          <w:p w14:paraId="5A63906F" w14:textId="77777777" w:rsidR="00B874B0" w:rsidRDefault="00000000">
            <w:pPr>
              <w:spacing w:after="100"/>
            </w:pPr>
            <w:r>
              <w:rPr>
                <w:i/>
                <w:iCs/>
                <w:color w:val="555555"/>
                <w:sz w:val="19"/>
                <w:szCs w:val="19"/>
              </w:rPr>
              <w:t>Sistemática: Caso isolado (Info 874)</w:t>
            </w:r>
          </w:p>
          <w:p w14:paraId="38A8D395" w14:textId="77777777" w:rsidR="00B874B0" w:rsidRDefault="00000000">
            <w:pPr>
              <w:spacing w:after="100"/>
            </w:pPr>
            <w:r>
              <w:rPr>
                <w:b/>
                <w:bCs/>
              </w:rPr>
              <w:t xml:space="preserve">TESE FIXADA / DECISÃO: </w:t>
            </w:r>
            <w:r>
              <w:t>Ainda que adotado o regime de separação convencional, sendo o terreno de ambos os cônjuges em partes iguais, presume-se (art. 1.253 do CC — presunção relativa) que a construção nele erguida também lhes pertence na mesma proporção, salvo prova em contrário.</w:t>
            </w:r>
          </w:p>
          <w:p w14:paraId="3FC9CC20" w14:textId="77777777" w:rsidR="00B874B0" w:rsidRDefault="00000000">
            <w:pPr>
              <w:spacing w:after="100"/>
            </w:pPr>
            <w:r>
              <w:rPr>
                <w:b/>
                <w:bCs/>
              </w:rPr>
              <w:t xml:space="preserve">RESUMO DO CASO: </w:t>
            </w:r>
            <w:r>
              <w:t>Casal casado sob separação convencional adquiriu terreno em partes iguais e nele construiu a casa de família; no divórcio, o marido alegou ter custeado sozinho a construção, mas não produziu provas. Mantida a partilha igualitária da construção com base na presunção do art. 1.253 do CC.</w:t>
            </w:r>
          </w:p>
          <w:p w14:paraId="3BA8CF07" w14:textId="77777777" w:rsidR="00B874B0" w:rsidRDefault="00000000">
            <w:pPr>
              <w:spacing w:after="40"/>
            </w:pPr>
            <w:r>
              <w:rPr>
                <w:b/>
                <w:bCs/>
              </w:rPr>
              <w:lastRenderedPageBreak/>
              <w:t>COMO PODE SER COBRADO EM PROVA:</w:t>
            </w:r>
          </w:p>
          <w:p w14:paraId="561B0C7E" w14:textId="77777777" w:rsidR="00B874B0" w:rsidRDefault="00000000">
            <w:pPr>
              <w:pStyle w:val="PargrafodaLista"/>
              <w:numPr>
                <w:ilvl w:val="0"/>
                <w:numId w:val="2"/>
              </w:numPr>
              <w:spacing w:after="40"/>
            </w:pPr>
            <w:r>
              <w:rPr>
                <w:b/>
                <w:bCs/>
                <w:i/>
                <w:iCs/>
              </w:rPr>
              <w:t xml:space="preserve">Objetiva: </w:t>
            </w:r>
            <w:r>
              <w:t>pegadinha clássica — aplicação da presunção do art. 1.253 mesmo em regime de separação de bens.</w:t>
            </w:r>
          </w:p>
          <w:p w14:paraId="66BB2C84" w14:textId="77777777" w:rsidR="00B874B0" w:rsidRDefault="00000000">
            <w:pPr>
              <w:pStyle w:val="PargrafodaLista"/>
              <w:numPr>
                <w:ilvl w:val="0"/>
                <w:numId w:val="2"/>
              </w:numPr>
              <w:spacing w:after="40"/>
            </w:pPr>
            <w:r>
              <w:rPr>
                <w:b/>
                <w:bCs/>
                <w:i/>
                <w:iCs/>
              </w:rPr>
              <w:t xml:space="preserve">Discursiva/Sentença: </w:t>
            </w:r>
            <w:r>
              <w:t>analisar o ônus da prova necessário para afastar a presunção.</w:t>
            </w:r>
          </w:p>
          <w:p w14:paraId="35A7AFA0" w14:textId="77777777" w:rsidR="00B874B0" w:rsidRDefault="00000000">
            <w:pPr>
              <w:pStyle w:val="PargrafodaLista"/>
              <w:numPr>
                <w:ilvl w:val="0"/>
                <w:numId w:val="2"/>
              </w:numPr>
              <w:spacing w:after="100"/>
            </w:pPr>
            <w:r>
              <w:rPr>
                <w:b/>
                <w:bCs/>
                <w:i/>
                <w:iCs/>
              </w:rPr>
              <w:t xml:space="preserve">Oral: </w:t>
            </w:r>
            <w:r>
              <w:t>relação entre propriedade do terreno e da construção nele erguida.</w:t>
            </w:r>
          </w:p>
          <w:p w14:paraId="7D0967A3" w14:textId="77777777" w:rsidR="00B874B0" w:rsidRDefault="00000000">
            <w:r>
              <w:rPr>
                <w:b/>
                <w:bCs/>
                <w:color w:val="A9762F"/>
              </w:rPr>
              <w:t xml:space="preserve">CONEXÕES: </w:t>
            </w:r>
            <w:r>
              <w:rPr>
                <w:i/>
                <w:iCs/>
              </w:rPr>
              <w:t>REsp 1.888.242/PR (mesmo tema, ônus da prova sobre acessões/benfeitorias); art. 1.253 do CC.</w:t>
            </w:r>
          </w:p>
        </w:tc>
      </w:tr>
    </w:tbl>
    <w:p w14:paraId="78FD78E5" w14:textId="77777777" w:rsidR="00B874B0" w:rsidRDefault="00B874B0">
      <w:pPr>
        <w:spacing w:after="160"/>
      </w:pPr>
    </w:p>
    <w:tbl>
      <w:tblPr>
        <w:tblW w:w="5000" w:type="pct"/>
        <w:tblBorders>
          <w:top w:val="single" w:sz="8" w:space="0" w:color="C9B78C"/>
          <w:left w:val="single" w:sz="8" w:space="0" w:color="C9B78C"/>
          <w:bottom w:val="single" w:sz="8" w:space="0" w:color="C9B78C"/>
          <w:right w:val="single" w:sz="8" w:space="0" w:color="C9B78C"/>
        </w:tblBorders>
        <w:tblCellMar>
          <w:left w:w="10" w:type="dxa"/>
          <w:right w:w="10" w:type="dxa"/>
        </w:tblCellMar>
        <w:tblLook w:val="04A0" w:firstRow="1" w:lastRow="0" w:firstColumn="1" w:lastColumn="0" w:noHBand="0" w:noVBand="1"/>
      </w:tblPr>
      <w:tblGrid>
        <w:gridCol w:w="9726"/>
      </w:tblGrid>
      <w:tr w:rsidR="00B874B0" w14:paraId="5B9407E6" w14:textId="77777777">
        <w:tblPrEx>
          <w:tblCellMar>
            <w:top w:w="0" w:type="dxa"/>
            <w:bottom w:w="0" w:type="dxa"/>
          </w:tblCellMar>
        </w:tblPrEx>
        <w:tc>
          <w:tcPr>
            <w:tcW w:w="5000" w:type="pct"/>
            <w:shd w:val="clear" w:color="auto" w:fill="F6F1E8"/>
            <w:tcMar>
              <w:top w:w="160" w:type="dxa"/>
              <w:left w:w="200" w:type="dxa"/>
              <w:bottom w:w="160" w:type="dxa"/>
              <w:right w:w="200" w:type="dxa"/>
            </w:tcMar>
          </w:tcPr>
          <w:p w14:paraId="2F13E832" w14:textId="77777777" w:rsidR="00B874B0" w:rsidRDefault="00000000">
            <w:pPr>
              <w:pStyle w:val="Ttulo3"/>
              <w:spacing w:after="80"/>
            </w:pPr>
            <w:bookmarkStart w:id="11" w:name="_Toc236570065"/>
            <w:r>
              <w:t>Eficácia ex tunc excepcional na alteração do regime de bens, em benefício de terceiro credor</w:t>
            </w:r>
            <w:bookmarkEnd w:id="11"/>
          </w:p>
          <w:p w14:paraId="29BF9B82" w14:textId="77777777" w:rsidR="00B874B0" w:rsidRDefault="00000000">
            <w:pPr>
              <w:spacing w:after="40"/>
            </w:pPr>
            <w:r>
              <w:rPr>
                <w:b/>
                <w:bCs/>
                <w:color w:val="555555"/>
                <w:sz w:val="19"/>
                <w:szCs w:val="19"/>
              </w:rPr>
              <w:t>Tribunal: STJ   |   Órgão: 4ª Turma</w:t>
            </w:r>
          </w:p>
          <w:p w14:paraId="36BD9FCC" w14:textId="77777777" w:rsidR="00B874B0" w:rsidRDefault="00000000">
            <w:pPr>
              <w:spacing w:after="40"/>
            </w:pPr>
            <w:r>
              <w:rPr>
                <w:color w:val="555555"/>
                <w:sz w:val="19"/>
                <w:szCs w:val="19"/>
              </w:rPr>
              <w:t>Processo: REsp 1.671.422/SP   |   Relator: Min. Raul Araújo   |   Data: 25/04/2023</w:t>
            </w:r>
          </w:p>
          <w:p w14:paraId="23A81939" w14:textId="77777777" w:rsidR="00B874B0" w:rsidRDefault="00000000">
            <w:pPr>
              <w:spacing w:after="100"/>
            </w:pPr>
            <w:r>
              <w:rPr>
                <w:i/>
                <w:iCs/>
                <w:color w:val="555555"/>
                <w:sz w:val="19"/>
                <w:szCs w:val="19"/>
              </w:rPr>
              <w:t>Sistemática: Caso isolado (Info 772)</w:t>
            </w:r>
          </w:p>
          <w:p w14:paraId="02DC5775" w14:textId="77777777" w:rsidR="00B874B0" w:rsidRDefault="00000000">
            <w:pPr>
              <w:spacing w:after="100"/>
            </w:pPr>
            <w:r>
              <w:rPr>
                <w:b/>
                <w:bCs/>
              </w:rPr>
              <w:t xml:space="preserve">TESE FIXADA / DECISÃO: </w:t>
            </w:r>
            <w:r>
              <w:t>Como regra, a alteração do regime de bens tem efeitos ex nunc (não retroage); excepcionalmente, pode retroagir quando o novo regime ampliar as garantias patrimoniais em benefício de terceiro credor.</w:t>
            </w:r>
          </w:p>
          <w:p w14:paraId="5A13DC60" w14:textId="77777777" w:rsidR="00B874B0" w:rsidRDefault="00000000">
            <w:pPr>
              <w:spacing w:after="100"/>
            </w:pPr>
            <w:r>
              <w:rPr>
                <w:b/>
                <w:bCs/>
              </w:rPr>
              <w:t xml:space="preserve">RESUMO DO CASO: </w:t>
            </w:r>
            <w:r>
              <w:t>Discutiram-se os efeitos temporais da mudança do regime de separação total para comunhão universal na constância do casamento. O STJ reafirmou a regra da irretroatividade (proteção ao ato jurídico perfeito), admitindo exceção quando a mudança amplia garantias de terceiros credores.</w:t>
            </w:r>
          </w:p>
          <w:p w14:paraId="46FA238C" w14:textId="77777777" w:rsidR="00B874B0" w:rsidRDefault="00000000">
            <w:pPr>
              <w:spacing w:after="40"/>
            </w:pPr>
            <w:r>
              <w:rPr>
                <w:b/>
                <w:bCs/>
              </w:rPr>
              <w:t>COMO PODE SER COBRADO EM PROVA:</w:t>
            </w:r>
          </w:p>
          <w:p w14:paraId="05328615" w14:textId="77777777" w:rsidR="00B874B0" w:rsidRDefault="00000000">
            <w:pPr>
              <w:pStyle w:val="PargrafodaLista"/>
              <w:numPr>
                <w:ilvl w:val="0"/>
                <w:numId w:val="2"/>
              </w:numPr>
              <w:spacing w:after="40"/>
            </w:pPr>
            <w:r>
              <w:rPr>
                <w:b/>
                <w:bCs/>
                <w:i/>
                <w:iCs/>
              </w:rPr>
              <w:t xml:space="preserve">Objetiva: </w:t>
            </w:r>
            <w:r>
              <w:t>regra geral (ex nunc) x exceção (proteção de credores) — tema FGV explícito.</w:t>
            </w:r>
          </w:p>
          <w:p w14:paraId="7E4E8D65" w14:textId="77777777" w:rsidR="00B874B0" w:rsidRDefault="00000000">
            <w:pPr>
              <w:pStyle w:val="PargrafodaLista"/>
              <w:numPr>
                <w:ilvl w:val="0"/>
                <w:numId w:val="2"/>
              </w:numPr>
              <w:spacing w:after="40"/>
            </w:pPr>
            <w:r>
              <w:rPr>
                <w:b/>
                <w:bCs/>
                <w:i/>
                <w:iCs/>
              </w:rPr>
              <w:t xml:space="preserve">Discursiva/Sentença: </w:t>
            </w:r>
            <w:r>
              <w:t>caso de credor prejudicado pedindo comunicação de bens em razão da alteração de regime.</w:t>
            </w:r>
          </w:p>
          <w:p w14:paraId="26935D9E" w14:textId="77777777" w:rsidR="00B874B0" w:rsidRDefault="00000000">
            <w:pPr>
              <w:pStyle w:val="PargrafodaLista"/>
              <w:numPr>
                <w:ilvl w:val="0"/>
                <w:numId w:val="2"/>
              </w:numPr>
              <w:spacing w:after="100"/>
            </w:pPr>
            <w:r>
              <w:rPr>
                <w:b/>
                <w:bCs/>
                <w:i/>
                <w:iCs/>
              </w:rPr>
              <w:t xml:space="preserve">Oral: </w:t>
            </w:r>
            <w:r>
              <w:t>fundamento da regra geral da irretroatividade (ato jurídico perfeito).</w:t>
            </w:r>
          </w:p>
          <w:p w14:paraId="7E7B4F09" w14:textId="77777777" w:rsidR="00B874B0" w:rsidRDefault="00000000">
            <w:r>
              <w:rPr>
                <w:b/>
                <w:bCs/>
                <w:color w:val="A9762F"/>
              </w:rPr>
              <w:t xml:space="preserve">CONEXÕES: </w:t>
            </w:r>
            <w:r>
              <w:rPr>
                <w:i/>
                <w:iCs/>
              </w:rPr>
              <w:t>tema FGV "alteração superveniente do regime de bens (eficácia prospectiva/ex nunc como regra)"; art. 1.639, §2º, do CC; AREsp 1.631.112-MT (mesma lógica na união estável).</w:t>
            </w:r>
          </w:p>
        </w:tc>
      </w:tr>
    </w:tbl>
    <w:p w14:paraId="58FFF7AB" w14:textId="77777777" w:rsidR="00B874B0" w:rsidRDefault="00B874B0">
      <w:pPr>
        <w:spacing w:after="160"/>
      </w:pPr>
    </w:p>
    <w:tbl>
      <w:tblPr>
        <w:tblW w:w="5000" w:type="pct"/>
        <w:tblBorders>
          <w:top w:val="single" w:sz="8" w:space="0" w:color="C9B78C"/>
          <w:left w:val="single" w:sz="8" w:space="0" w:color="C9B78C"/>
          <w:bottom w:val="single" w:sz="8" w:space="0" w:color="C9B78C"/>
          <w:right w:val="single" w:sz="8" w:space="0" w:color="C9B78C"/>
        </w:tblBorders>
        <w:tblCellMar>
          <w:left w:w="10" w:type="dxa"/>
          <w:right w:w="10" w:type="dxa"/>
        </w:tblCellMar>
        <w:tblLook w:val="04A0" w:firstRow="1" w:lastRow="0" w:firstColumn="1" w:lastColumn="0" w:noHBand="0" w:noVBand="1"/>
      </w:tblPr>
      <w:tblGrid>
        <w:gridCol w:w="9726"/>
      </w:tblGrid>
      <w:tr w:rsidR="00B874B0" w14:paraId="300DDEA6" w14:textId="77777777">
        <w:tblPrEx>
          <w:tblCellMar>
            <w:top w:w="0" w:type="dxa"/>
            <w:bottom w:w="0" w:type="dxa"/>
          </w:tblCellMar>
        </w:tblPrEx>
        <w:tc>
          <w:tcPr>
            <w:tcW w:w="5000" w:type="pct"/>
            <w:shd w:val="clear" w:color="auto" w:fill="F6F1E8"/>
            <w:tcMar>
              <w:top w:w="160" w:type="dxa"/>
              <w:left w:w="200" w:type="dxa"/>
              <w:bottom w:w="160" w:type="dxa"/>
              <w:right w:w="200" w:type="dxa"/>
            </w:tcMar>
          </w:tcPr>
          <w:p w14:paraId="6ECD3149" w14:textId="77777777" w:rsidR="00B874B0" w:rsidRDefault="00000000">
            <w:pPr>
              <w:pStyle w:val="Ttulo3"/>
              <w:spacing w:after="80"/>
            </w:pPr>
            <w:bookmarkStart w:id="12" w:name="_Toc236570066"/>
            <w:r>
              <w:t>Bem doado com cláusula de inalienabilidade temporária ainda vigente — exclusão da comunhão</w:t>
            </w:r>
            <w:bookmarkEnd w:id="12"/>
          </w:p>
          <w:p w14:paraId="50E8B960" w14:textId="77777777" w:rsidR="00B874B0" w:rsidRDefault="00000000">
            <w:pPr>
              <w:spacing w:after="40"/>
            </w:pPr>
            <w:r>
              <w:rPr>
                <w:b/>
                <w:bCs/>
                <w:color w:val="555555"/>
                <w:sz w:val="19"/>
                <w:szCs w:val="19"/>
              </w:rPr>
              <w:t>Tribunal: STJ   |   Órgão: 3ª Turma</w:t>
            </w:r>
          </w:p>
          <w:p w14:paraId="0B1C7B75" w14:textId="77777777" w:rsidR="00B874B0" w:rsidRDefault="00000000">
            <w:pPr>
              <w:spacing w:after="40"/>
            </w:pPr>
            <w:r>
              <w:rPr>
                <w:color w:val="555555"/>
                <w:sz w:val="19"/>
                <w:szCs w:val="19"/>
              </w:rPr>
              <w:t>Processo: REsp 1.760.281/TO   |   Relator: Min. Marco Aurélio Bellizze   |   Data: 24/05/2022</w:t>
            </w:r>
          </w:p>
          <w:p w14:paraId="5EB8FA57" w14:textId="77777777" w:rsidR="00B874B0" w:rsidRDefault="00000000">
            <w:pPr>
              <w:spacing w:after="100"/>
            </w:pPr>
            <w:r>
              <w:rPr>
                <w:i/>
                <w:iCs/>
                <w:color w:val="555555"/>
                <w:sz w:val="19"/>
                <w:szCs w:val="19"/>
              </w:rPr>
              <w:t>Sistemática: Caso isolado (Info 748)</w:t>
            </w:r>
          </w:p>
          <w:p w14:paraId="7968B657" w14:textId="77777777" w:rsidR="00B874B0" w:rsidRDefault="00000000">
            <w:pPr>
              <w:spacing w:after="100"/>
            </w:pPr>
            <w:r>
              <w:rPr>
                <w:b/>
                <w:bCs/>
              </w:rPr>
              <w:t xml:space="preserve">TESE FIXADA / DECISÃO: </w:t>
            </w:r>
            <w:r>
              <w:t>O bem gravado com cláusula de inalienabilidade temporária, ainda vigente na data da separação de fato, não integra o patrimônio partilhável (art. 1.668, I, do CC).</w:t>
            </w:r>
          </w:p>
          <w:p w14:paraId="41282689" w14:textId="77777777" w:rsidR="00B874B0" w:rsidRDefault="00000000">
            <w:pPr>
              <w:spacing w:after="100"/>
            </w:pPr>
            <w:r>
              <w:rPr>
                <w:b/>
                <w:bCs/>
              </w:rPr>
              <w:t xml:space="preserve">RESUMO DO CASO: </w:t>
            </w:r>
            <w:r>
              <w:t>Imóvel doado por Município com cláusula de inalienabilidade de 10 anos foi recebido por um cônjuge antes do casamento (comunhão universal); a separação de fato ocorreu ainda durante a vigência da cláusula. O STJ excluiu o bem da partilha, por incomunicabilidade decorrente da cláusula ativa à época da ruptura.</w:t>
            </w:r>
          </w:p>
          <w:p w14:paraId="3C5B2438" w14:textId="77777777" w:rsidR="00B874B0" w:rsidRDefault="00000000">
            <w:pPr>
              <w:spacing w:after="40"/>
            </w:pPr>
            <w:r>
              <w:rPr>
                <w:b/>
                <w:bCs/>
              </w:rPr>
              <w:t>COMO PODE SER COBRADO EM PROVA:</w:t>
            </w:r>
          </w:p>
          <w:p w14:paraId="0F895901" w14:textId="77777777" w:rsidR="00B874B0" w:rsidRDefault="00000000">
            <w:pPr>
              <w:pStyle w:val="PargrafodaLista"/>
              <w:numPr>
                <w:ilvl w:val="0"/>
                <w:numId w:val="2"/>
              </w:numPr>
              <w:spacing w:after="40"/>
            </w:pPr>
            <w:r>
              <w:rPr>
                <w:b/>
                <w:bCs/>
                <w:i/>
                <w:iCs/>
              </w:rPr>
              <w:t xml:space="preserve">Objetiva: </w:t>
            </w:r>
            <w:r>
              <w:t>hipóteses de bens excluídos da comunhão (art. 1.668 do CC) — tema FGV explícito ("bens excluídos da comunhão").</w:t>
            </w:r>
          </w:p>
          <w:p w14:paraId="23283AFB" w14:textId="77777777" w:rsidR="00B874B0" w:rsidRDefault="00000000">
            <w:pPr>
              <w:pStyle w:val="PargrafodaLista"/>
              <w:numPr>
                <w:ilvl w:val="0"/>
                <w:numId w:val="2"/>
              </w:numPr>
              <w:spacing w:after="40"/>
            </w:pPr>
            <w:r>
              <w:rPr>
                <w:b/>
                <w:bCs/>
                <w:i/>
                <w:iCs/>
              </w:rPr>
              <w:t xml:space="preserve">Discursiva/Sentença: </w:t>
            </w:r>
            <w:r>
              <w:t>examinar cláusula de incomunicabilidade/inalienabilidade e seu termo final relevante (separação de fato).</w:t>
            </w:r>
          </w:p>
          <w:p w14:paraId="596B6AD3" w14:textId="77777777" w:rsidR="00B874B0" w:rsidRDefault="00000000">
            <w:pPr>
              <w:pStyle w:val="PargrafodaLista"/>
              <w:numPr>
                <w:ilvl w:val="0"/>
                <w:numId w:val="2"/>
              </w:numPr>
              <w:spacing w:after="100"/>
            </w:pPr>
            <w:r>
              <w:rPr>
                <w:b/>
                <w:bCs/>
                <w:i/>
                <w:iCs/>
              </w:rPr>
              <w:t xml:space="preserve">Oral: </w:t>
            </w:r>
            <w:r>
              <w:t>diferença entre inalienabilidade e incomunicabilidade.</w:t>
            </w:r>
          </w:p>
          <w:p w14:paraId="08EE10F9" w14:textId="77777777" w:rsidR="00B874B0" w:rsidRDefault="00000000">
            <w:r>
              <w:rPr>
                <w:b/>
                <w:bCs/>
                <w:color w:val="A9762F"/>
              </w:rPr>
              <w:t xml:space="preserve">CONEXÕES: </w:t>
            </w:r>
            <w:r>
              <w:rPr>
                <w:i/>
                <w:iCs/>
              </w:rPr>
              <w:t>art. 1.668, I, do CC; REsp 1.841.128-MG (bens anteriores ao casamento, não comunicáveis).</w:t>
            </w:r>
          </w:p>
        </w:tc>
      </w:tr>
    </w:tbl>
    <w:p w14:paraId="1F235701" w14:textId="77777777" w:rsidR="00B874B0" w:rsidRDefault="00B874B0">
      <w:pPr>
        <w:spacing w:after="160"/>
      </w:pPr>
    </w:p>
    <w:tbl>
      <w:tblPr>
        <w:tblW w:w="5000" w:type="pct"/>
        <w:tblBorders>
          <w:top w:val="single" w:sz="8" w:space="0" w:color="C9B78C"/>
          <w:left w:val="single" w:sz="8" w:space="0" w:color="C9B78C"/>
          <w:bottom w:val="single" w:sz="8" w:space="0" w:color="C9B78C"/>
          <w:right w:val="single" w:sz="8" w:space="0" w:color="C9B78C"/>
        </w:tblBorders>
        <w:tblCellMar>
          <w:left w:w="10" w:type="dxa"/>
          <w:right w:w="10" w:type="dxa"/>
        </w:tblCellMar>
        <w:tblLook w:val="04A0" w:firstRow="1" w:lastRow="0" w:firstColumn="1" w:lastColumn="0" w:noHBand="0" w:noVBand="1"/>
      </w:tblPr>
      <w:tblGrid>
        <w:gridCol w:w="9726"/>
      </w:tblGrid>
      <w:tr w:rsidR="00B874B0" w14:paraId="1D84BF99" w14:textId="77777777">
        <w:tblPrEx>
          <w:tblCellMar>
            <w:top w:w="0" w:type="dxa"/>
            <w:bottom w:w="0" w:type="dxa"/>
          </w:tblCellMar>
        </w:tblPrEx>
        <w:tc>
          <w:tcPr>
            <w:tcW w:w="5000" w:type="pct"/>
            <w:shd w:val="clear" w:color="auto" w:fill="F6F1E8"/>
            <w:tcMar>
              <w:top w:w="160" w:type="dxa"/>
              <w:left w:w="200" w:type="dxa"/>
              <w:bottom w:w="160" w:type="dxa"/>
              <w:right w:w="200" w:type="dxa"/>
            </w:tcMar>
          </w:tcPr>
          <w:p w14:paraId="29CD8CE5" w14:textId="77777777" w:rsidR="00B874B0" w:rsidRDefault="00000000">
            <w:pPr>
              <w:pStyle w:val="Ttulo3"/>
              <w:spacing w:after="80"/>
            </w:pPr>
            <w:bookmarkStart w:id="13" w:name="_Toc236570067"/>
            <w:r>
              <w:lastRenderedPageBreak/>
              <w:t>Distribuição dinâmica do ônus da prova sobre a data de acessões/benfeitorias</w:t>
            </w:r>
            <w:bookmarkEnd w:id="13"/>
          </w:p>
          <w:p w14:paraId="4DA2E443" w14:textId="77777777" w:rsidR="00B874B0" w:rsidRDefault="00000000">
            <w:pPr>
              <w:spacing w:after="40"/>
            </w:pPr>
            <w:r>
              <w:rPr>
                <w:b/>
                <w:bCs/>
                <w:color w:val="555555"/>
                <w:sz w:val="19"/>
                <w:szCs w:val="19"/>
              </w:rPr>
              <w:t>Tribunal: STJ   |   Órgão: 3ª Turma</w:t>
            </w:r>
          </w:p>
          <w:p w14:paraId="7D1BCB95" w14:textId="77777777" w:rsidR="00B874B0" w:rsidRDefault="00000000">
            <w:pPr>
              <w:spacing w:after="40"/>
            </w:pPr>
            <w:r>
              <w:rPr>
                <w:color w:val="555555"/>
                <w:sz w:val="19"/>
                <w:szCs w:val="19"/>
              </w:rPr>
              <w:t>Processo: REsp 1.888.242/PR   |   Relator: Min. Ricardo Villas Bôas Cueva   |   Data: 29/03/2022</w:t>
            </w:r>
          </w:p>
          <w:p w14:paraId="2E5E0CE4" w14:textId="77777777" w:rsidR="00B874B0" w:rsidRDefault="00000000">
            <w:pPr>
              <w:spacing w:after="100"/>
            </w:pPr>
            <w:r>
              <w:rPr>
                <w:i/>
                <w:iCs/>
                <w:color w:val="555555"/>
                <w:sz w:val="19"/>
                <w:szCs w:val="19"/>
              </w:rPr>
              <w:t>Sistemática: Caso isolado (Info 731)</w:t>
            </w:r>
          </w:p>
          <w:p w14:paraId="692140BF" w14:textId="77777777" w:rsidR="00B874B0" w:rsidRDefault="00000000">
            <w:pPr>
              <w:spacing w:after="100"/>
            </w:pPr>
            <w:r>
              <w:rPr>
                <w:b/>
                <w:bCs/>
              </w:rPr>
              <w:t xml:space="preserve">TESE FIXADA / DECISÃO: </w:t>
            </w:r>
            <w:r>
              <w:t>A presunção do art. 1.253 do CC (construção presumida do proprietário) pode ser afastada por distribuição dinâmica do ônus da prova (art. 373, §1º, do CPC), atribuindo ao cônjuge proprietário o encargo de provar a época da edificação, quando ele tiver melhores condições de produzir a prova.</w:t>
            </w:r>
          </w:p>
          <w:p w14:paraId="3BBDC8E3" w14:textId="77777777" w:rsidR="00B874B0" w:rsidRDefault="00000000">
            <w:pPr>
              <w:spacing w:after="100"/>
            </w:pPr>
            <w:r>
              <w:rPr>
                <w:b/>
                <w:bCs/>
              </w:rPr>
              <w:t xml:space="preserve">RESUMO DO CASO: </w:t>
            </w:r>
            <w:r>
              <w:t>Em imóvel comprado pelo marido durante período de separação de fato (com posterior reconciliação e novo divórcio), discutiu-se se as acessões/benfeitorias foram feitas na constância do casamento (comunicáveis) ou fora dele. O STJ permitiu a inversão do ônus da prova em desfavor do proprietário/possuidor, por deter melhores condições de comprovar a época da obra.</w:t>
            </w:r>
          </w:p>
          <w:p w14:paraId="7AD07CB6" w14:textId="77777777" w:rsidR="00B874B0" w:rsidRDefault="00000000">
            <w:pPr>
              <w:spacing w:after="40"/>
            </w:pPr>
            <w:r>
              <w:rPr>
                <w:b/>
                <w:bCs/>
              </w:rPr>
              <w:t>COMO PODE SER COBRADO EM PROVA:</w:t>
            </w:r>
          </w:p>
          <w:p w14:paraId="2B4D4090" w14:textId="77777777" w:rsidR="00B874B0" w:rsidRDefault="00000000">
            <w:pPr>
              <w:pStyle w:val="PargrafodaLista"/>
              <w:numPr>
                <w:ilvl w:val="0"/>
                <w:numId w:val="2"/>
              </w:numPr>
              <w:spacing w:after="40"/>
            </w:pPr>
            <w:r>
              <w:rPr>
                <w:b/>
                <w:bCs/>
                <w:i/>
                <w:iCs/>
              </w:rPr>
              <w:t xml:space="preserve">Objetiva: </w:t>
            </w:r>
            <w:r>
              <w:t>regra geral do ônus da prova (art. 373, I, CPC) x distribuição dinâmica (art. 373, §1º).</w:t>
            </w:r>
          </w:p>
          <w:p w14:paraId="4DB2A443" w14:textId="77777777" w:rsidR="00B874B0" w:rsidRDefault="00000000">
            <w:pPr>
              <w:pStyle w:val="PargrafodaLista"/>
              <w:numPr>
                <w:ilvl w:val="0"/>
                <w:numId w:val="2"/>
              </w:numPr>
              <w:spacing w:after="40"/>
            </w:pPr>
            <w:r>
              <w:rPr>
                <w:b/>
                <w:bCs/>
                <w:i/>
                <w:iCs/>
              </w:rPr>
              <w:t xml:space="preserve">Discursiva/Sentença: </w:t>
            </w:r>
            <w:r>
              <w:t>decisão interlocutória invertendo o ônus da prova em ação de partilha.</w:t>
            </w:r>
          </w:p>
          <w:p w14:paraId="595470E9" w14:textId="77777777" w:rsidR="00B874B0" w:rsidRDefault="00000000">
            <w:pPr>
              <w:pStyle w:val="PargrafodaLista"/>
              <w:numPr>
                <w:ilvl w:val="0"/>
                <w:numId w:val="2"/>
              </w:numPr>
              <w:spacing w:after="100"/>
            </w:pPr>
            <w:r>
              <w:rPr>
                <w:b/>
                <w:bCs/>
                <w:i/>
                <w:iCs/>
              </w:rPr>
              <w:t xml:space="preserve">Oral: </w:t>
            </w:r>
            <w:r>
              <w:t>requisitos da distribuição dinâmica do ônus da prova.</w:t>
            </w:r>
          </w:p>
          <w:p w14:paraId="177C7AEE" w14:textId="77777777" w:rsidR="00B874B0" w:rsidRDefault="00000000">
            <w:r>
              <w:rPr>
                <w:b/>
                <w:bCs/>
                <w:color w:val="A9762F"/>
              </w:rPr>
              <w:t xml:space="preserve">CONEXÕES: </w:t>
            </w:r>
            <w:r>
              <w:rPr>
                <w:i/>
                <w:iCs/>
              </w:rPr>
              <w:t>art. 1.253 do CC; REsp 2.126.992-DF (mesma presunção, em separação convencional); art. 373 do CPC.</w:t>
            </w:r>
          </w:p>
        </w:tc>
      </w:tr>
    </w:tbl>
    <w:p w14:paraId="08B720D5" w14:textId="77777777" w:rsidR="00B874B0" w:rsidRDefault="00B874B0">
      <w:pPr>
        <w:spacing w:after="160"/>
      </w:pPr>
    </w:p>
    <w:tbl>
      <w:tblPr>
        <w:tblW w:w="5000" w:type="pct"/>
        <w:tblBorders>
          <w:top w:val="single" w:sz="8" w:space="0" w:color="C9B78C"/>
          <w:left w:val="single" w:sz="8" w:space="0" w:color="C9B78C"/>
          <w:bottom w:val="single" w:sz="8" w:space="0" w:color="C9B78C"/>
          <w:right w:val="single" w:sz="8" w:space="0" w:color="C9B78C"/>
        </w:tblBorders>
        <w:tblCellMar>
          <w:left w:w="10" w:type="dxa"/>
          <w:right w:w="10" w:type="dxa"/>
        </w:tblCellMar>
        <w:tblLook w:val="04A0" w:firstRow="1" w:lastRow="0" w:firstColumn="1" w:lastColumn="0" w:noHBand="0" w:noVBand="1"/>
      </w:tblPr>
      <w:tblGrid>
        <w:gridCol w:w="9726"/>
      </w:tblGrid>
      <w:tr w:rsidR="00B874B0" w14:paraId="2171BDE9" w14:textId="77777777">
        <w:tblPrEx>
          <w:tblCellMar>
            <w:top w:w="0" w:type="dxa"/>
            <w:bottom w:w="0" w:type="dxa"/>
          </w:tblCellMar>
        </w:tblPrEx>
        <w:tc>
          <w:tcPr>
            <w:tcW w:w="5000" w:type="pct"/>
            <w:shd w:val="clear" w:color="auto" w:fill="F6F1E8"/>
            <w:tcMar>
              <w:top w:w="160" w:type="dxa"/>
              <w:left w:w="200" w:type="dxa"/>
              <w:bottom w:w="160" w:type="dxa"/>
              <w:right w:w="200" w:type="dxa"/>
            </w:tcMar>
          </w:tcPr>
          <w:p w14:paraId="74735375" w14:textId="77777777" w:rsidR="00B874B0" w:rsidRDefault="00000000">
            <w:pPr>
              <w:pStyle w:val="Ttulo3"/>
              <w:spacing w:after="80"/>
            </w:pPr>
            <w:bookmarkStart w:id="14" w:name="_Toc236570068"/>
            <w:r>
              <w:t>Previdência privada aberta x fechada — (in)comunicabilidade na partilha</w:t>
            </w:r>
            <w:bookmarkEnd w:id="14"/>
          </w:p>
          <w:p w14:paraId="0755A5AB" w14:textId="77777777" w:rsidR="00B874B0" w:rsidRDefault="00000000">
            <w:pPr>
              <w:spacing w:after="40"/>
            </w:pPr>
            <w:r>
              <w:rPr>
                <w:b/>
                <w:bCs/>
                <w:color w:val="555555"/>
                <w:sz w:val="19"/>
                <w:szCs w:val="19"/>
              </w:rPr>
              <w:t>Tribunal: STJ   |   Órgão: 4ª Turma</w:t>
            </w:r>
          </w:p>
          <w:p w14:paraId="7BC155D4" w14:textId="77777777" w:rsidR="00B874B0" w:rsidRDefault="00000000">
            <w:pPr>
              <w:spacing w:after="40"/>
            </w:pPr>
            <w:r>
              <w:rPr>
                <w:color w:val="555555"/>
                <w:sz w:val="19"/>
                <w:szCs w:val="19"/>
              </w:rPr>
              <w:t>Processo: REsp 1.545.217-PR   |   Relator: Min. Luis Felipe Salomão, Relator para acórdão Min. Maria Isabel Gallotti   |   Data: 07/12/2021</w:t>
            </w:r>
          </w:p>
          <w:p w14:paraId="43069582" w14:textId="77777777" w:rsidR="00B874B0" w:rsidRDefault="00000000">
            <w:pPr>
              <w:spacing w:after="100"/>
            </w:pPr>
            <w:r>
              <w:rPr>
                <w:i/>
                <w:iCs/>
                <w:color w:val="555555"/>
                <w:sz w:val="19"/>
                <w:szCs w:val="19"/>
              </w:rPr>
              <w:t>Sistemática: Caso isolado (Info 723)</w:t>
            </w:r>
          </w:p>
          <w:p w14:paraId="6EA280DA" w14:textId="77777777" w:rsidR="00B874B0" w:rsidRDefault="00000000">
            <w:pPr>
              <w:spacing w:after="100"/>
            </w:pPr>
            <w:r>
              <w:rPr>
                <w:b/>
                <w:bCs/>
              </w:rPr>
              <w:t xml:space="preserve">TESE FIXADA / DECISÃO: </w:t>
            </w:r>
            <w:r>
              <w:t>Os valores de plano de previdência privada ABERTO acumulados durante a vida em comum integram o patrimônio comum e são partilháveis (equiparam-se a investimento financeiro); os aportes em plano FECHADO não integram o patrimônio partilhável.</w:t>
            </w:r>
          </w:p>
          <w:p w14:paraId="6B362939" w14:textId="77777777" w:rsidR="00B874B0" w:rsidRDefault="00000000">
            <w:pPr>
              <w:spacing w:after="100"/>
            </w:pPr>
            <w:r>
              <w:rPr>
                <w:b/>
                <w:bCs/>
              </w:rPr>
              <w:t xml:space="preserve">RESUMO DO CASO: </w:t>
            </w:r>
            <w:r>
              <w:t>Discutiu-se a natureza jurídica dos aportes em previdência complementar durante o casamento. O STJ distinguiu: previdência aberta (espécie de investimento financeiro, comunicável) e previdência fechada (vinculada ao contrato de trabalho/estatuto da entidade de previdência, não comunicável).</w:t>
            </w:r>
          </w:p>
          <w:p w14:paraId="17D85DA1" w14:textId="77777777" w:rsidR="00B874B0" w:rsidRDefault="00000000">
            <w:pPr>
              <w:spacing w:after="40"/>
            </w:pPr>
            <w:r>
              <w:rPr>
                <w:b/>
                <w:bCs/>
              </w:rPr>
              <w:t>COMO PODE SER COBRADO EM PROVA:</w:t>
            </w:r>
          </w:p>
          <w:p w14:paraId="628CAEF2" w14:textId="77777777" w:rsidR="00B874B0" w:rsidRDefault="00000000">
            <w:pPr>
              <w:pStyle w:val="PargrafodaLista"/>
              <w:numPr>
                <w:ilvl w:val="0"/>
                <w:numId w:val="2"/>
              </w:numPr>
              <w:spacing w:after="40"/>
            </w:pPr>
            <w:r>
              <w:rPr>
                <w:b/>
                <w:bCs/>
                <w:i/>
                <w:iCs/>
              </w:rPr>
              <w:t xml:space="preserve">Objetiva: </w:t>
            </w:r>
            <w:r>
              <w:t>distinguir comunicabilidade entre previdência aberta e fechada — pegadinha clássica.</w:t>
            </w:r>
          </w:p>
          <w:p w14:paraId="4A20625D" w14:textId="77777777" w:rsidR="00B874B0" w:rsidRDefault="00000000">
            <w:pPr>
              <w:pStyle w:val="PargrafodaLista"/>
              <w:numPr>
                <w:ilvl w:val="0"/>
                <w:numId w:val="2"/>
              </w:numPr>
              <w:spacing w:after="40"/>
            </w:pPr>
            <w:r>
              <w:rPr>
                <w:b/>
                <w:bCs/>
                <w:i/>
                <w:iCs/>
              </w:rPr>
              <w:t xml:space="preserve">Discursiva/Sentença: </w:t>
            </w:r>
            <w:r>
              <w:t>caso de partilha envolvendo verbas previdenciárias privadas.</w:t>
            </w:r>
          </w:p>
          <w:p w14:paraId="576A6B91" w14:textId="77777777" w:rsidR="00B874B0" w:rsidRDefault="00000000">
            <w:pPr>
              <w:pStyle w:val="PargrafodaLista"/>
              <w:numPr>
                <w:ilvl w:val="0"/>
                <w:numId w:val="2"/>
              </w:numPr>
              <w:spacing w:after="100"/>
            </w:pPr>
            <w:r>
              <w:rPr>
                <w:b/>
                <w:bCs/>
                <w:i/>
                <w:iCs/>
              </w:rPr>
              <w:t xml:space="preserve">Oral: </w:t>
            </w:r>
            <w:r>
              <w:t>fundamento da distinção (natureza de investimento x natureza previdenciária/trabalhista).</w:t>
            </w:r>
          </w:p>
          <w:p w14:paraId="28AD7517" w14:textId="77777777" w:rsidR="00B874B0" w:rsidRDefault="00000000">
            <w:r>
              <w:rPr>
                <w:b/>
                <w:bCs/>
                <w:color w:val="A9762F"/>
              </w:rPr>
              <w:t xml:space="preserve">CONEXÕES: </w:t>
            </w:r>
            <w:r>
              <w:rPr>
                <w:i/>
                <w:iCs/>
              </w:rPr>
              <w:t>tema FGV "bens excluídos da comunhão (sub-rogação de bem particular, indenizações, FGTS)" — mesma lógica de distinção; regime de comunhão parcial (arts. 1.658 e ss. do CC).</w:t>
            </w:r>
          </w:p>
        </w:tc>
      </w:tr>
    </w:tbl>
    <w:p w14:paraId="238F6338" w14:textId="77777777" w:rsidR="00B874B0" w:rsidRDefault="00B874B0">
      <w:pPr>
        <w:spacing w:after="160"/>
      </w:pPr>
    </w:p>
    <w:tbl>
      <w:tblPr>
        <w:tblW w:w="5000" w:type="pct"/>
        <w:tblBorders>
          <w:top w:val="single" w:sz="8" w:space="0" w:color="C9B78C"/>
          <w:left w:val="single" w:sz="8" w:space="0" w:color="C9B78C"/>
          <w:bottom w:val="single" w:sz="8" w:space="0" w:color="C9B78C"/>
          <w:right w:val="single" w:sz="8" w:space="0" w:color="C9B78C"/>
        </w:tblBorders>
        <w:tblCellMar>
          <w:left w:w="10" w:type="dxa"/>
          <w:right w:w="10" w:type="dxa"/>
        </w:tblCellMar>
        <w:tblLook w:val="04A0" w:firstRow="1" w:lastRow="0" w:firstColumn="1" w:lastColumn="0" w:noHBand="0" w:noVBand="1"/>
      </w:tblPr>
      <w:tblGrid>
        <w:gridCol w:w="9726"/>
      </w:tblGrid>
      <w:tr w:rsidR="00B874B0" w14:paraId="0D8DAD40" w14:textId="77777777">
        <w:tblPrEx>
          <w:tblCellMar>
            <w:top w:w="0" w:type="dxa"/>
            <w:bottom w:w="0" w:type="dxa"/>
          </w:tblCellMar>
        </w:tblPrEx>
        <w:tc>
          <w:tcPr>
            <w:tcW w:w="5000" w:type="pct"/>
            <w:shd w:val="clear" w:color="auto" w:fill="F6F1E8"/>
            <w:tcMar>
              <w:top w:w="160" w:type="dxa"/>
              <w:left w:w="200" w:type="dxa"/>
              <w:bottom w:w="160" w:type="dxa"/>
              <w:right w:w="200" w:type="dxa"/>
            </w:tcMar>
          </w:tcPr>
          <w:p w14:paraId="4EDE3170" w14:textId="77777777" w:rsidR="00B874B0" w:rsidRDefault="00000000">
            <w:pPr>
              <w:pStyle w:val="Ttulo3"/>
              <w:spacing w:after="80"/>
            </w:pPr>
            <w:bookmarkStart w:id="15" w:name="_Toc236570069"/>
            <w:r>
              <w:t>Pacto antenupcial pode ampliar a separação obrigatória e afastar a Súmula 377-STF</w:t>
            </w:r>
            <w:bookmarkEnd w:id="15"/>
          </w:p>
          <w:p w14:paraId="3D1B6436" w14:textId="77777777" w:rsidR="00B874B0" w:rsidRDefault="00000000">
            <w:pPr>
              <w:spacing w:after="40"/>
            </w:pPr>
            <w:r>
              <w:rPr>
                <w:b/>
                <w:bCs/>
                <w:color w:val="555555"/>
                <w:sz w:val="19"/>
                <w:szCs w:val="19"/>
              </w:rPr>
              <w:t>Tribunal: STJ   |   Órgão: 4ª Turma</w:t>
            </w:r>
          </w:p>
          <w:p w14:paraId="5EE0533E" w14:textId="77777777" w:rsidR="00B874B0" w:rsidRDefault="00000000">
            <w:pPr>
              <w:spacing w:after="40"/>
            </w:pPr>
            <w:r>
              <w:rPr>
                <w:color w:val="555555"/>
                <w:sz w:val="19"/>
                <w:szCs w:val="19"/>
              </w:rPr>
              <w:t>Processo: REsp 1.922.347-PR   |   Relator: Min. Luis Felipe Salomão   |   Data: 07/12/2021</w:t>
            </w:r>
          </w:p>
          <w:p w14:paraId="5EE65361" w14:textId="77777777" w:rsidR="00B874B0" w:rsidRDefault="00000000">
            <w:pPr>
              <w:spacing w:after="100"/>
            </w:pPr>
            <w:r>
              <w:rPr>
                <w:i/>
                <w:iCs/>
                <w:color w:val="555555"/>
                <w:sz w:val="19"/>
                <w:szCs w:val="19"/>
              </w:rPr>
              <w:t>Sistemática: Caso isolado (Info 723)</w:t>
            </w:r>
          </w:p>
          <w:p w14:paraId="4519929F" w14:textId="77777777" w:rsidR="00B874B0" w:rsidRDefault="00000000">
            <w:pPr>
              <w:spacing w:after="100"/>
            </w:pPr>
            <w:r>
              <w:rPr>
                <w:b/>
                <w:bCs/>
              </w:rPr>
              <w:t xml:space="preserve">TESE FIXADA / DECISÃO: </w:t>
            </w:r>
            <w:r>
              <w:t>No regime de separação obrigatória (art. 1.641, II, do CC), nubentes/companheiros podem, por pacto antenupcial, estipular cláusula ainda mais protetiva, afastando expressamente a incidência da Súmula 377-STF e impedindo a comunhão dos aquestos.</w:t>
            </w:r>
          </w:p>
          <w:p w14:paraId="011AA433" w14:textId="77777777" w:rsidR="00B874B0" w:rsidRDefault="00000000">
            <w:pPr>
              <w:spacing w:after="100"/>
            </w:pPr>
            <w:r>
              <w:rPr>
                <w:b/>
                <w:bCs/>
              </w:rPr>
              <w:lastRenderedPageBreak/>
              <w:t xml:space="preserve">RESUMO DO CASO: </w:t>
            </w:r>
            <w:r>
              <w:t>Casal sujeito à separação obrigatória (nubente septuagenário) buscava, por autonomia privada em pacto antenupcial, blindar totalmente o patrimônio, afastando a comunicação de bens adquiridos por esforço comum que normalmente decorreria da Súmula 377-STF. O STJ admitiu, por interpretação teleológica do art. 1.641, II (proteção do idoso).</w:t>
            </w:r>
          </w:p>
          <w:p w14:paraId="7619E21C" w14:textId="77777777" w:rsidR="00B874B0" w:rsidRDefault="00000000">
            <w:pPr>
              <w:spacing w:after="40"/>
            </w:pPr>
            <w:r>
              <w:rPr>
                <w:b/>
                <w:bCs/>
              </w:rPr>
              <w:t>COMO PODE SER COBRADO EM PROVA:</w:t>
            </w:r>
          </w:p>
          <w:p w14:paraId="5A04451B" w14:textId="77777777" w:rsidR="00B874B0" w:rsidRDefault="00000000">
            <w:pPr>
              <w:pStyle w:val="PargrafodaLista"/>
              <w:numPr>
                <w:ilvl w:val="0"/>
                <w:numId w:val="2"/>
              </w:numPr>
              <w:spacing w:after="40"/>
            </w:pPr>
            <w:r>
              <w:rPr>
                <w:b/>
                <w:bCs/>
                <w:i/>
                <w:iCs/>
              </w:rPr>
              <w:t xml:space="preserve">Objetiva: </w:t>
            </w:r>
            <w:r>
              <w:t>relação entre separação obrigatória, Súmula 377-STF e pacto antenupcial — tema clássico e explícito FGV.</w:t>
            </w:r>
          </w:p>
          <w:p w14:paraId="70DC08A1" w14:textId="77777777" w:rsidR="00B874B0" w:rsidRDefault="00000000">
            <w:pPr>
              <w:pStyle w:val="PargrafodaLista"/>
              <w:numPr>
                <w:ilvl w:val="0"/>
                <w:numId w:val="2"/>
              </w:numPr>
              <w:spacing w:after="40"/>
            </w:pPr>
            <w:r>
              <w:rPr>
                <w:b/>
                <w:bCs/>
                <w:i/>
                <w:iCs/>
              </w:rPr>
              <w:t xml:space="preserve">Discursiva/Sentença: </w:t>
            </w:r>
            <w:r>
              <w:t>parecer sobre validade de cláusula de pacto antenupcial que afasta a Súmula 377.</w:t>
            </w:r>
          </w:p>
          <w:p w14:paraId="4443F0F0" w14:textId="77777777" w:rsidR="00B874B0" w:rsidRDefault="00000000">
            <w:pPr>
              <w:pStyle w:val="PargrafodaLista"/>
              <w:numPr>
                <w:ilvl w:val="0"/>
                <w:numId w:val="2"/>
              </w:numPr>
              <w:spacing w:after="100"/>
            </w:pPr>
            <w:r>
              <w:rPr>
                <w:b/>
                <w:bCs/>
                <w:i/>
                <w:iCs/>
              </w:rPr>
              <w:t xml:space="preserve">Oral: </w:t>
            </w:r>
            <w:r>
              <w:t>fundamento e finalidade do art. 1.641, II, do CC.</w:t>
            </w:r>
          </w:p>
          <w:p w14:paraId="7D7F091E" w14:textId="77777777" w:rsidR="00B874B0" w:rsidRDefault="00000000">
            <w:r>
              <w:rPr>
                <w:b/>
                <w:bCs/>
                <w:color w:val="A9762F"/>
              </w:rPr>
              <w:t xml:space="preserve">CONEXÕES: </w:t>
            </w:r>
            <w:r>
              <w:rPr>
                <w:i/>
                <w:iCs/>
              </w:rPr>
              <w:t>Súmula 377-STF; art. 1.641, II, do CC; ARE 1.309.642/SP (Tema 1236-STF); Súmula 655-STJ; REsp 2.097.324-SP (prêmio de loteria em separação obrigatória); tema FGV "pacto antenupcial (forma pública obrigatória)".</w:t>
            </w:r>
          </w:p>
        </w:tc>
      </w:tr>
    </w:tbl>
    <w:p w14:paraId="0F3C32B7" w14:textId="77777777" w:rsidR="00B874B0" w:rsidRDefault="00B874B0">
      <w:pPr>
        <w:spacing w:after="160"/>
      </w:pPr>
    </w:p>
    <w:tbl>
      <w:tblPr>
        <w:tblW w:w="5000" w:type="pct"/>
        <w:tblBorders>
          <w:top w:val="single" w:sz="8" w:space="0" w:color="C9B78C"/>
          <w:left w:val="single" w:sz="8" w:space="0" w:color="C9B78C"/>
          <w:bottom w:val="single" w:sz="8" w:space="0" w:color="C9B78C"/>
          <w:right w:val="single" w:sz="8" w:space="0" w:color="C9B78C"/>
        </w:tblBorders>
        <w:tblCellMar>
          <w:left w:w="10" w:type="dxa"/>
          <w:right w:w="10" w:type="dxa"/>
        </w:tblCellMar>
        <w:tblLook w:val="04A0" w:firstRow="1" w:lastRow="0" w:firstColumn="1" w:lastColumn="0" w:noHBand="0" w:noVBand="1"/>
      </w:tblPr>
      <w:tblGrid>
        <w:gridCol w:w="9726"/>
      </w:tblGrid>
      <w:tr w:rsidR="00B874B0" w14:paraId="1A9430C3" w14:textId="77777777">
        <w:tblPrEx>
          <w:tblCellMar>
            <w:top w:w="0" w:type="dxa"/>
            <w:bottom w:w="0" w:type="dxa"/>
          </w:tblCellMar>
        </w:tblPrEx>
        <w:tc>
          <w:tcPr>
            <w:tcW w:w="5000" w:type="pct"/>
            <w:shd w:val="clear" w:color="auto" w:fill="F6F1E8"/>
            <w:tcMar>
              <w:top w:w="160" w:type="dxa"/>
              <w:left w:w="200" w:type="dxa"/>
              <w:bottom w:w="160" w:type="dxa"/>
              <w:right w:w="200" w:type="dxa"/>
            </w:tcMar>
          </w:tcPr>
          <w:p w14:paraId="13724E61" w14:textId="77777777" w:rsidR="00B874B0" w:rsidRDefault="00000000">
            <w:pPr>
              <w:pStyle w:val="Ttulo3"/>
              <w:spacing w:after="80"/>
            </w:pPr>
            <w:bookmarkStart w:id="16" w:name="_Toc236570070"/>
            <w:r>
              <w:t>Bens adquiridos antes do casamento, no período de namoro, não se comunicam</w:t>
            </w:r>
            <w:bookmarkEnd w:id="16"/>
          </w:p>
          <w:p w14:paraId="2335A60C" w14:textId="77777777" w:rsidR="00B874B0" w:rsidRDefault="00000000">
            <w:pPr>
              <w:spacing w:after="40"/>
            </w:pPr>
            <w:r>
              <w:rPr>
                <w:b/>
                <w:bCs/>
                <w:color w:val="555555"/>
                <w:sz w:val="19"/>
                <w:szCs w:val="19"/>
              </w:rPr>
              <w:t>Tribunal: STJ   |   Órgão: 3ª Turma</w:t>
            </w:r>
          </w:p>
          <w:p w14:paraId="5C2FE6C9" w14:textId="77777777" w:rsidR="00B874B0" w:rsidRDefault="00000000">
            <w:pPr>
              <w:spacing w:after="40"/>
            </w:pPr>
            <w:r>
              <w:rPr>
                <w:color w:val="555555"/>
                <w:sz w:val="19"/>
                <w:szCs w:val="19"/>
              </w:rPr>
              <w:t>Processo: REsp 1.841.128-MG   |   Relator: Min. Ricardo Villas Bôas Cueva   |   Data: 23/11/2021</w:t>
            </w:r>
          </w:p>
          <w:p w14:paraId="34B59159" w14:textId="77777777" w:rsidR="00B874B0" w:rsidRDefault="00000000">
            <w:pPr>
              <w:spacing w:after="100"/>
            </w:pPr>
            <w:r>
              <w:rPr>
                <w:i/>
                <w:iCs/>
                <w:color w:val="555555"/>
                <w:sz w:val="19"/>
                <w:szCs w:val="19"/>
              </w:rPr>
              <w:t>Sistemática: Caso isolado (Info 719)</w:t>
            </w:r>
          </w:p>
          <w:p w14:paraId="3495E57D" w14:textId="77777777" w:rsidR="00B874B0" w:rsidRDefault="00000000">
            <w:pPr>
              <w:spacing w:after="100"/>
            </w:pPr>
            <w:r>
              <w:rPr>
                <w:b/>
                <w:bCs/>
              </w:rPr>
              <w:t xml:space="preserve">TESE FIXADA / DECISÃO: </w:t>
            </w:r>
            <w:r>
              <w:t>Bem financiado e pago exclusivamente por um dos nubentes ainda no período de namoro (antes do casamento) não se comunica na partilha decorrente do divórcio, ainda que o financiamento seja quitado já na constância do casamento sob comunhão parcial, quando não há esforço comum.</w:t>
            </w:r>
          </w:p>
          <w:p w14:paraId="7591C44C" w14:textId="77777777" w:rsidR="00B874B0" w:rsidRDefault="00000000">
            <w:pPr>
              <w:spacing w:after="100"/>
            </w:pPr>
            <w:r>
              <w:rPr>
                <w:b/>
                <w:bCs/>
              </w:rPr>
              <w:t xml:space="preserve">RESUMO DO CASO: </w:t>
            </w:r>
            <w:r>
              <w:t>Mulher financiou e pagou sozinha um apartamento enquanto namorava; casou-se em comunhão parcial; quitou o financiamento já casada; divorciou-se pouco depois. O STJ excluiu o imóvel da partilha, por ser bem estranho à comunhão, adquirido e custeado exclusivamente antes/fora da relação conjugal, sem contribuição do outro.</w:t>
            </w:r>
          </w:p>
          <w:p w14:paraId="74249A48" w14:textId="77777777" w:rsidR="00B874B0" w:rsidRDefault="00000000">
            <w:pPr>
              <w:spacing w:after="40"/>
            </w:pPr>
            <w:r>
              <w:rPr>
                <w:b/>
                <w:bCs/>
              </w:rPr>
              <w:t>COMO PODE SER COBRADO EM PROVA:</w:t>
            </w:r>
          </w:p>
          <w:p w14:paraId="3B3FB3F8" w14:textId="77777777" w:rsidR="00B874B0" w:rsidRDefault="00000000">
            <w:pPr>
              <w:pStyle w:val="PargrafodaLista"/>
              <w:numPr>
                <w:ilvl w:val="0"/>
                <w:numId w:val="2"/>
              </w:numPr>
              <w:spacing w:after="40"/>
            </w:pPr>
            <w:r>
              <w:rPr>
                <w:b/>
                <w:bCs/>
                <w:i/>
                <w:iCs/>
              </w:rPr>
              <w:t xml:space="preserve">Objetiva: </w:t>
            </w:r>
            <w:r>
              <w:t>contraponto direto ao tema FGV "comunicação de imóvel financiado antes do casamento mas quitado durante a união com esforço comum" — aqui NÃO há esforço comum, o que muda o resultado.</w:t>
            </w:r>
          </w:p>
          <w:p w14:paraId="15E7F5A8" w14:textId="77777777" w:rsidR="00B874B0" w:rsidRDefault="00000000">
            <w:pPr>
              <w:pStyle w:val="PargrafodaLista"/>
              <w:numPr>
                <w:ilvl w:val="0"/>
                <w:numId w:val="2"/>
              </w:numPr>
              <w:spacing w:after="40"/>
            </w:pPr>
            <w:r>
              <w:rPr>
                <w:b/>
                <w:bCs/>
                <w:i/>
                <w:iCs/>
              </w:rPr>
              <w:t xml:space="preserve">Discursiva/Sentença: </w:t>
            </w:r>
            <w:r>
              <w:t>distinguir, em caso prático, os dois cenários (com e sem esforço comum).</w:t>
            </w:r>
          </w:p>
          <w:p w14:paraId="7EC7E939" w14:textId="77777777" w:rsidR="00B874B0" w:rsidRDefault="00000000">
            <w:pPr>
              <w:pStyle w:val="PargrafodaLista"/>
              <w:numPr>
                <w:ilvl w:val="0"/>
                <w:numId w:val="2"/>
              </w:numPr>
              <w:spacing w:after="100"/>
            </w:pPr>
            <w:r>
              <w:rPr>
                <w:b/>
                <w:bCs/>
                <w:i/>
                <w:iCs/>
              </w:rPr>
              <w:t xml:space="preserve">Oral: </w:t>
            </w:r>
            <w:r>
              <w:t>marco temporal relevante para a comunicabilidade (constância do casamento x namoro).</w:t>
            </w:r>
          </w:p>
          <w:p w14:paraId="564B1C94" w14:textId="77777777" w:rsidR="00B874B0" w:rsidRDefault="00000000">
            <w:r>
              <w:rPr>
                <w:b/>
                <w:bCs/>
                <w:color w:val="A9762F"/>
              </w:rPr>
              <w:t xml:space="preserve">CONEXÕES: </w:t>
            </w:r>
            <w:r>
              <w:rPr>
                <w:i/>
                <w:iCs/>
              </w:rPr>
              <w:t>art. 1.660 do CC; REsp 1.760.281/TO (bens excluídos da comunhão).</w:t>
            </w:r>
          </w:p>
        </w:tc>
      </w:tr>
    </w:tbl>
    <w:p w14:paraId="421F57E5" w14:textId="77777777" w:rsidR="00B874B0" w:rsidRDefault="00B874B0">
      <w:pPr>
        <w:spacing w:after="160"/>
      </w:pPr>
    </w:p>
    <w:tbl>
      <w:tblPr>
        <w:tblW w:w="5000" w:type="pct"/>
        <w:tblBorders>
          <w:top w:val="single" w:sz="8" w:space="0" w:color="C9B78C"/>
          <w:left w:val="single" w:sz="8" w:space="0" w:color="C9B78C"/>
          <w:bottom w:val="single" w:sz="8" w:space="0" w:color="C9B78C"/>
          <w:right w:val="single" w:sz="8" w:space="0" w:color="C9B78C"/>
        </w:tblBorders>
        <w:tblCellMar>
          <w:left w:w="10" w:type="dxa"/>
          <w:right w:w="10" w:type="dxa"/>
        </w:tblCellMar>
        <w:tblLook w:val="04A0" w:firstRow="1" w:lastRow="0" w:firstColumn="1" w:lastColumn="0" w:noHBand="0" w:noVBand="1"/>
      </w:tblPr>
      <w:tblGrid>
        <w:gridCol w:w="9726"/>
      </w:tblGrid>
      <w:tr w:rsidR="00B874B0" w14:paraId="50C5DFBA" w14:textId="77777777">
        <w:tblPrEx>
          <w:tblCellMar>
            <w:top w:w="0" w:type="dxa"/>
            <w:bottom w:w="0" w:type="dxa"/>
          </w:tblCellMar>
        </w:tblPrEx>
        <w:tc>
          <w:tcPr>
            <w:tcW w:w="5000" w:type="pct"/>
            <w:shd w:val="clear" w:color="auto" w:fill="F6F1E8"/>
            <w:tcMar>
              <w:top w:w="160" w:type="dxa"/>
              <w:left w:w="200" w:type="dxa"/>
              <w:bottom w:w="160" w:type="dxa"/>
              <w:right w:w="200" w:type="dxa"/>
            </w:tcMar>
          </w:tcPr>
          <w:p w14:paraId="477BC8BA" w14:textId="77777777" w:rsidR="00B874B0" w:rsidRDefault="00000000">
            <w:pPr>
              <w:pStyle w:val="Ttulo3"/>
              <w:spacing w:after="80"/>
            </w:pPr>
            <w:bookmarkStart w:id="17" w:name="_Toc236570071"/>
            <w:r>
              <w:t>Cessação da incapacidade civil que impôs separação obrigatória autoriza mudança de regime</w:t>
            </w:r>
            <w:bookmarkEnd w:id="17"/>
          </w:p>
          <w:p w14:paraId="72D06DEB" w14:textId="77777777" w:rsidR="00B874B0" w:rsidRDefault="00000000">
            <w:pPr>
              <w:spacing w:after="40"/>
            </w:pPr>
            <w:r>
              <w:rPr>
                <w:b/>
                <w:bCs/>
                <w:color w:val="555555"/>
                <w:sz w:val="19"/>
                <w:szCs w:val="19"/>
              </w:rPr>
              <w:t>Tribunal: STJ   |   Órgão: 3ª Turma</w:t>
            </w:r>
          </w:p>
          <w:p w14:paraId="4115D538" w14:textId="77777777" w:rsidR="00B874B0" w:rsidRDefault="00000000">
            <w:pPr>
              <w:spacing w:after="40"/>
            </w:pPr>
            <w:r>
              <w:rPr>
                <w:color w:val="555555"/>
                <w:sz w:val="19"/>
                <w:szCs w:val="19"/>
              </w:rPr>
              <w:t>Processo: REsp 1.947.749-SP   |   Relator: Min. Nancy Andrighi   |   Data: 14/09/2021</w:t>
            </w:r>
          </w:p>
          <w:p w14:paraId="7DA1A121" w14:textId="77777777" w:rsidR="00B874B0" w:rsidRDefault="00000000">
            <w:pPr>
              <w:spacing w:after="100"/>
            </w:pPr>
            <w:r>
              <w:rPr>
                <w:i/>
                <w:iCs/>
                <w:color w:val="555555"/>
                <w:sz w:val="19"/>
                <w:szCs w:val="19"/>
              </w:rPr>
              <w:t>Sistemática: Caso isolado (Info 709)</w:t>
            </w:r>
          </w:p>
          <w:p w14:paraId="3CAF5C62" w14:textId="77777777" w:rsidR="00B874B0" w:rsidRDefault="00000000">
            <w:pPr>
              <w:spacing w:after="100"/>
            </w:pPr>
            <w:r>
              <w:rPr>
                <w:b/>
                <w:bCs/>
              </w:rPr>
              <w:t xml:space="preserve">TESE FIXADA / DECISÃO: </w:t>
            </w:r>
            <w:r>
              <w:t>Cessada a causa que originalmente impôs o regime de separação obrigatória (ex.: nubente menor de 16 anos, sob a égide do CC/1916), é cabível a alteração do regime de bens, sem exigência de provas exageradas de ausência de prejuízo a terceiros.</w:t>
            </w:r>
          </w:p>
          <w:p w14:paraId="2E77FCEF" w14:textId="77777777" w:rsidR="00B874B0" w:rsidRDefault="00000000">
            <w:pPr>
              <w:spacing w:after="100"/>
            </w:pPr>
            <w:r>
              <w:rPr>
                <w:b/>
                <w:bCs/>
              </w:rPr>
              <w:t xml:space="preserve">RESUMO DO CASO: </w:t>
            </w:r>
            <w:r>
              <w:t>Cônjuges casados em 1990, quando a esposa era menor de 16 anos (regime forçado de separação obrigatória pelo CC/1916); décadas depois, já sob o CC/2002, pediram a alteração do regime, pois a causa da incapacidade cessara. O STJ deferiu, afastando exigência de provas rigorosas e prestigiando a autonomia privada e a intimidade dos cônjuges.</w:t>
            </w:r>
          </w:p>
          <w:p w14:paraId="4C2F34CA" w14:textId="77777777" w:rsidR="00B874B0" w:rsidRDefault="00000000">
            <w:pPr>
              <w:spacing w:after="40"/>
            </w:pPr>
            <w:r>
              <w:rPr>
                <w:b/>
                <w:bCs/>
              </w:rPr>
              <w:lastRenderedPageBreak/>
              <w:t>COMO PODE SER COBRADO EM PROVA:</w:t>
            </w:r>
          </w:p>
          <w:p w14:paraId="4A090CAA" w14:textId="77777777" w:rsidR="00B874B0" w:rsidRDefault="00000000">
            <w:pPr>
              <w:pStyle w:val="PargrafodaLista"/>
              <w:numPr>
                <w:ilvl w:val="0"/>
                <w:numId w:val="2"/>
              </w:numPr>
              <w:spacing w:after="40"/>
            </w:pPr>
            <w:r>
              <w:rPr>
                <w:b/>
                <w:bCs/>
                <w:i/>
                <w:iCs/>
              </w:rPr>
              <w:t xml:space="preserve">Objetiva: </w:t>
            </w:r>
            <w:r>
              <w:t>cruzamento dos temas FGV "casamento de menor de 16 anos (idade núbil)" e "alteração superveniente do regime de bens".</w:t>
            </w:r>
          </w:p>
          <w:p w14:paraId="5837A315" w14:textId="77777777" w:rsidR="00B874B0" w:rsidRDefault="00000000">
            <w:pPr>
              <w:pStyle w:val="PargrafodaLista"/>
              <w:numPr>
                <w:ilvl w:val="0"/>
                <w:numId w:val="2"/>
              </w:numPr>
              <w:spacing w:after="40"/>
            </w:pPr>
            <w:r>
              <w:rPr>
                <w:b/>
                <w:bCs/>
                <w:i/>
                <w:iCs/>
              </w:rPr>
              <w:t xml:space="preserve">Discursiva/Sentença: </w:t>
            </w:r>
            <w:r>
              <w:t>requisitos para alteração de regime de bens (art. 1.639, §2º, do CC) e grau de exigência probatória.</w:t>
            </w:r>
          </w:p>
          <w:p w14:paraId="697847D9" w14:textId="77777777" w:rsidR="00B874B0" w:rsidRDefault="00000000">
            <w:pPr>
              <w:pStyle w:val="PargrafodaLista"/>
              <w:numPr>
                <w:ilvl w:val="0"/>
                <w:numId w:val="2"/>
              </w:numPr>
              <w:spacing w:after="100"/>
            </w:pPr>
            <w:r>
              <w:rPr>
                <w:b/>
                <w:bCs/>
                <w:i/>
                <w:iCs/>
              </w:rPr>
              <w:t xml:space="preserve">Oral: </w:t>
            </w:r>
            <w:r>
              <w:t>direito intertemporal CC/1916 x CC/2002 em matéria de regime de bens.</w:t>
            </w:r>
          </w:p>
          <w:p w14:paraId="46694D43" w14:textId="77777777" w:rsidR="00B874B0" w:rsidRDefault="00000000">
            <w:r>
              <w:rPr>
                <w:b/>
                <w:bCs/>
                <w:color w:val="A9762F"/>
              </w:rPr>
              <w:t xml:space="preserve">CONEXÕES: </w:t>
            </w:r>
            <w:r>
              <w:rPr>
                <w:i/>
                <w:iCs/>
              </w:rPr>
              <w:t>art. 1.639, §2º, do CC; REsp 1.904.498-SP (mesmo tema, dispensa de relação pormenorizada de bens — julgado em 04/05/2021, fora da janela de busca, citado apenas como pano de fundo doutrinário) [VERIFICAR — julgado fora do período coberto, não incluído como ficha própria].</w:t>
            </w:r>
          </w:p>
        </w:tc>
      </w:tr>
    </w:tbl>
    <w:p w14:paraId="5224BAFC" w14:textId="77777777" w:rsidR="00B874B0" w:rsidRDefault="00B874B0">
      <w:pPr>
        <w:spacing w:after="160"/>
      </w:pPr>
    </w:p>
    <w:tbl>
      <w:tblPr>
        <w:tblW w:w="5000" w:type="pct"/>
        <w:tblBorders>
          <w:top w:val="single" w:sz="8" w:space="0" w:color="C9B78C"/>
          <w:left w:val="single" w:sz="8" w:space="0" w:color="C9B78C"/>
          <w:bottom w:val="single" w:sz="8" w:space="0" w:color="C9B78C"/>
          <w:right w:val="single" w:sz="8" w:space="0" w:color="C9B78C"/>
        </w:tblBorders>
        <w:tblCellMar>
          <w:left w:w="10" w:type="dxa"/>
          <w:right w:w="10" w:type="dxa"/>
        </w:tblCellMar>
        <w:tblLook w:val="04A0" w:firstRow="1" w:lastRow="0" w:firstColumn="1" w:lastColumn="0" w:noHBand="0" w:noVBand="1"/>
      </w:tblPr>
      <w:tblGrid>
        <w:gridCol w:w="9726"/>
      </w:tblGrid>
      <w:tr w:rsidR="00B874B0" w14:paraId="05E24F9A" w14:textId="77777777">
        <w:tblPrEx>
          <w:tblCellMar>
            <w:top w:w="0" w:type="dxa"/>
            <w:bottom w:w="0" w:type="dxa"/>
          </w:tblCellMar>
        </w:tblPrEx>
        <w:tc>
          <w:tcPr>
            <w:tcW w:w="5000" w:type="pct"/>
            <w:shd w:val="clear" w:color="auto" w:fill="F6F1E8"/>
            <w:tcMar>
              <w:top w:w="160" w:type="dxa"/>
              <w:left w:w="200" w:type="dxa"/>
              <w:bottom w:w="160" w:type="dxa"/>
              <w:right w:w="200" w:type="dxa"/>
            </w:tcMar>
          </w:tcPr>
          <w:p w14:paraId="66263C46" w14:textId="77777777" w:rsidR="00B874B0" w:rsidRDefault="00000000">
            <w:pPr>
              <w:pStyle w:val="Ttulo3"/>
              <w:spacing w:after="80"/>
            </w:pPr>
            <w:bookmarkStart w:id="18" w:name="_Toc236570072"/>
            <w:r>
              <w:t>Regime de separação obrigatória para maiores de 70 anos pode ser afastado por escritura pública — Tema 1236</w:t>
            </w:r>
            <w:bookmarkEnd w:id="18"/>
          </w:p>
          <w:p w14:paraId="63E32464" w14:textId="77777777" w:rsidR="00B874B0" w:rsidRDefault="00000000">
            <w:pPr>
              <w:spacing w:after="40"/>
            </w:pPr>
            <w:r>
              <w:rPr>
                <w:b/>
                <w:bCs/>
                <w:color w:val="555555"/>
                <w:sz w:val="19"/>
                <w:szCs w:val="19"/>
              </w:rPr>
              <w:t>Tribunal: STF   |   Órgão: Plenário</w:t>
            </w:r>
          </w:p>
          <w:p w14:paraId="1BF7FDCD" w14:textId="77777777" w:rsidR="00B874B0" w:rsidRDefault="00000000">
            <w:pPr>
              <w:spacing w:after="40"/>
            </w:pPr>
            <w:r>
              <w:rPr>
                <w:color w:val="555555"/>
                <w:sz w:val="19"/>
                <w:szCs w:val="19"/>
              </w:rPr>
              <w:t>Processo: ARE 1.309.642/SP   |   Relator: Min. Luís Roberto Barroso   |   Data: 02/02/2024</w:t>
            </w:r>
          </w:p>
          <w:p w14:paraId="13D0636A" w14:textId="77777777" w:rsidR="00B874B0" w:rsidRDefault="00000000">
            <w:pPr>
              <w:spacing w:after="100"/>
            </w:pPr>
            <w:r>
              <w:rPr>
                <w:i/>
                <w:iCs/>
                <w:color w:val="555555"/>
                <w:sz w:val="19"/>
                <w:szCs w:val="19"/>
              </w:rPr>
              <w:t>Sistemática: Repercussão Geral — Tema 1236</w:t>
            </w:r>
          </w:p>
          <w:p w14:paraId="3C8286FD" w14:textId="77777777" w:rsidR="00B874B0" w:rsidRDefault="00000000">
            <w:pPr>
              <w:spacing w:after="100"/>
            </w:pPr>
            <w:r>
              <w:rPr>
                <w:b/>
                <w:bCs/>
              </w:rPr>
              <w:t xml:space="preserve">TESE FIXADA / DECISÃO: </w:t>
            </w:r>
            <w:r>
              <w:t>"Nos casamentos e uniões estáveis envolvendo pessoa maior de 70 anos, o regime de separação de bens previsto no art. 1.641, II, do Código Civil, pode ser afastado por expressa manifestação de vontade das partes mediante escritura pública."</w:t>
            </w:r>
          </w:p>
          <w:p w14:paraId="76817B90" w14:textId="77777777" w:rsidR="00B874B0" w:rsidRDefault="00000000">
            <w:pPr>
              <w:spacing w:after="100"/>
            </w:pPr>
            <w:r>
              <w:rPr>
                <w:b/>
                <w:bCs/>
              </w:rPr>
              <w:t xml:space="preserve">RESUMO DO CASO: </w:t>
            </w:r>
            <w:r>
              <w:t>Fixação de tese vinculante sobre a possibilidade de as partes afastarem, por autonomia privada exercida em escritura pública, a imposição legal de separação obrigatória de bens para maiores de 70 anos, tanto no casamento quanto na união estável. Na ausência de escolha expressa, prevalece a separação obrigatória legal.</w:t>
            </w:r>
          </w:p>
          <w:p w14:paraId="606E337A" w14:textId="77777777" w:rsidR="00B874B0" w:rsidRDefault="00000000">
            <w:pPr>
              <w:spacing w:after="40"/>
            </w:pPr>
            <w:r>
              <w:rPr>
                <w:b/>
                <w:bCs/>
              </w:rPr>
              <w:t>COMO PODE SER COBRADO EM PROVA:</w:t>
            </w:r>
          </w:p>
          <w:p w14:paraId="7EB9CC5F" w14:textId="77777777" w:rsidR="00B874B0" w:rsidRDefault="00000000">
            <w:pPr>
              <w:pStyle w:val="PargrafodaLista"/>
              <w:numPr>
                <w:ilvl w:val="0"/>
                <w:numId w:val="2"/>
              </w:numPr>
              <w:spacing w:after="40"/>
            </w:pPr>
            <w:r>
              <w:rPr>
                <w:b/>
                <w:bCs/>
                <w:i/>
                <w:iCs/>
              </w:rPr>
              <w:t xml:space="preserve">Objetiva: </w:t>
            </w:r>
            <w:r>
              <w:t>tema central e recorrente da FGV (separação obrigatória &gt;70 anos e possibilidade de afastamento) — altíssima probabilidade de cobrança literal.</w:t>
            </w:r>
          </w:p>
          <w:p w14:paraId="38E25EC9" w14:textId="77777777" w:rsidR="00B874B0" w:rsidRDefault="00000000">
            <w:pPr>
              <w:pStyle w:val="PargrafodaLista"/>
              <w:numPr>
                <w:ilvl w:val="0"/>
                <w:numId w:val="2"/>
              </w:numPr>
              <w:spacing w:after="40"/>
            </w:pPr>
            <w:r>
              <w:rPr>
                <w:b/>
                <w:bCs/>
                <w:i/>
                <w:iCs/>
              </w:rPr>
              <w:t xml:space="preserve">Discursiva/Sentença: </w:t>
            </w:r>
            <w:r>
              <w:t>minuta de escritura pública afastando o regime legal, ou parecer sobre sua validade.</w:t>
            </w:r>
          </w:p>
          <w:p w14:paraId="5F5B0BAD" w14:textId="77777777" w:rsidR="00B874B0" w:rsidRDefault="00000000">
            <w:pPr>
              <w:pStyle w:val="PargrafodaLista"/>
              <w:numPr>
                <w:ilvl w:val="0"/>
                <w:numId w:val="2"/>
              </w:numPr>
              <w:spacing w:after="100"/>
            </w:pPr>
            <w:r>
              <w:rPr>
                <w:b/>
                <w:bCs/>
                <w:i/>
                <w:iCs/>
              </w:rPr>
              <w:t xml:space="preserve">Oral: </w:t>
            </w:r>
            <w:r>
              <w:t>fundamento constitucional (autonomia privada, dignidade, vedação à discriminação por idade) da tese.</w:t>
            </w:r>
          </w:p>
          <w:p w14:paraId="42DBD0B4" w14:textId="77777777" w:rsidR="00B874B0" w:rsidRDefault="00000000">
            <w:r>
              <w:rPr>
                <w:b/>
                <w:bCs/>
                <w:color w:val="A9762F"/>
              </w:rPr>
              <w:t xml:space="preserve">CONEXÕES: </w:t>
            </w:r>
            <w:r>
              <w:rPr>
                <w:i/>
                <w:iCs/>
              </w:rPr>
              <w:t>art. 1.641, II, do CC; Súmula 377-STF; Súmula 655-STJ; REsp 1.922.347-PR (pacto antenupcial ampliando a separação obrigatória).</w:t>
            </w:r>
          </w:p>
        </w:tc>
      </w:tr>
    </w:tbl>
    <w:p w14:paraId="561481FD" w14:textId="77777777" w:rsidR="00B874B0" w:rsidRDefault="00B874B0">
      <w:pPr>
        <w:spacing w:after="160"/>
      </w:pPr>
    </w:p>
    <w:tbl>
      <w:tblPr>
        <w:tblW w:w="5000" w:type="pct"/>
        <w:tblBorders>
          <w:top w:val="single" w:sz="8" w:space="0" w:color="C9B78C"/>
          <w:left w:val="single" w:sz="8" w:space="0" w:color="C9B78C"/>
          <w:bottom w:val="single" w:sz="8" w:space="0" w:color="C9B78C"/>
          <w:right w:val="single" w:sz="8" w:space="0" w:color="C9B78C"/>
        </w:tblBorders>
        <w:tblCellMar>
          <w:left w:w="10" w:type="dxa"/>
          <w:right w:w="10" w:type="dxa"/>
        </w:tblCellMar>
        <w:tblLook w:val="04A0" w:firstRow="1" w:lastRow="0" w:firstColumn="1" w:lastColumn="0" w:noHBand="0" w:noVBand="1"/>
      </w:tblPr>
      <w:tblGrid>
        <w:gridCol w:w="9726"/>
      </w:tblGrid>
      <w:tr w:rsidR="00B874B0" w14:paraId="4A86B7A0" w14:textId="77777777">
        <w:tblPrEx>
          <w:tblCellMar>
            <w:top w:w="0" w:type="dxa"/>
            <w:bottom w:w="0" w:type="dxa"/>
          </w:tblCellMar>
        </w:tblPrEx>
        <w:tc>
          <w:tcPr>
            <w:tcW w:w="5000" w:type="pct"/>
            <w:shd w:val="clear" w:color="auto" w:fill="F6F1E8"/>
            <w:tcMar>
              <w:top w:w="160" w:type="dxa"/>
              <w:left w:w="200" w:type="dxa"/>
              <w:bottom w:w="160" w:type="dxa"/>
              <w:right w:w="200" w:type="dxa"/>
            </w:tcMar>
          </w:tcPr>
          <w:p w14:paraId="6BCBA5D8" w14:textId="77777777" w:rsidR="00B874B0" w:rsidRDefault="00000000">
            <w:pPr>
              <w:pStyle w:val="Ttulo3"/>
              <w:spacing w:after="80"/>
            </w:pPr>
            <w:bookmarkStart w:id="19" w:name="_Toc236570073"/>
            <w:r>
              <w:t>Prêmio de loteria é bem comum mesmo em regime de separação legal obrigatória</w:t>
            </w:r>
            <w:bookmarkEnd w:id="19"/>
          </w:p>
          <w:p w14:paraId="7EA62EA0" w14:textId="77777777" w:rsidR="00B874B0" w:rsidRDefault="00000000">
            <w:pPr>
              <w:spacing w:after="40"/>
            </w:pPr>
            <w:r>
              <w:rPr>
                <w:b/>
                <w:bCs/>
                <w:color w:val="555555"/>
                <w:sz w:val="19"/>
                <w:szCs w:val="19"/>
              </w:rPr>
              <w:t>Tribunal: STJ   |   Órgão: 4ª Turma</w:t>
            </w:r>
          </w:p>
          <w:p w14:paraId="4857A457" w14:textId="77777777" w:rsidR="00B874B0" w:rsidRDefault="00000000">
            <w:pPr>
              <w:spacing w:after="40"/>
            </w:pPr>
            <w:r>
              <w:rPr>
                <w:color w:val="555555"/>
                <w:sz w:val="19"/>
                <w:szCs w:val="19"/>
              </w:rPr>
              <w:t>Processo: REsp 2.097.324-SP   |   Relator: Min. Antonio Carlos Ferreira   |   Data: 24/09/2024</w:t>
            </w:r>
          </w:p>
          <w:p w14:paraId="65486CF4" w14:textId="77777777" w:rsidR="00B874B0" w:rsidRDefault="00000000">
            <w:pPr>
              <w:spacing w:after="100"/>
            </w:pPr>
            <w:r>
              <w:rPr>
                <w:i/>
                <w:iCs/>
                <w:color w:val="555555"/>
                <w:sz w:val="19"/>
                <w:szCs w:val="19"/>
              </w:rPr>
              <w:t>Sistemática: Caso isolado (Info 827)</w:t>
            </w:r>
          </w:p>
          <w:p w14:paraId="2688B432" w14:textId="77777777" w:rsidR="00B874B0" w:rsidRDefault="00000000">
            <w:pPr>
              <w:spacing w:after="100"/>
            </w:pPr>
            <w:r>
              <w:rPr>
                <w:b/>
                <w:bCs/>
              </w:rPr>
              <w:t xml:space="preserve">TESE FIXADA / DECISÃO: </w:t>
            </w:r>
            <w:r>
              <w:t>O prêmio de loteria auferido por cônjuge casado sob separação legal obrigatória é bem adquirido por fato eventual (art. 1.660, II, do CC), constituindo patrimônio comum do casal e sujeito a partilha, independentemente de avaliação sobre esforço comum.</w:t>
            </w:r>
          </w:p>
          <w:p w14:paraId="657596B0" w14:textId="77777777" w:rsidR="00B874B0" w:rsidRDefault="00000000">
            <w:pPr>
              <w:spacing w:after="100"/>
            </w:pPr>
            <w:r>
              <w:rPr>
                <w:b/>
                <w:bCs/>
              </w:rPr>
              <w:t xml:space="preserve">RESUMO DO CASO: </w:t>
            </w:r>
            <w:r>
              <w:t>Casal, após longa união estável, casou-se já septuagenário (impondo separação obrigatória); meses depois, a esposa ganhou prêmio milionário na loteria; ele faleceu logo em seguida. No inventário, os filhos do falecido pleitearam a inclusão de parte do prêmio no patrimônio comum a partilhar. O STJ acolheu, por se tratar de bem adquirido por fato eventual, categoria que se comunica mesmo na separação legal, sem exigência de prova de esforço comum.</w:t>
            </w:r>
          </w:p>
          <w:p w14:paraId="6B22C470" w14:textId="77777777" w:rsidR="00B874B0" w:rsidRDefault="00000000">
            <w:pPr>
              <w:spacing w:after="40"/>
            </w:pPr>
            <w:r>
              <w:rPr>
                <w:b/>
                <w:bCs/>
              </w:rPr>
              <w:t>COMO PODE SER COBRADO EM PROVA:</w:t>
            </w:r>
          </w:p>
          <w:p w14:paraId="2FD6E91C" w14:textId="77777777" w:rsidR="00B874B0" w:rsidRDefault="00000000">
            <w:pPr>
              <w:pStyle w:val="PargrafodaLista"/>
              <w:numPr>
                <w:ilvl w:val="0"/>
                <w:numId w:val="2"/>
              </w:numPr>
              <w:spacing w:after="40"/>
            </w:pPr>
            <w:r>
              <w:rPr>
                <w:b/>
                <w:bCs/>
                <w:i/>
                <w:iCs/>
              </w:rPr>
              <w:lastRenderedPageBreak/>
              <w:t xml:space="preserve">Objetiva: </w:t>
            </w:r>
            <w:r>
              <w:t>hipótese excepcional de comunhão mesmo na separação obrigatória (fato eventual, art. 1.660, II) — tema FGV explícito ("partilha de prêmio de loteria mesmo em regime de separação obrigatória").</w:t>
            </w:r>
          </w:p>
          <w:p w14:paraId="62B9AAB7" w14:textId="77777777" w:rsidR="00B874B0" w:rsidRDefault="00000000">
            <w:pPr>
              <w:pStyle w:val="PargrafodaLista"/>
              <w:numPr>
                <w:ilvl w:val="0"/>
                <w:numId w:val="2"/>
              </w:numPr>
              <w:spacing w:after="40"/>
            </w:pPr>
            <w:r>
              <w:rPr>
                <w:b/>
                <w:bCs/>
                <w:i/>
                <w:iCs/>
              </w:rPr>
              <w:t xml:space="preserve">Discursiva/Sentença: </w:t>
            </w:r>
            <w:r>
              <w:t>caso de inventário discutindo se prêmio de loteria integra a herança/patrimônio comum a partilhar.</w:t>
            </w:r>
          </w:p>
          <w:p w14:paraId="07D71CA1" w14:textId="77777777" w:rsidR="00B874B0" w:rsidRDefault="00000000">
            <w:pPr>
              <w:pStyle w:val="PargrafodaLista"/>
              <w:numPr>
                <w:ilvl w:val="0"/>
                <w:numId w:val="2"/>
              </w:numPr>
              <w:spacing w:after="100"/>
            </w:pPr>
            <w:r>
              <w:rPr>
                <w:b/>
                <w:bCs/>
                <w:i/>
                <w:iCs/>
              </w:rPr>
              <w:t xml:space="preserve">Oral: </w:t>
            </w:r>
            <w:r>
              <w:t>distinguir "fato eventual" de "esforço comum" como fundamentos de comunicabilidade.</w:t>
            </w:r>
          </w:p>
          <w:p w14:paraId="62720069" w14:textId="77777777" w:rsidR="00B874B0" w:rsidRDefault="00000000">
            <w:r>
              <w:rPr>
                <w:b/>
                <w:bCs/>
                <w:color w:val="A9762F"/>
              </w:rPr>
              <w:t xml:space="preserve">CONEXÕES: </w:t>
            </w:r>
            <w:r>
              <w:rPr>
                <w:i/>
                <w:iCs/>
              </w:rPr>
              <w:t>art. 1.660, II, do CC; Súmula 377-STF; REsp 1.922.347-PR; Súmula 655-STJ.</w:t>
            </w:r>
          </w:p>
        </w:tc>
      </w:tr>
    </w:tbl>
    <w:p w14:paraId="2D3F5C27" w14:textId="77777777" w:rsidR="00B874B0" w:rsidRDefault="00B874B0">
      <w:pPr>
        <w:spacing w:after="160"/>
      </w:pPr>
    </w:p>
    <w:tbl>
      <w:tblPr>
        <w:tblW w:w="5000" w:type="pct"/>
        <w:tblBorders>
          <w:top w:val="single" w:sz="8" w:space="0" w:color="C9B78C"/>
          <w:left w:val="single" w:sz="8" w:space="0" w:color="C9B78C"/>
          <w:bottom w:val="single" w:sz="8" w:space="0" w:color="C9B78C"/>
          <w:right w:val="single" w:sz="8" w:space="0" w:color="C9B78C"/>
        </w:tblBorders>
        <w:tblCellMar>
          <w:left w:w="10" w:type="dxa"/>
          <w:right w:w="10" w:type="dxa"/>
        </w:tblCellMar>
        <w:tblLook w:val="04A0" w:firstRow="1" w:lastRow="0" w:firstColumn="1" w:lastColumn="0" w:noHBand="0" w:noVBand="1"/>
      </w:tblPr>
      <w:tblGrid>
        <w:gridCol w:w="9726"/>
      </w:tblGrid>
      <w:tr w:rsidR="00B874B0" w14:paraId="3C0835B5" w14:textId="77777777">
        <w:tblPrEx>
          <w:tblCellMar>
            <w:top w:w="0" w:type="dxa"/>
            <w:bottom w:w="0" w:type="dxa"/>
          </w:tblCellMar>
        </w:tblPrEx>
        <w:tc>
          <w:tcPr>
            <w:tcW w:w="5000" w:type="pct"/>
            <w:shd w:val="clear" w:color="auto" w:fill="F6F1E8"/>
            <w:tcMar>
              <w:top w:w="160" w:type="dxa"/>
              <w:left w:w="200" w:type="dxa"/>
              <w:bottom w:w="160" w:type="dxa"/>
              <w:right w:w="200" w:type="dxa"/>
            </w:tcMar>
          </w:tcPr>
          <w:p w14:paraId="72BF14A3" w14:textId="77777777" w:rsidR="00B874B0" w:rsidRDefault="00000000">
            <w:pPr>
              <w:pStyle w:val="Ttulo3"/>
              <w:spacing w:after="80"/>
            </w:pPr>
            <w:bookmarkStart w:id="20" w:name="_Toc236570074"/>
            <w:r>
              <w:t>Imóvel doado por programa habitacional em nome de um cônjuge — comunicabilidade excepcional</w:t>
            </w:r>
            <w:bookmarkEnd w:id="20"/>
          </w:p>
          <w:p w14:paraId="2787B491" w14:textId="77777777" w:rsidR="00B874B0" w:rsidRDefault="00000000">
            <w:pPr>
              <w:spacing w:after="40"/>
            </w:pPr>
            <w:r>
              <w:rPr>
                <w:b/>
                <w:bCs/>
                <w:color w:val="555555"/>
                <w:sz w:val="19"/>
                <w:szCs w:val="19"/>
              </w:rPr>
              <w:t>Tribunal: STJ   |   Órgão: 3ª Turma</w:t>
            </w:r>
          </w:p>
          <w:p w14:paraId="1C26E230" w14:textId="77777777" w:rsidR="00B874B0" w:rsidRDefault="00000000">
            <w:pPr>
              <w:spacing w:after="40"/>
            </w:pPr>
            <w:r>
              <w:rPr>
                <w:color w:val="555555"/>
                <w:sz w:val="19"/>
                <w:szCs w:val="19"/>
              </w:rPr>
              <w:t>Processo: REsp 2.204.798-TO   |   Relator: Min. Nancy Andrighi   |   Data: 10/06/2025</w:t>
            </w:r>
          </w:p>
          <w:p w14:paraId="1AC0182B" w14:textId="77777777" w:rsidR="00B874B0" w:rsidRDefault="00000000">
            <w:pPr>
              <w:spacing w:after="100"/>
            </w:pPr>
            <w:r>
              <w:rPr>
                <w:i/>
                <w:iCs/>
                <w:color w:val="555555"/>
                <w:sz w:val="19"/>
                <w:szCs w:val="19"/>
              </w:rPr>
              <w:t>Sistemática: Caso isolado (Info 26 — Edição Extraordinária)</w:t>
            </w:r>
          </w:p>
          <w:p w14:paraId="566BDD19" w14:textId="77777777" w:rsidR="00B874B0" w:rsidRDefault="00000000">
            <w:pPr>
              <w:spacing w:after="100"/>
            </w:pPr>
            <w:r>
              <w:rPr>
                <w:b/>
                <w:bCs/>
              </w:rPr>
              <w:t xml:space="preserve">TESE FIXADA / DECISÃO: </w:t>
            </w:r>
            <w:r>
              <w:t>O imóvel doado pelo Poder Público em programa habitacional, ainda que escriturado em nome de apenas um dos cônjuges, comunica-se na partilha (comunhão parcial), por se destinar à entidade familiar, excetuando-se a regra geral do art. 1.659, I, do CC (doações exclusivas não comunicáveis).</w:t>
            </w:r>
          </w:p>
          <w:p w14:paraId="030DD9C2" w14:textId="77777777" w:rsidR="00B874B0" w:rsidRDefault="00000000">
            <w:pPr>
              <w:spacing w:after="100"/>
            </w:pPr>
            <w:r>
              <w:rPr>
                <w:b/>
                <w:bCs/>
              </w:rPr>
              <w:t xml:space="preserve">RESUMO DO CASO: </w:t>
            </w:r>
            <w:r>
              <w:t>Imóvel concedido por política pública habitacional, considerando renda familiar e número de dependentes, foi registrado em nome de apenas um cônjuge. No divórcio, discutiu-se se seria doação exclusiva (incomunicável, art. 1.659, I) ou bem comum. O STJ reconheceu o esforço comum implícito no critério de concessão do benefício e determinou a partilha.</w:t>
            </w:r>
          </w:p>
          <w:p w14:paraId="45679A81" w14:textId="77777777" w:rsidR="00B874B0" w:rsidRDefault="00000000">
            <w:pPr>
              <w:spacing w:after="40"/>
            </w:pPr>
            <w:r>
              <w:rPr>
                <w:b/>
                <w:bCs/>
              </w:rPr>
              <w:t>COMO PODE SER COBRADO EM PROVA:</w:t>
            </w:r>
          </w:p>
          <w:p w14:paraId="329F1518" w14:textId="77777777" w:rsidR="00B874B0" w:rsidRDefault="00000000">
            <w:pPr>
              <w:pStyle w:val="PargrafodaLista"/>
              <w:numPr>
                <w:ilvl w:val="0"/>
                <w:numId w:val="2"/>
              </w:numPr>
              <w:spacing w:after="40"/>
            </w:pPr>
            <w:r>
              <w:rPr>
                <w:b/>
                <w:bCs/>
                <w:i/>
                <w:iCs/>
              </w:rPr>
              <w:t xml:space="preserve">Objetiva: </w:t>
            </w:r>
            <w:r>
              <w:t>exceção à regra de incomunicabilidade das doações exclusivas (art. 1.659, I) — pegadinha.</w:t>
            </w:r>
          </w:p>
          <w:p w14:paraId="1BF8F61D" w14:textId="77777777" w:rsidR="00B874B0" w:rsidRDefault="00000000">
            <w:pPr>
              <w:pStyle w:val="PargrafodaLista"/>
              <w:numPr>
                <w:ilvl w:val="0"/>
                <w:numId w:val="2"/>
              </w:numPr>
              <w:spacing w:after="40"/>
            </w:pPr>
            <w:r>
              <w:rPr>
                <w:b/>
                <w:bCs/>
                <w:i/>
                <w:iCs/>
              </w:rPr>
              <w:t xml:space="preserve">Discursiva/Sentença: </w:t>
            </w:r>
            <w:r>
              <w:t>parecer sobre partilha de bem oriundo de programa habitacional.</w:t>
            </w:r>
          </w:p>
          <w:p w14:paraId="39067972" w14:textId="77777777" w:rsidR="00B874B0" w:rsidRDefault="00000000">
            <w:pPr>
              <w:pStyle w:val="PargrafodaLista"/>
              <w:numPr>
                <w:ilvl w:val="0"/>
                <w:numId w:val="2"/>
              </w:numPr>
              <w:spacing w:after="100"/>
            </w:pPr>
            <w:r>
              <w:rPr>
                <w:b/>
                <w:bCs/>
                <w:i/>
                <w:iCs/>
              </w:rPr>
              <w:t xml:space="preserve">Oral: </w:t>
            </w:r>
            <w:r>
              <w:t>fundamento social (direito à moradia da família) da exceção.</w:t>
            </w:r>
          </w:p>
          <w:p w14:paraId="486DEC1F" w14:textId="77777777" w:rsidR="00B874B0" w:rsidRDefault="00000000">
            <w:r>
              <w:rPr>
                <w:b/>
                <w:bCs/>
                <w:color w:val="A9762F"/>
              </w:rPr>
              <w:t xml:space="preserve">CONEXÕES: </w:t>
            </w:r>
            <w:r>
              <w:rPr>
                <w:i/>
                <w:iCs/>
              </w:rPr>
              <w:t>art. 1.659, I, do CC; REsp 2.126.992-DF (presunção de comunhão da construção).</w:t>
            </w:r>
          </w:p>
        </w:tc>
      </w:tr>
    </w:tbl>
    <w:p w14:paraId="22012F6E" w14:textId="77777777" w:rsidR="00B874B0" w:rsidRDefault="00B874B0">
      <w:pPr>
        <w:spacing w:after="160"/>
      </w:pPr>
    </w:p>
    <w:tbl>
      <w:tblPr>
        <w:tblW w:w="5000" w:type="pct"/>
        <w:tblBorders>
          <w:top w:val="single" w:sz="8" w:space="0" w:color="C9B78C"/>
          <w:left w:val="single" w:sz="8" w:space="0" w:color="C9B78C"/>
          <w:bottom w:val="single" w:sz="8" w:space="0" w:color="C9B78C"/>
          <w:right w:val="single" w:sz="8" w:space="0" w:color="C9B78C"/>
        </w:tblBorders>
        <w:tblCellMar>
          <w:left w:w="10" w:type="dxa"/>
          <w:right w:w="10" w:type="dxa"/>
        </w:tblCellMar>
        <w:tblLook w:val="04A0" w:firstRow="1" w:lastRow="0" w:firstColumn="1" w:lastColumn="0" w:noHBand="0" w:noVBand="1"/>
      </w:tblPr>
      <w:tblGrid>
        <w:gridCol w:w="9726"/>
      </w:tblGrid>
      <w:tr w:rsidR="00B874B0" w14:paraId="6853C189" w14:textId="77777777">
        <w:tblPrEx>
          <w:tblCellMar>
            <w:top w:w="0" w:type="dxa"/>
            <w:bottom w:w="0" w:type="dxa"/>
          </w:tblCellMar>
        </w:tblPrEx>
        <w:tc>
          <w:tcPr>
            <w:tcW w:w="5000" w:type="pct"/>
            <w:shd w:val="clear" w:color="auto" w:fill="F6F1E8"/>
            <w:tcMar>
              <w:top w:w="160" w:type="dxa"/>
              <w:left w:w="200" w:type="dxa"/>
              <w:bottom w:w="160" w:type="dxa"/>
              <w:right w:w="200" w:type="dxa"/>
            </w:tcMar>
          </w:tcPr>
          <w:p w14:paraId="22855E2A" w14:textId="77777777" w:rsidR="00B874B0" w:rsidRDefault="00000000">
            <w:pPr>
              <w:pStyle w:val="Ttulo3"/>
              <w:spacing w:after="80"/>
            </w:pPr>
            <w:bookmarkStart w:id="21" w:name="_Toc236570075"/>
            <w:r>
              <w:t>Aluguel por uso exclusivo de imóvel comum é indevido em contexto de violência doméstica e cuidado dos filhos</w:t>
            </w:r>
            <w:bookmarkEnd w:id="21"/>
          </w:p>
          <w:p w14:paraId="717A2482" w14:textId="77777777" w:rsidR="00B874B0" w:rsidRDefault="00000000">
            <w:pPr>
              <w:spacing w:after="40"/>
            </w:pPr>
            <w:r>
              <w:rPr>
                <w:b/>
                <w:bCs/>
                <w:color w:val="555555"/>
                <w:sz w:val="19"/>
                <w:szCs w:val="19"/>
              </w:rPr>
              <w:t>Tribunal: STJ   |   Órgão: 3ª Turma</w:t>
            </w:r>
          </w:p>
          <w:p w14:paraId="75D7725B" w14:textId="77777777" w:rsidR="00B874B0" w:rsidRDefault="00000000">
            <w:pPr>
              <w:spacing w:after="40"/>
            </w:pPr>
            <w:r>
              <w:rPr>
                <w:color w:val="555555"/>
                <w:sz w:val="19"/>
                <w:szCs w:val="19"/>
              </w:rPr>
              <w:t>Processo: REsp 2.166.825-SC   |   Relator: Min. Nancy Andrighi   |   Data: 03/06/2025</w:t>
            </w:r>
          </w:p>
          <w:p w14:paraId="654AF2E2" w14:textId="77777777" w:rsidR="00B874B0" w:rsidRDefault="00000000">
            <w:pPr>
              <w:spacing w:after="100"/>
            </w:pPr>
            <w:r>
              <w:rPr>
                <w:i/>
                <w:iCs/>
                <w:color w:val="555555"/>
                <w:sz w:val="19"/>
                <w:szCs w:val="19"/>
              </w:rPr>
              <w:t>Sistemática: Caso isolado (Info 858)</w:t>
            </w:r>
          </w:p>
          <w:p w14:paraId="0754C29D" w14:textId="77777777" w:rsidR="00B874B0" w:rsidRDefault="00000000">
            <w:pPr>
              <w:spacing w:after="100"/>
            </w:pPr>
            <w:r>
              <w:rPr>
                <w:b/>
                <w:bCs/>
              </w:rPr>
              <w:t xml:space="preserve">TESE FIXADA / DECISÃO: </w:t>
            </w:r>
            <w:r>
              <w:t>É indevido o arbitramento de aluguel à ex-cônjuge/ex-companheira que, amparada por medida protetiva decorrente de violência doméstica, permanece na posse exclusiva do imóvel comum com os filhos, por não configurar enriquecimento sem causa.</w:t>
            </w:r>
          </w:p>
          <w:p w14:paraId="59BAB3D6" w14:textId="77777777" w:rsidR="00B874B0" w:rsidRDefault="00000000">
            <w:pPr>
              <w:spacing w:after="100"/>
            </w:pPr>
            <w:r>
              <w:rPr>
                <w:b/>
                <w:bCs/>
              </w:rPr>
              <w:t xml:space="preserve">RESUMO DO CASO: </w:t>
            </w:r>
            <w:r>
              <w:t>Após separação motivada por violência doméstica e concessão de medida protetiva de afastamento do agressor, a ex-esposa permaneceu no imóvel comum com o filho menor. Discutia-se se deveria pagar aluguel proporcional ao ex-marido coproprietário. O STJ negou, por reconhecer uso compartilhado com a prole e a vulnerabilidade socioeconômica da mulher.</w:t>
            </w:r>
          </w:p>
          <w:p w14:paraId="6A91F86C" w14:textId="77777777" w:rsidR="00B874B0" w:rsidRDefault="00000000">
            <w:pPr>
              <w:spacing w:after="40"/>
            </w:pPr>
            <w:r>
              <w:rPr>
                <w:b/>
                <w:bCs/>
              </w:rPr>
              <w:t>COMO PODE SER COBRADO EM PROVA:</w:t>
            </w:r>
          </w:p>
          <w:p w14:paraId="7CF445B6" w14:textId="77777777" w:rsidR="00B874B0" w:rsidRDefault="00000000">
            <w:pPr>
              <w:pStyle w:val="PargrafodaLista"/>
              <w:numPr>
                <w:ilvl w:val="0"/>
                <w:numId w:val="2"/>
              </w:numPr>
              <w:spacing w:after="40"/>
            </w:pPr>
            <w:r>
              <w:rPr>
                <w:b/>
                <w:bCs/>
                <w:i/>
                <w:iCs/>
              </w:rPr>
              <w:t xml:space="preserve">Objetiva: </w:t>
            </w:r>
            <w:r>
              <w:t>hipótese excepcional de não arbitramento de aluguel por uso exclusivo de bem comum — tema de alta atualidade, com viés de gênero.</w:t>
            </w:r>
          </w:p>
          <w:p w14:paraId="42234856" w14:textId="77777777" w:rsidR="00B874B0" w:rsidRDefault="00000000">
            <w:pPr>
              <w:pStyle w:val="PargrafodaLista"/>
              <w:numPr>
                <w:ilvl w:val="0"/>
                <w:numId w:val="2"/>
              </w:numPr>
              <w:spacing w:after="40"/>
            </w:pPr>
            <w:r>
              <w:rPr>
                <w:b/>
                <w:bCs/>
                <w:i/>
                <w:iCs/>
              </w:rPr>
              <w:t xml:space="preserve">Discursiva/Sentença: </w:t>
            </w:r>
            <w:r>
              <w:t>sentença de partilha considerando o contexto de violência doméstica.</w:t>
            </w:r>
          </w:p>
          <w:p w14:paraId="5E9AD066" w14:textId="77777777" w:rsidR="00B874B0" w:rsidRDefault="00000000">
            <w:pPr>
              <w:pStyle w:val="PargrafodaLista"/>
              <w:numPr>
                <w:ilvl w:val="0"/>
                <w:numId w:val="2"/>
              </w:numPr>
              <w:spacing w:after="100"/>
            </w:pPr>
            <w:r>
              <w:rPr>
                <w:b/>
                <w:bCs/>
                <w:i/>
                <w:iCs/>
              </w:rPr>
              <w:t xml:space="preserve">Oral: </w:t>
            </w:r>
            <w:r>
              <w:t>interseção entre Direito de Família patrimonial e a Lei Maria da Penha.</w:t>
            </w:r>
          </w:p>
          <w:p w14:paraId="7439CBFE" w14:textId="77777777" w:rsidR="00B874B0" w:rsidRDefault="00000000">
            <w:r>
              <w:rPr>
                <w:b/>
                <w:bCs/>
                <w:color w:val="A9762F"/>
              </w:rPr>
              <w:t xml:space="preserve">CONEXÕES: </w:t>
            </w:r>
            <w:r>
              <w:rPr>
                <w:i/>
                <w:iCs/>
              </w:rPr>
              <w:t>Lei Maria da Penha (art. 14-A); regra geral de arbitramento de aluguel por uso exclusivo de bem comum em condomínio pós-divórcio.</w:t>
            </w:r>
          </w:p>
        </w:tc>
      </w:tr>
    </w:tbl>
    <w:p w14:paraId="7034A51E" w14:textId="77777777" w:rsidR="00B874B0" w:rsidRDefault="00B874B0">
      <w:pPr>
        <w:spacing w:after="160"/>
      </w:pPr>
    </w:p>
    <w:tbl>
      <w:tblPr>
        <w:tblW w:w="5000" w:type="pct"/>
        <w:tblBorders>
          <w:top w:val="single" w:sz="8" w:space="0" w:color="C9B78C"/>
          <w:left w:val="single" w:sz="8" w:space="0" w:color="C9B78C"/>
          <w:bottom w:val="single" w:sz="8" w:space="0" w:color="C9B78C"/>
          <w:right w:val="single" w:sz="8" w:space="0" w:color="C9B78C"/>
        </w:tblBorders>
        <w:tblCellMar>
          <w:left w:w="10" w:type="dxa"/>
          <w:right w:w="10" w:type="dxa"/>
        </w:tblCellMar>
        <w:tblLook w:val="04A0" w:firstRow="1" w:lastRow="0" w:firstColumn="1" w:lastColumn="0" w:noHBand="0" w:noVBand="1"/>
      </w:tblPr>
      <w:tblGrid>
        <w:gridCol w:w="9726"/>
      </w:tblGrid>
      <w:tr w:rsidR="00B874B0" w14:paraId="1720B947" w14:textId="77777777">
        <w:tblPrEx>
          <w:tblCellMar>
            <w:top w:w="0" w:type="dxa"/>
            <w:bottom w:w="0" w:type="dxa"/>
          </w:tblCellMar>
        </w:tblPrEx>
        <w:tc>
          <w:tcPr>
            <w:tcW w:w="5000" w:type="pct"/>
            <w:shd w:val="clear" w:color="auto" w:fill="F6F1E8"/>
            <w:tcMar>
              <w:top w:w="160" w:type="dxa"/>
              <w:left w:w="200" w:type="dxa"/>
              <w:bottom w:w="160" w:type="dxa"/>
              <w:right w:w="200" w:type="dxa"/>
            </w:tcMar>
          </w:tcPr>
          <w:p w14:paraId="2EAF75DF" w14:textId="77777777" w:rsidR="00B874B0" w:rsidRDefault="00000000">
            <w:pPr>
              <w:pStyle w:val="Ttulo3"/>
              <w:spacing w:after="80"/>
            </w:pPr>
            <w:bookmarkStart w:id="22" w:name="_Toc236570076"/>
            <w:r>
              <w:t>Partilha de bens é direito potestativo, não sujeito a prescrição ou decadência</w:t>
            </w:r>
            <w:bookmarkEnd w:id="22"/>
          </w:p>
          <w:p w14:paraId="1C49BD29" w14:textId="77777777" w:rsidR="00B874B0" w:rsidRDefault="00000000">
            <w:pPr>
              <w:spacing w:after="40"/>
            </w:pPr>
            <w:r>
              <w:rPr>
                <w:b/>
                <w:bCs/>
                <w:color w:val="555555"/>
                <w:sz w:val="19"/>
                <w:szCs w:val="19"/>
              </w:rPr>
              <w:t>Tribunal: STJ   |   Órgão: 4ª Turma</w:t>
            </w:r>
          </w:p>
          <w:p w14:paraId="53EA9CDE" w14:textId="77777777" w:rsidR="00B874B0" w:rsidRDefault="00000000">
            <w:pPr>
              <w:spacing w:after="40"/>
            </w:pPr>
            <w:r>
              <w:rPr>
                <w:color w:val="555555"/>
                <w:sz w:val="19"/>
                <w:szCs w:val="19"/>
              </w:rPr>
              <w:t>Processo: REsp 1.817.812-SP   |   Relator: Min. Marco Buzzi   |   Data: 03/09/2024</w:t>
            </w:r>
          </w:p>
          <w:p w14:paraId="6A90DBB8" w14:textId="77777777" w:rsidR="00B874B0" w:rsidRDefault="00000000">
            <w:pPr>
              <w:spacing w:after="100"/>
            </w:pPr>
            <w:r>
              <w:rPr>
                <w:i/>
                <w:iCs/>
                <w:color w:val="555555"/>
                <w:sz w:val="19"/>
                <w:szCs w:val="19"/>
              </w:rPr>
              <w:t>Sistemática: Caso isolado (Info 824)</w:t>
            </w:r>
          </w:p>
          <w:p w14:paraId="524A1156" w14:textId="77777777" w:rsidR="00B874B0" w:rsidRDefault="00000000">
            <w:pPr>
              <w:spacing w:after="100"/>
            </w:pPr>
            <w:r>
              <w:rPr>
                <w:b/>
                <w:bCs/>
              </w:rPr>
              <w:t xml:space="preserve">TESE FIXADA / DECISÃO: </w:t>
            </w:r>
            <w:r>
              <w:t>A partilha de bens constitui direito potestativo dos ex-cônjuges, não se sujeitando a prazo prescricional nem decadencial, podendo ser exercida a qualquer tempo, independentemente da vontade do outro cônjuge.</w:t>
            </w:r>
          </w:p>
          <w:p w14:paraId="7E87F4DE" w14:textId="77777777" w:rsidR="00B874B0" w:rsidRDefault="00000000">
            <w:pPr>
              <w:spacing w:after="100"/>
            </w:pPr>
            <w:r>
              <w:rPr>
                <w:b/>
                <w:bCs/>
              </w:rPr>
              <w:t xml:space="preserve">RESUMO DO CASO: </w:t>
            </w:r>
            <w:r>
              <w:t>Discutiu-se eventual prescrição/decadência da pretensão de partilhar bens não partilhados por ocasião do divórcio. O STJ reafirmou a natureza potestativa da partilha (poder de dissolver a universalidade de bens), afastando qualquer prazo extintivo.</w:t>
            </w:r>
          </w:p>
          <w:p w14:paraId="40C9E6AE" w14:textId="77777777" w:rsidR="00B874B0" w:rsidRDefault="00000000">
            <w:pPr>
              <w:spacing w:after="40"/>
            </w:pPr>
            <w:r>
              <w:rPr>
                <w:b/>
                <w:bCs/>
              </w:rPr>
              <w:t>COMO PODE SER COBRADO EM PROVA:</w:t>
            </w:r>
          </w:p>
          <w:p w14:paraId="1CA368C5" w14:textId="77777777" w:rsidR="00B874B0" w:rsidRDefault="00000000">
            <w:pPr>
              <w:pStyle w:val="PargrafodaLista"/>
              <w:numPr>
                <w:ilvl w:val="0"/>
                <w:numId w:val="2"/>
              </w:numPr>
              <w:spacing w:after="40"/>
            </w:pPr>
            <w:r>
              <w:rPr>
                <w:b/>
                <w:bCs/>
                <w:i/>
                <w:iCs/>
              </w:rPr>
              <w:t xml:space="preserve">Objetiva: </w:t>
            </w:r>
            <w:r>
              <w:t>distinção entre direitos potestativos (sem prazo, salvo decadência legal expressa) e direitos a prestação (sujeitos a prescrição), aplicada à partilha.</w:t>
            </w:r>
          </w:p>
          <w:p w14:paraId="43F712F3" w14:textId="77777777" w:rsidR="00B874B0" w:rsidRDefault="00000000">
            <w:pPr>
              <w:pStyle w:val="PargrafodaLista"/>
              <w:numPr>
                <w:ilvl w:val="0"/>
                <w:numId w:val="2"/>
              </w:numPr>
              <w:spacing w:after="40"/>
            </w:pPr>
            <w:r>
              <w:rPr>
                <w:b/>
                <w:bCs/>
                <w:i/>
                <w:iCs/>
              </w:rPr>
              <w:t xml:space="preserve">Discursiva/Sentença: </w:t>
            </w:r>
            <w:r>
              <w:t>caso de partilha ajuizada anos após o divórcio — analisar eventual prescrição.</w:t>
            </w:r>
          </w:p>
          <w:p w14:paraId="789ED5C2" w14:textId="77777777" w:rsidR="00B874B0" w:rsidRDefault="00000000">
            <w:pPr>
              <w:pStyle w:val="PargrafodaLista"/>
              <w:numPr>
                <w:ilvl w:val="0"/>
                <w:numId w:val="2"/>
              </w:numPr>
              <w:spacing w:after="100"/>
            </w:pPr>
            <w:r>
              <w:rPr>
                <w:b/>
                <w:bCs/>
                <w:i/>
                <w:iCs/>
              </w:rPr>
              <w:t xml:space="preserve">Oral: </w:t>
            </w:r>
            <w:r>
              <w:t>conceito de direito potestativo e ausência de pretensão exigível.</w:t>
            </w:r>
          </w:p>
          <w:p w14:paraId="007B5962" w14:textId="77777777" w:rsidR="00B874B0" w:rsidRDefault="00000000">
            <w:r>
              <w:rPr>
                <w:b/>
                <w:bCs/>
                <w:color w:val="A9762F"/>
              </w:rPr>
              <w:t xml:space="preserve">CONEXÕES: </w:t>
            </w:r>
            <w:r>
              <w:rPr>
                <w:i/>
                <w:iCs/>
              </w:rPr>
              <w:t>REsp 2.206.085-RJ (forma da partilha); art. 1.581 do CC (divórcio sem prévia partilha).</w:t>
            </w:r>
          </w:p>
        </w:tc>
      </w:tr>
    </w:tbl>
    <w:p w14:paraId="5D70A6DE" w14:textId="77777777" w:rsidR="00B874B0" w:rsidRDefault="00B874B0">
      <w:pPr>
        <w:spacing w:after="160"/>
      </w:pPr>
    </w:p>
    <w:p w14:paraId="45BE8254" w14:textId="77777777" w:rsidR="00B874B0" w:rsidRDefault="00000000">
      <w:pPr>
        <w:pStyle w:val="Ttulo2"/>
        <w:spacing w:after="160"/>
      </w:pPr>
      <w:bookmarkStart w:id="23" w:name="_Toc236570077"/>
      <w:r>
        <w:t>UNIÃO ESTÁVEL (incluindo homoafetiva)</w:t>
      </w:r>
      <w:bookmarkEnd w:id="23"/>
    </w:p>
    <w:tbl>
      <w:tblPr>
        <w:tblW w:w="5000" w:type="pct"/>
        <w:tblBorders>
          <w:top w:val="single" w:sz="8" w:space="0" w:color="C9B78C"/>
          <w:left w:val="single" w:sz="8" w:space="0" w:color="C9B78C"/>
          <w:bottom w:val="single" w:sz="8" w:space="0" w:color="C9B78C"/>
          <w:right w:val="single" w:sz="8" w:space="0" w:color="C9B78C"/>
        </w:tblBorders>
        <w:tblCellMar>
          <w:left w:w="10" w:type="dxa"/>
          <w:right w:w="10" w:type="dxa"/>
        </w:tblCellMar>
        <w:tblLook w:val="04A0" w:firstRow="1" w:lastRow="0" w:firstColumn="1" w:lastColumn="0" w:noHBand="0" w:noVBand="1"/>
      </w:tblPr>
      <w:tblGrid>
        <w:gridCol w:w="9726"/>
      </w:tblGrid>
      <w:tr w:rsidR="00B874B0" w14:paraId="345A84ED" w14:textId="77777777">
        <w:tblPrEx>
          <w:tblCellMar>
            <w:top w:w="0" w:type="dxa"/>
            <w:bottom w:w="0" w:type="dxa"/>
          </w:tblCellMar>
        </w:tblPrEx>
        <w:tc>
          <w:tcPr>
            <w:tcW w:w="5000" w:type="pct"/>
            <w:shd w:val="clear" w:color="auto" w:fill="F6F1E8"/>
            <w:tcMar>
              <w:top w:w="160" w:type="dxa"/>
              <w:left w:w="200" w:type="dxa"/>
              <w:bottom w:w="160" w:type="dxa"/>
              <w:right w:w="200" w:type="dxa"/>
            </w:tcMar>
          </w:tcPr>
          <w:p w14:paraId="389AB36C" w14:textId="77777777" w:rsidR="00B874B0" w:rsidRDefault="00000000">
            <w:pPr>
              <w:pStyle w:val="Ttulo3"/>
              <w:spacing w:after="80"/>
            </w:pPr>
            <w:bookmarkStart w:id="24" w:name="_Toc236570078"/>
            <w:r>
              <w:t>Relativização da publicidade para reconhecimento de união estável homoafetiva</w:t>
            </w:r>
            <w:bookmarkEnd w:id="24"/>
          </w:p>
          <w:p w14:paraId="21E20716" w14:textId="77777777" w:rsidR="00B874B0" w:rsidRDefault="00000000">
            <w:pPr>
              <w:spacing w:after="40"/>
            </w:pPr>
            <w:r>
              <w:rPr>
                <w:b/>
                <w:bCs/>
                <w:color w:val="555555"/>
                <w:sz w:val="19"/>
                <w:szCs w:val="19"/>
              </w:rPr>
              <w:t>Tribunal: STJ   |   Órgão: 3ª Turma</w:t>
            </w:r>
          </w:p>
          <w:p w14:paraId="77368A17" w14:textId="77777777" w:rsidR="00B874B0" w:rsidRDefault="00000000">
            <w:pPr>
              <w:spacing w:after="40"/>
            </w:pPr>
            <w:r>
              <w:rPr>
                <w:color w:val="555555"/>
                <w:sz w:val="19"/>
                <w:szCs w:val="19"/>
              </w:rPr>
              <w:t>Processo: REsp 2.203.770-GO   |   Relator: Min. Nancy Andrighi   |   Data: 04/11/2025</w:t>
            </w:r>
          </w:p>
          <w:p w14:paraId="025C8FEB" w14:textId="77777777" w:rsidR="00B874B0" w:rsidRDefault="00000000">
            <w:pPr>
              <w:spacing w:after="100"/>
            </w:pPr>
            <w:r>
              <w:rPr>
                <w:i/>
                <w:iCs/>
                <w:color w:val="555555"/>
                <w:sz w:val="19"/>
                <w:szCs w:val="19"/>
              </w:rPr>
              <w:t>Sistemática: Caso isolado (Info 873)</w:t>
            </w:r>
          </w:p>
          <w:p w14:paraId="3409CBB7" w14:textId="77777777" w:rsidR="00B874B0" w:rsidRDefault="00000000">
            <w:pPr>
              <w:spacing w:after="100"/>
            </w:pPr>
            <w:r>
              <w:rPr>
                <w:b/>
                <w:bCs/>
              </w:rPr>
              <w:t xml:space="preserve">TESE FIXADA / DECISÃO: </w:t>
            </w:r>
            <w:r>
              <w:t>O requisito da publicidade (art. 1.723 do CC) para reconhecimento de união estável homoafetiva pode ser relativizado à luz da isonomia, dignidade, liberdade sexual e intimidade, sobretudo em uniões antigas marcadas por discrição decorrente de preconceito social; publicidade não se confunde com exposição pública ampla, bastando ausência de clandestinidade.</w:t>
            </w:r>
          </w:p>
          <w:p w14:paraId="76D8FECD" w14:textId="77777777" w:rsidR="00B874B0" w:rsidRDefault="00000000">
            <w:pPr>
              <w:spacing w:after="100"/>
            </w:pPr>
            <w:r>
              <w:rPr>
                <w:b/>
                <w:bCs/>
              </w:rPr>
              <w:t xml:space="preserve">RESUMO DO CASO: </w:t>
            </w:r>
            <w:r>
              <w:t>Casal de mulheres viveu junto por mais de 30 anos, mantendo relacionamento discreto por preconceito das décadas de 1980–1990. Após a morte de uma delas, sem herdeiros necessários, a companheira sobrevivente pediu reconhecimento de união estável post mortem; parentes colaterais alegaram ausência de publicidade. O STJ reconheceu a união, relativizando a publicidade dado o contexto histórico-social.</w:t>
            </w:r>
          </w:p>
          <w:p w14:paraId="7DB3EEB6" w14:textId="77777777" w:rsidR="00B874B0" w:rsidRDefault="00000000">
            <w:pPr>
              <w:spacing w:after="40"/>
            </w:pPr>
            <w:r>
              <w:rPr>
                <w:b/>
                <w:bCs/>
              </w:rPr>
              <w:t>COMO PODE SER COBRADO EM PROVA:</w:t>
            </w:r>
          </w:p>
          <w:p w14:paraId="7AD9C036" w14:textId="77777777" w:rsidR="00B874B0" w:rsidRDefault="00000000">
            <w:pPr>
              <w:pStyle w:val="PargrafodaLista"/>
              <w:numPr>
                <w:ilvl w:val="0"/>
                <w:numId w:val="2"/>
              </w:numPr>
              <w:spacing w:after="40"/>
            </w:pPr>
            <w:r>
              <w:rPr>
                <w:b/>
                <w:bCs/>
                <w:i/>
                <w:iCs/>
              </w:rPr>
              <w:t xml:space="preserve">Objetiva: </w:t>
            </w:r>
            <w:r>
              <w:t>tema FGV explícito — "publicidade como requisito e sua relativização em uniões homoafetivas antigas".</w:t>
            </w:r>
          </w:p>
          <w:p w14:paraId="0EAFE0D0" w14:textId="77777777" w:rsidR="00B874B0" w:rsidRDefault="00000000">
            <w:pPr>
              <w:pStyle w:val="PargrafodaLista"/>
              <w:numPr>
                <w:ilvl w:val="0"/>
                <w:numId w:val="2"/>
              </w:numPr>
              <w:spacing w:after="40"/>
            </w:pPr>
            <w:r>
              <w:rPr>
                <w:b/>
                <w:bCs/>
                <w:i/>
                <w:iCs/>
              </w:rPr>
              <w:t xml:space="preserve">Discursiva/Sentença: </w:t>
            </w:r>
            <w:r>
              <w:t>sentença reconhecendo união estável homoafetiva post mortem com discrição justificada pelo contexto social.</w:t>
            </w:r>
          </w:p>
          <w:p w14:paraId="0C505585" w14:textId="77777777" w:rsidR="00B874B0" w:rsidRDefault="00000000">
            <w:pPr>
              <w:pStyle w:val="PargrafodaLista"/>
              <w:numPr>
                <w:ilvl w:val="0"/>
                <w:numId w:val="2"/>
              </w:numPr>
              <w:spacing w:after="100"/>
            </w:pPr>
            <w:r>
              <w:rPr>
                <w:b/>
                <w:bCs/>
                <w:i/>
                <w:iCs/>
              </w:rPr>
              <w:t xml:space="preserve">Oral: </w:t>
            </w:r>
            <w:r>
              <w:t>requisitos do art. 1.723 do CC e sua leitura à luz de direitos fundamentais.</w:t>
            </w:r>
          </w:p>
          <w:p w14:paraId="00ED8D83" w14:textId="77777777" w:rsidR="00B874B0" w:rsidRDefault="00000000">
            <w:r>
              <w:rPr>
                <w:b/>
                <w:bCs/>
                <w:color w:val="A9762F"/>
              </w:rPr>
              <w:t xml:space="preserve">CONEXÕES: </w:t>
            </w:r>
            <w:r>
              <w:rPr>
                <w:i/>
                <w:iCs/>
              </w:rPr>
              <w:t>art. 1.723 do CC; REsp 1.791.674-MG (legitimidade de herdeiro para ação de reconhecimento post mortem); ADPF 132/ADI 4277-STF (reconhecimento da união homoafetiva).</w:t>
            </w:r>
          </w:p>
        </w:tc>
      </w:tr>
    </w:tbl>
    <w:p w14:paraId="0FAA43A1" w14:textId="77777777" w:rsidR="00B874B0" w:rsidRDefault="00B874B0">
      <w:pPr>
        <w:spacing w:after="160"/>
      </w:pPr>
    </w:p>
    <w:tbl>
      <w:tblPr>
        <w:tblW w:w="5000" w:type="pct"/>
        <w:tblBorders>
          <w:top w:val="single" w:sz="8" w:space="0" w:color="C9B78C"/>
          <w:left w:val="single" w:sz="8" w:space="0" w:color="C9B78C"/>
          <w:bottom w:val="single" w:sz="8" w:space="0" w:color="C9B78C"/>
          <w:right w:val="single" w:sz="8" w:space="0" w:color="C9B78C"/>
        </w:tblBorders>
        <w:tblCellMar>
          <w:left w:w="10" w:type="dxa"/>
          <w:right w:w="10" w:type="dxa"/>
        </w:tblCellMar>
        <w:tblLook w:val="04A0" w:firstRow="1" w:lastRow="0" w:firstColumn="1" w:lastColumn="0" w:noHBand="0" w:noVBand="1"/>
      </w:tblPr>
      <w:tblGrid>
        <w:gridCol w:w="9726"/>
      </w:tblGrid>
      <w:tr w:rsidR="00B874B0" w14:paraId="3186282D" w14:textId="77777777">
        <w:tblPrEx>
          <w:tblCellMar>
            <w:top w:w="0" w:type="dxa"/>
            <w:bottom w:w="0" w:type="dxa"/>
          </w:tblCellMar>
        </w:tblPrEx>
        <w:tc>
          <w:tcPr>
            <w:tcW w:w="5000" w:type="pct"/>
            <w:shd w:val="clear" w:color="auto" w:fill="F6F1E8"/>
            <w:tcMar>
              <w:top w:w="160" w:type="dxa"/>
              <w:left w:w="200" w:type="dxa"/>
              <w:bottom w:w="160" w:type="dxa"/>
              <w:right w:w="200" w:type="dxa"/>
            </w:tcMar>
          </w:tcPr>
          <w:p w14:paraId="11F13A11" w14:textId="77777777" w:rsidR="00B874B0" w:rsidRDefault="00000000">
            <w:pPr>
              <w:pStyle w:val="Ttulo3"/>
              <w:spacing w:after="80"/>
            </w:pPr>
            <w:bookmarkStart w:id="25" w:name="_Toc236570079"/>
            <w:r>
              <w:t>Partilha excepcional em união estável sob separação convencional, comprovado esforço comum</w:t>
            </w:r>
            <w:bookmarkEnd w:id="25"/>
          </w:p>
          <w:p w14:paraId="6E4D4D57" w14:textId="77777777" w:rsidR="00B874B0" w:rsidRDefault="00000000">
            <w:pPr>
              <w:spacing w:after="40"/>
            </w:pPr>
            <w:r>
              <w:rPr>
                <w:b/>
                <w:bCs/>
                <w:color w:val="555555"/>
                <w:sz w:val="19"/>
                <w:szCs w:val="19"/>
              </w:rPr>
              <w:t>Tribunal: STJ   |   Órgão: 3ª Turma</w:t>
            </w:r>
          </w:p>
          <w:p w14:paraId="269CFCC7" w14:textId="77777777" w:rsidR="00B874B0" w:rsidRDefault="00000000">
            <w:pPr>
              <w:spacing w:after="40"/>
            </w:pPr>
            <w:r>
              <w:rPr>
                <w:color w:val="555555"/>
                <w:sz w:val="19"/>
                <w:szCs w:val="19"/>
              </w:rPr>
              <w:t>Processo: REsp 2.219.797-DF   |   Relator: Min. Ricardo Villas Bôas Cueva   |   Data: 09/09/2025</w:t>
            </w:r>
          </w:p>
          <w:p w14:paraId="6F9A2B64" w14:textId="77777777" w:rsidR="00B874B0" w:rsidRDefault="00000000">
            <w:pPr>
              <w:spacing w:after="100"/>
            </w:pPr>
            <w:r>
              <w:rPr>
                <w:i/>
                <w:iCs/>
                <w:color w:val="555555"/>
                <w:sz w:val="19"/>
                <w:szCs w:val="19"/>
              </w:rPr>
              <w:lastRenderedPageBreak/>
              <w:t>Sistemática: Caso isolado (Info 29 — Edição Extraordinária)</w:t>
            </w:r>
          </w:p>
          <w:p w14:paraId="087F9803" w14:textId="77777777" w:rsidR="00B874B0" w:rsidRDefault="00000000">
            <w:pPr>
              <w:spacing w:after="100"/>
            </w:pPr>
            <w:r>
              <w:rPr>
                <w:b/>
                <w:bCs/>
              </w:rPr>
              <w:t xml:space="preserve">TESE FIXADA / DECISÃO: </w:t>
            </w:r>
            <w:r>
              <w:t>No regime de separação convencional de bens da união estável, não há, em regra, partilha (nem sociedade de fato); excepcionalmente, é possível a partilha proporcional de bens adquiridos conjuntamente, desde que comprovado o esforço comum, para evitar enriquecimento sem causa. A Súmula 377-STF não se aplica à separação convencional (fica restrita à obrigatória).</w:t>
            </w:r>
          </w:p>
          <w:p w14:paraId="21F76829" w14:textId="77777777" w:rsidR="00B874B0" w:rsidRDefault="00000000">
            <w:pPr>
              <w:spacing w:after="100"/>
            </w:pPr>
            <w:r>
              <w:rPr>
                <w:b/>
                <w:bCs/>
              </w:rPr>
              <w:t xml:space="preserve">RESUMO DO CASO: </w:t>
            </w:r>
            <w:r>
              <w:t>Casal em união estável escolheu, por escritura pública, separação convencional de bens; ao longo da convivência, adquiriram imóveis registrados só em nome do companheiro, mas a companheira comprovou contribuição financeira relevante. Ao fim da união, ela pleiteou partilha proporcional; ele invocou a autonomia do regime escolhido. O STJ deu razão a ela, por comprovado esforço comum.</w:t>
            </w:r>
          </w:p>
          <w:p w14:paraId="2B63A1CC" w14:textId="77777777" w:rsidR="00B874B0" w:rsidRDefault="00000000">
            <w:pPr>
              <w:spacing w:after="40"/>
            </w:pPr>
            <w:r>
              <w:rPr>
                <w:b/>
                <w:bCs/>
              </w:rPr>
              <w:t>COMO PODE SER COBRADO EM PROVA:</w:t>
            </w:r>
          </w:p>
          <w:p w14:paraId="2842CBBA" w14:textId="77777777" w:rsidR="00B874B0" w:rsidRDefault="00000000">
            <w:pPr>
              <w:pStyle w:val="PargrafodaLista"/>
              <w:numPr>
                <w:ilvl w:val="0"/>
                <w:numId w:val="2"/>
              </w:numPr>
              <w:spacing w:after="40"/>
            </w:pPr>
            <w:r>
              <w:rPr>
                <w:b/>
                <w:bCs/>
                <w:i/>
                <w:iCs/>
              </w:rPr>
              <w:t xml:space="preserve">Objetiva: </w:t>
            </w:r>
            <w:r>
              <w:t>distinguir separação convencional (Súmula 377 NÃO se aplica) de separação obrigatória (Súmula 377 se aplica) — tema FGV explícito.</w:t>
            </w:r>
          </w:p>
          <w:p w14:paraId="258E7663" w14:textId="77777777" w:rsidR="00B874B0" w:rsidRDefault="00000000">
            <w:pPr>
              <w:pStyle w:val="PargrafodaLista"/>
              <w:numPr>
                <w:ilvl w:val="0"/>
                <w:numId w:val="2"/>
              </w:numPr>
              <w:spacing w:after="40"/>
            </w:pPr>
            <w:r>
              <w:rPr>
                <w:b/>
                <w:bCs/>
                <w:i/>
                <w:iCs/>
              </w:rPr>
              <w:t xml:space="preserve">Discursiva/Sentença: </w:t>
            </w:r>
            <w:r>
              <w:t>caso de partilha em união estável com regime de separação convencional pactuado.</w:t>
            </w:r>
          </w:p>
          <w:p w14:paraId="6560894E" w14:textId="77777777" w:rsidR="00B874B0" w:rsidRDefault="00000000">
            <w:pPr>
              <w:pStyle w:val="PargrafodaLista"/>
              <w:numPr>
                <w:ilvl w:val="0"/>
                <w:numId w:val="2"/>
              </w:numPr>
              <w:spacing w:after="100"/>
            </w:pPr>
            <w:r>
              <w:rPr>
                <w:b/>
                <w:bCs/>
                <w:i/>
                <w:iCs/>
              </w:rPr>
              <w:t xml:space="preserve">Oral: </w:t>
            </w:r>
            <w:r>
              <w:t>fundamento do esforço comum como exceção à autonomia do regime pactuado.</w:t>
            </w:r>
          </w:p>
          <w:p w14:paraId="43807144" w14:textId="77777777" w:rsidR="00B874B0" w:rsidRDefault="00000000">
            <w:r>
              <w:rPr>
                <w:b/>
                <w:bCs/>
                <w:color w:val="A9762F"/>
              </w:rPr>
              <w:t xml:space="preserve">CONEXÕES: </w:t>
            </w:r>
            <w:r>
              <w:rPr>
                <w:i/>
                <w:iCs/>
              </w:rPr>
              <w:t>tema FGV "Súmula 377 do STF... e sua NÃO aplicação à separação convencional"; contrato de convivência; REsp 1.852.363-SP (presunção de comunhão em união estável).</w:t>
            </w:r>
          </w:p>
        </w:tc>
      </w:tr>
    </w:tbl>
    <w:p w14:paraId="02C02476" w14:textId="77777777" w:rsidR="00B874B0" w:rsidRDefault="00B874B0">
      <w:pPr>
        <w:spacing w:after="160"/>
      </w:pPr>
    </w:p>
    <w:tbl>
      <w:tblPr>
        <w:tblW w:w="5000" w:type="pct"/>
        <w:tblBorders>
          <w:top w:val="single" w:sz="8" w:space="0" w:color="C9B78C"/>
          <w:left w:val="single" w:sz="8" w:space="0" w:color="C9B78C"/>
          <w:bottom w:val="single" w:sz="8" w:space="0" w:color="C9B78C"/>
          <w:right w:val="single" w:sz="8" w:space="0" w:color="C9B78C"/>
        </w:tblBorders>
        <w:tblCellMar>
          <w:left w:w="10" w:type="dxa"/>
          <w:right w:w="10" w:type="dxa"/>
        </w:tblCellMar>
        <w:tblLook w:val="04A0" w:firstRow="1" w:lastRow="0" w:firstColumn="1" w:lastColumn="0" w:noHBand="0" w:noVBand="1"/>
      </w:tblPr>
      <w:tblGrid>
        <w:gridCol w:w="9726"/>
      </w:tblGrid>
      <w:tr w:rsidR="00B874B0" w14:paraId="7A2ED232" w14:textId="77777777">
        <w:tblPrEx>
          <w:tblCellMar>
            <w:top w:w="0" w:type="dxa"/>
            <w:bottom w:w="0" w:type="dxa"/>
          </w:tblCellMar>
        </w:tblPrEx>
        <w:tc>
          <w:tcPr>
            <w:tcW w:w="5000" w:type="pct"/>
            <w:shd w:val="clear" w:color="auto" w:fill="F6F1E8"/>
            <w:tcMar>
              <w:top w:w="160" w:type="dxa"/>
              <w:left w:w="200" w:type="dxa"/>
              <w:bottom w:w="160" w:type="dxa"/>
              <w:right w:w="200" w:type="dxa"/>
            </w:tcMar>
          </w:tcPr>
          <w:p w14:paraId="20437BBD" w14:textId="77777777" w:rsidR="00B874B0" w:rsidRDefault="00000000">
            <w:pPr>
              <w:pStyle w:val="Ttulo3"/>
              <w:spacing w:after="80"/>
            </w:pPr>
            <w:bookmarkStart w:id="26" w:name="_Toc236570080"/>
            <w:r>
              <w:t>Súmula 655-STJ — regime de separação obrigatória na união estável de septuagenário</w:t>
            </w:r>
            <w:bookmarkEnd w:id="26"/>
          </w:p>
          <w:p w14:paraId="57EED655" w14:textId="77777777" w:rsidR="00B874B0" w:rsidRDefault="00000000">
            <w:pPr>
              <w:spacing w:after="40"/>
            </w:pPr>
            <w:r>
              <w:rPr>
                <w:b/>
                <w:bCs/>
                <w:color w:val="555555"/>
                <w:sz w:val="19"/>
                <w:szCs w:val="19"/>
              </w:rPr>
              <w:t>Tribunal: STJ   |   Órgão: 2ª Seção</w:t>
            </w:r>
          </w:p>
          <w:p w14:paraId="00A14F1A" w14:textId="77777777" w:rsidR="00B874B0" w:rsidRDefault="00000000">
            <w:pPr>
              <w:spacing w:after="40"/>
            </w:pPr>
            <w:r>
              <w:rPr>
                <w:color w:val="555555"/>
                <w:sz w:val="19"/>
                <w:szCs w:val="19"/>
              </w:rPr>
              <w:t>Processo: Súmula 655-STJ   |   Relator: [VERIFICAR — não informado na página]   |   Data: aprovada em 09/11/2022</w:t>
            </w:r>
          </w:p>
          <w:p w14:paraId="47645237" w14:textId="77777777" w:rsidR="00B874B0" w:rsidRDefault="00000000">
            <w:pPr>
              <w:spacing w:after="100"/>
            </w:pPr>
            <w:r>
              <w:rPr>
                <w:i/>
                <w:iCs/>
                <w:color w:val="555555"/>
                <w:sz w:val="19"/>
                <w:szCs w:val="19"/>
              </w:rPr>
              <w:t>Sistemática: Enunciado sumular (consolidação de jurisprudência)</w:t>
            </w:r>
          </w:p>
          <w:p w14:paraId="6EB2E38B" w14:textId="77777777" w:rsidR="00B874B0" w:rsidRDefault="00000000">
            <w:pPr>
              <w:spacing w:after="100"/>
            </w:pPr>
            <w:r>
              <w:rPr>
                <w:b/>
                <w:bCs/>
              </w:rPr>
              <w:t xml:space="preserve">TESE FIXADA / DECISÃO: </w:t>
            </w:r>
            <w:r>
              <w:t>"Aplica-se à união estável contraída por septuagenário o regime da separação obrigatória de bens, comunicando-se os adquiridos na constância, quando comprovado o esforço comum."</w:t>
            </w:r>
          </w:p>
          <w:p w14:paraId="5FD02F73" w14:textId="77777777" w:rsidR="00B874B0" w:rsidRDefault="00000000">
            <w:pPr>
              <w:spacing w:after="100"/>
            </w:pPr>
            <w:r>
              <w:rPr>
                <w:b/>
                <w:bCs/>
              </w:rPr>
              <w:t xml:space="preserve">RESUMO DO CASO: </w:t>
            </w:r>
            <w:r>
              <w:t>Consolidação do entendimento de que a limitação do art. 1.641, II, do CC (separação obrigatória para maiores de 70 anos) se estende à união estável, com a ressalva da comunicação dos bens adquiridos durante a convivência quando demonstrado esforço comum (aplicação da lógica da Súmula 377-STF).</w:t>
            </w:r>
          </w:p>
          <w:p w14:paraId="50B9349B" w14:textId="77777777" w:rsidR="00B874B0" w:rsidRDefault="00000000">
            <w:pPr>
              <w:spacing w:after="40"/>
            </w:pPr>
            <w:r>
              <w:rPr>
                <w:b/>
                <w:bCs/>
              </w:rPr>
              <w:t>COMO PODE SER COBRADO EM PROVA:</w:t>
            </w:r>
          </w:p>
          <w:p w14:paraId="6C23F260" w14:textId="77777777" w:rsidR="00B874B0" w:rsidRDefault="00000000">
            <w:pPr>
              <w:pStyle w:val="PargrafodaLista"/>
              <w:numPr>
                <w:ilvl w:val="0"/>
                <w:numId w:val="2"/>
              </w:numPr>
              <w:spacing w:after="40"/>
            </w:pPr>
            <w:r>
              <w:rPr>
                <w:b/>
                <w:bCs/>
                <w:i/>
                <w:iCs/>
              </w:rPr>
              <w:t xml:space="preserve">Objetiva: </w:t>
            </w:r>
            <w:r>
              <w:t>cobrança literal do enunciado — altíssima probabilidade.</w:t>
            </w:r>
          </w:p>
          <w:p w14:paraId="3A16456F" w14:textId="77777777" w:rsidR="00B874B0" w:rsidRDefault="00000000">
            <w:pPr>
              <w:pStyle w:val="PargrafodaLista"/>
              <w:numPr>
                <w:ilvl w:val="0"/>
                <w:numId w:val="2"/>
              </w:numPr>
              <w:spacing w:after="40"/>
            </w:pPr>
            <w:r>
              <w:rPr>
                <w:b/>
                <w:bCs/>
                <w:i/>
                <w:iCs/>
              </w:rPr>
              <w:t xml:space="preserve">Discursiva/Sentença: </w:t>
            </w:r>
            <w:r>
              <w:t>parecer sobre regime patrimonial de união estável envolvendo idosos.</w:t>
            </w:r>
          </w:p>
          <w:p w14:paraId="03729735" w14:textId="77777777" w:rsidR="00B874B0" w:rsidRDefault="00000000">
            <w:pPr>
              <w:pStyle w:val="PargrafodaLista"/>
              <w:numPr>
                <w:ilvl w:val="0"/>
                <w:numId w:val="2"/>
              </w:numPr>
              <w:spacing w:after="100"/>
            </w:pPr>
            <w:r>
              <w:rPr>
                <w:b/>
                <w:bCs/>
                <w:i/>
                <w:iCs/>
              </w:rPr>
              <w:t xml:space="preserve">Oral: </w:t>
            </w:r>
            <w:r>
              <w:t>leitura conjunta da Súmula 655-STJ com a Súmula 377-STF e com o Tema 1236-STF.</w:t>
            </w:r>
          </w:p>
          <w:p w14:paraId="5E1F8499" w14:textId="77777777" w:rsidR="00B874B0" w:rsidRDefault="00000000">
            <w:r>
              <w:rPr>
                <w:b/>
                <w:bCs/>
                <w:color w:val="A9762F"/>
              </w:rPr>
              <w:t xml:space="preserve">CONEXÕES: </w:t>
            </w:r>
            <w:r>
              <w:rPr>
                <w:i/>
                <w:iCs/>
              </w:rPr>
              <w:t>Súmula 377-STF; art. 1.641, II, do CC; ARE 1.309.642/SP (Tema 1236); REsp 1.922.347-PR.</w:t>
            </w:r>
          </w:p>
        </w:tc>
      </w:tr>
    </w:tbl>
    <w:p w14:paraId="7142C897" w14:textId="77777777" w:rsidR="00B874B0" w:rsidRDefault="00B874B0">
      <w:pPr>
        <w:spacing w:after="160"/>
      </w:pPr>
    </w:p>
    <w:tbl>
      <w:tblPr>
        <w:tblW w:w="5000" w:type="pct"/>
        <w:tblBorders>
          <w:top w:val="single" w:sz="8" w:space="0" w:color="C9B78C"/>
          <w:left w:val="single" w:sz="8" w:space="0" w:color="C9B78C"/>
          <w:bottom w:val="single" w:sz="8" w:space="0" w:color="C9B78C"/>
          <w:right w:val="single" w:sz="8" w:space="0" w:color="C9B78C"/>
        </w:tblBorders>
        <w:tblCellMar>
          <w:left w:w="10" w:type="dxa"/>
          <w:right w:w="10" w:type="dxa"/>
        </w:tblCellMar>
        <w:tblLook w:val="04A0" w:firstRow="1" w:lastRow="0" w:firstColumn="1" w:lastColumn="0" w:noHBand="0" w:noVBand="1"/>
      </w:tblPr>
      <w:tblGrid>
        <w:gridCol w:w="9726"/>
      </w:tblGrid>
      <w:tr w:rsidR="00B874B0" w14:paraId="6EEAE8A7" w14:textId="77777777">
        <w:tblPrEx>
          <w:tblCellMar>
            <w:top w:w="0" w:type="dxa"/>
            <w:bottom w:w="0" w:type="dxa"/>
          </w:tblCellMar>
        </w:tblPrEx>
        <w:tc>
          <w:tcPr>
            <w:tcW w:w="5000" w:type="pct"/>
            <w:shd w:val="clear" w:color="auto" w:fill="F6F1E8"/>
            <w:tcMar>
              <w:top w:w="160" w:type="dxa"/>
              <w:left w:w="200" w:type="dxa"/>
              <w:bottom w:w="160" w:type="dxa"/>
              <w:right w:w="200" w:type="dxa"/>
            </w:tcMar>
          </w:tcPr>
          <w:p w14:paraId="2A162F95" w14:textId="77777777" w:rsidR="00B874B0" w:rsidRDefault="00000000">
            <w:pPr>
              <w:pStyle w:val="Ttulo3"/>
              <w:spacing w:after="80"/>
            </w:pPr>
            <w:bookmarkStart w:id="27" w:name="_Toc236570081"/>
            <w:r>
              <w:t>Efeitos ex nunc da eleição de regime de bens por contrato de convivência (união estável)</w:t>
            </w:r>
            <w:bookmarkEnd w:id="27"/>
          </w:p>
          <w:p w14:paraId="302C422B" w14:textId="77777777" w:rsidR="00B874B0" w:rsidRDefault="00000000">
            <w:pPr>
              <w:spacing w:after="40"/>
            </w:pPr>
            <w:r>
              <w:rPr>
                <w:b/>
                <w:bCs/>
                <w:color w:val="555555"/>
                <w:sz w:val="19"/>
                <w:szCs w:val="19"/>
              </w:rPr>
              <w:t>Tribunal: STJ   |   Órgão: 4ª Turma</w:t>
            </w:r>
          </w:p>
          <w:p w14:paraId="2CF339B3" w14:textId="77777777" w:rsidR="00B874B0" w:rsidRDefault="00000000">
            <w:pPr>
              <w:spacing w:after="40"/>
            </w:pPr>
            <w:r>
              <w:rPr>
                <w:color w:val="555555"/>
                <w:sz w:val="19"/>
                <w:szCs w:val="19"/>
              </w:rPr>
              <w:t>Processo: AREsp 1.631.112-MT   |   Relator: Min. Antonio Carlos Ferreira   |   Data: 26/10/2021</w:t>
            </w:r>
          </w:p>
          <w:p w14:paraId="09F945D9" w14:textId="77777777" w:rsidR="00B874B0" w:rsidRDefault="00000000">
            <w:pPr>
              <w:spacing w:after="100"/>
            </w:pPr>
            <w:r>
              <w:rPr>
                <w:i/>
                <w:iCs/>
                <w:color w:val="555555"/>
                <w:sz w:val="19"/>
                <w:szCs w:val="19"/>
              </w:rPr>
              <w:t>Sistemática: Caso isolado (Info 715)</w:t>
            </w:r>
          </w:p>
          <w:p w14:paraId="3AF943B0" w14:textId="77777777" w:rsidR="00B874B0" w:rsidRDefault="00000000">
            <w:pPr>
              <w:spacing w:after="100"/>
            </w:pPr>
            <w:r>
              <w:rPr>
                <w:b/>
                <w:bCs/>
              </w:rPr>
              <w:t xml:space="preserve">TESE FIXADA / DECISÃO: </w:t>
            </w:r>
            <w:r>
              <w:t>A escolha do regime de bens da união estável por contrato escrito produz, como regra, efeitos ex nunc (para frente); é inválida cláusula que estabeleça retroatividade dos efeitos patrimoniais, salvo expressa autorização judicial (art. 1.639, §2º, do CC).</w:t>
            </w:r>
          </w:p>
          <w:p w14:paraId="07A69713" w14:textId="77777777" w:rsidR="00B874B0" w:rsidRDefault="00000000">
            <w:pPr>
              <w:spacing w:after="100"/>
            </w:pPr>
            <w:r>
              <w:rPr>
                <w:b/>
                <w:bCs/>
              </w:rPr>
              <w:t xml:space="preserve">RESUMO DO CASO: </w:t>
            </w:r>
            <w:r>
              <w:t>Discutiu-se contrato de convivência que pretendia dar efeitos retroativos à escolha do regime de bens da união estável. O STJ afirmou a regra da irretroatividade, ressalvando a possibilidade de retroação mediante autorização judicial expressa.</w:t>
            </w:r>
          </w:p>
          <w:p w14:paraId="1CFE691B" w14:textId="77777777" w:rsidR="00B874B0" w:rsidRDefault="00000000">
            <w:pPr>
              <w:spacing w:after="40"/>
            </w:pPr>
            <w:r>
              <w:rPr>
                <w:b/>
                <w:bCs/>
              </w:rPr>
              <w:t>COMO PODE SER COBRADO EM PROVA:</w:t>
            </w:r>
          </w:p>
          <w:p w14:paraId="6712E2EF" w14:textId="77777777" w:rsidR="00B874B0" w:rsidRDefault="00000000">
            <w:pPr>
              <w:pStyle w:val="PargrafodaLista"/>
              <w:numPr>
                <w:ilvl w:val="0"/>
                <w:numId w:val="2"/>
              </w:numPr>
              <w:spacing w:after="40"/>
            </w:pPr>
            <w:r>
              <w:rPr>
                <w:b/>
                <w:bCs/>
                <w:i/>
                <w:iCs/>
              </w:rPr>
              <w:lastRenderedPageBreak/>
              <w:t xml:space="preserve">Objetiva: </w:t>
            </w:r>
            <w:r>
              <w:t>tema FGV "contrato de convivência" combinado com "alteração superveniente do regime de bens (eficácia ex nunc)".</w:t>
            </w:r>
          </w:p>
          <w:p w14:paraId="5A98D885" w14:textId="77777777" w:rsidR="00B874B0" w:rsidRDefault="00000000">
            <w:pPr>
              <w:pStyle w:val="PargrafodaLista"/>
              <w:numPr>
                <w:ilvl w:val="0"/>
                <w:numId w:val="2"/>
              </w:numPr>
              <w:spacing w:after="40"/>
            </w:pPr>
            <w:r>
              <w:rPr>
                <w:b/>
                <w:bCs/>
                <w:i/>
                <w:iCs/>
              </w:rPr>
              <w:t xml:space="preserve">Discursiva/Sentença: </w:t>
            </w:r>
            <w:r>
              <w:t>análise de cláusula de retroatividade em contrato de convivência.</w:t>
            </w:r>
          </w:p>
          <w:p w14:paraId="34B73D29" w14:textId="77777777" w:rsidR="00B874B0" w:rsidRDefault="00000000">
            <w:pPr>
              <w:pStyle w:val="PargrafodaLista"/>
              <w:numPr>
                <w:ilvl w:val="0"/>
                <w:numId w:val="2"/>
              </w:numPr>
              <w:spacing w:after="100"/>
            </w:pPr>
            <w:r>
              <w:rPr>
                <w:b/>
                <w:bCs/>
                <w:i/>
                <w:iCs/>
              </w:rPr>
              <w:t xml:space="preserve">Oral: </w:t>
            </w:r>
            <w:r>
              <w:t>paralelo com a alteração do regime de bens no casamento (mesma lógica ex nunc).</w:t>
            </w:r>
          </w:p>
          <w:p w14:paraId="74B21560" w14:textId="77777777" w:rsidR="00B874B0" w:rsidRDefault="00000000">
            <w:r>
              <w:rPr>
                <w:b/>
                <w:bCs/>
                <w:color w:val="A9762F"/>
              </w:rPr>
              <w:t xml:space="preserve">CONEXÕES: </w:t>
            </w:r>
            <w:r>
              <w:rPr>
                <w:i/>
                <w:iCs/>
              </w:rPr>
              <w:t>art. 1.639, §2º, do CC; REsp 1.671.422/SP (mesma lógica no casamento).</w:t>
            </w:r>
          </w:p>
        </w:tc>
      </w:tr>
    </w:tbl>
    <w:p w14:paraId="44EC3458" w14:textId="77777777" w:rsidR="00B874B0" w:rsidRDefault="00B874B0">
      <w:pPr>
        <w:spacing w:after="160"/>
      </w:pPr>
    </w:p>
    <w:tbl>
      <w:tblPr>
        <w:tblW w:w="5000" w:type="pct"/>
        <w:tblBorders>
          <w:top w:val="single" w:sz="8" w:space="0" w:color="C9B78C"/>
          <w:left w:val="single" w:sz="8" w:space="0" w:color="C9B78C"/>
          <w:bottom w:val="single" w:sz="8" w:space="0" w:color="C9B78C"/>
          <w:right w:val="single" w:sz="8" w:space="0" w:color="C9B78C"/>
        </w:tblBorders>
        <w:tblCellMar>
          <w:left w:w="10" w:type="dxa"/>
          <w:right w:w="10" w:type="dxa"/>
        </w:tblCellMar>
        <w:tblLook w:val="04A0" w:firstRow="1" w:lastRow="0" w:firstColumn="1" w:lastColumn="0" w:noHBand="0" w:noVBand="1"/>
      </w:tblPr>
      <w:tblGrid>
        <w:gridCol w:w="9726"/>
      </w:tblGrid>
      <w:tr w:rsidR="00B874B0" w14:paraId="01D48897" w14:textId="77777777">
        <w:tblPrEx>
          <w:tblCellMar>
            <w:top w:w="0" w:type="dxa"/>
            <w:bottom w:w="0" w:type="dxa"/>
          </w:tblCellMar>
        </w:tblPrEx>
        <w:tc>
          <w:tcPr>
            <w:tcW w:w="5000" w:type="pct"/>
            <w:shd w:val="clear" w:color="auto" w:fill="F6F1E8"/>
            <w:tcMar>
              <w:top w:w="160" w:type="dxa"/>
              <w:left w:w="200" w:type="dxa"/>
              <w:bottom w:w="160" w:type="dxa"/>
              <w:right w:w="200" w:type="dxa"/>
            </w:tcMar>
          </w:tcPr>
          <w:p w14:paraId="34A1008A" w14:textId="77777777" w:rsidR="00B874B0" w:rsidRDefault="00000000">
            <w:pPr>
              <w:pStyle w:val="Ttulo3"/>
              <w:spacing w:after="80"/>
            </w:pPr>
            <w:bookmarkStart w:id="28" w:name="_Toc236570082"/>
            <w:r>
              <w:t>Presunção de comunhão de bens na união estável mesmo com percentuais diferentes na escritura</w:t>
            </w:r>
            <w:bookmarkEnd w:id="28"/>
          </w:p>
          <w:p w14:paraId="1F9E8F8B" w14:textId="77777777" w:rsidR="00B874B0" w:rsidRDefault="00000000">
            <w:pPr>
              <w:spacing w:after="40"/>
            </w:pPr>
            <w:r>
              <w:rPr>
                <w:b/>
                <w:bCs/>
                <w:color w:val="555555"/>
                <w:sz w:val="19"/>
                <w:szCs w:val="19"/>
              </w:rPr>
              <w:t>Tribunal: STJ   |   Órgão: 3ª Turma</w:t>
            </w:r>
          </w:p>
          <w:p w14:paraId="20F58012" w14:textId="77777777" w:rsidR="00B874B0" w:rsidRDefault="00000000">
            <w:pPr>
              <w:spacing w:after="40"/>
            </w:pPr>
            <w:r>
              <w:rPr>
                <w:color w:val="555555"/>
                <w:sz w:val="19"/>
                <w:szCs w:val="19"/>
              </w:rPr>
              <w:t>Processo: REsp 1.852.363-SP   |   Relator: Min. Humberto Martins   |   Data: 03/06/2025</w:t>
            </w:r>
          </w:p>
          <w:p w14:paraId="053EEB57" w14:textId="77777777" w:rsidR="00B874B0" w:rsidRDefault="00000000">
            <w:pPr>
              <w:spacing w:after="100"/>
            </w:pPr>
            <w:r>
              <w:rPr>
                <w:i/>
                <w:iCs/>
                <w:color w:val="555555"/>
                <w:sz w:val="19"/>
                <w:szCs w:val="19"/>
              </w:rPr>
              <w:t>Sistemática: Caso isolado (Info 26 — Edição Extraordinária)</w:t>
            </w:r>
          </w:p>
          <w:p w14:paraId="59D70FF1" w14:textId="77777777" w:rsidR="00B874B0" w:rsidRDefault="00000000">
            <w:pPr>
              <w:spacing w:after="100"/>
            </w:pPr>
            <w:r>
              <w:rPr>
                <w:b/>
                <w:bCs/>
              </w:rPr>
              <w:t xml:space="preserve">TESE FIXADA / DECISÃO: </w:t>
            </w:r>
            <w:r>
              <w:t>A presunção de comunicabilidade dos bens adquiridos onerosamente na constância da união estável só pode ser afastada por contrato escrito estipulando regime de bens diverso da comunhão parcial; a simples declaração de percentuais distintos de copropriedade em escritura pública de compra e venda não afasta essa presunção.</w:t>
            </w:r>
          </w:p>
          <w:p w14:paraId="2A8B7841" w14:textId="77777777" w:rsidR="00B874B0" w:rsidRDefault="00000000">
            <w:pPr>
              <w:spacing w:after="100"/>
            </w:pPr>
            <w:r>
              <w:rPr>
                <w:b/>
                <w:bCs/>
              </w:rPr>
              <w:t xml:space="preserve">RESUMO DO CASO: </w:t>
            </w:r>
            <w:r>
              <w:t>Casal em união estável de dez anos adquiriu imóvel em conjunto; a escritura registrou 70%/30% de propriedade, sob alegação de uma das partes de ter usado recursos de herança. Terminada a união, a outra parte pleiteou partilha igualitária. O STJ acolheu, por entender que só um contrato de convivência (não uma simples cláusula na escritura de compra e venda) pode afastar a presunção legal de comunhão.</w:t>
            </w:r>
          </w:p>
          <w:p w14:paraId="43911813" w14:textId="77777777" w:rsidR="00B874B0" w:rsidRDefault="00000000">
            <w:pPr>
              <w:spacing w:after="40"/>
            </w:pPr>
            <w:r>
              <w:rPr>
                <w:b/>
                <w:bCs/>
              </w:rPr>
              <w:t>COMO PODE SER COBRADO EM PROVA:</w:t>
            </w:r>
          </w:p>
          <w:p w14:paraId="30556F2A" w14:textId="77777777" w:rsidR="00B874B0" w:rsidRDefault="00000000">
            <w:pPr>
              <w:pStyle w:val="PargrafodaLista"/>
              <w:numPr>
                <w:ilvl w:val="0"/>
                <w:numId w:val="2"/>
              </w:numPr>
              <w:spacing w:after="40"/>
            </w:pPr>
            <w:r>
              <w:rPr>
                <w:b/>
                <w:bCs/>
                <w:i/>
                <w:iCs/>
              </w:rPr>
              <w:t xml:space="preserve">Objetiva: </w:t>
            </w:r>
            <w:r>
              <w:t>tema FGV explícito — "presunção de comunhão dos bens adquiridos onerosamente durante a convivência (mesmo com percentuais diferentes na escritura)".</w:t>
            </w:r>
          </w:p>
          <w:p w14:paraId="58966510" w14:textId="77777777" w:rsidR="00B874B0" w:rsidRDefault="00000000">
            <w:pPr>
              <w:pStyle w:val="PargrafodaLista"/>
              <w:numPr>
                <w:ilvl w:val="0"/>
                <w:numId w:val="2"/>
              </w:numPr>
              <w:spacing w:after="40"/>
            </w:pPr>
            <w:r>
              <w:rPr>
                <w:b/>
                <w:bCs/>
                <w:i/>
                <w:iCs/>
              </w:rPr>
              <w:t xml:space="preserve">Discursiva/Sentença: </w:t>
            </w:r>
            <w:r>
              <w:t>caso de partilha discutindo a eficácia de cláusula de percentual desigual sem contrato de convivência.</w:t>
            </w:r>
          </w:p>
          <w:p w14:paraId="1CB0099B" w14:textId="77777777" w:rsidR="00B874B0" w:rsidRDefault="00000000">
            <w:pPr>
              <w:pStyle w:val="PargrafodaLista"/>
              <w:numPr>
                <w:ilvl w:val="0"/>
                <w:numId w:val="2"/>
              </w:numPr>
              <w:spacing w:after="100"/>
            </w:pPr>
            <w:r>
              <w:rPr>
                <w:b/>
                <w:bCs/>
                <w:i/>
                <w:iCs/>
              </w:rPr>
              <w:t xml:space="preserve">Oral: </w:t>
            </w:r>
            <w:r>
              <w:t>qual o instrumento idôneo para afastar a presunção de comunhão (contrato de convivência formal).</w:t>
            </w:r>
          </w:p>
          <w:p w14:paraId="286D3D47" w14:textId="77777777" w:rsidR="00B874B0" w:rsidRDefault="00000000">
            <w:r>
              <w:rPr>
                <w:b/>
                <w:bCs/>
                <w:color w:val="A9762F"/>
              </w:rPr>
              <w:t xml:space="preserve">CONEXÕES: </w:t>
            </w:r>
            <w:r>
              <w:rPr>
                <w:i/>
                <w:iCs/>
              </w:rPr>
              <w:t>art. 1.725 do CC; REsp 2.219.797-DF; AREsp 1.631.112-MT (contrato de convivência).</w:t>
            </w:r>
          </w:p>
        </w:tc>
      </w:tr>
    </w:tbl>
    <w:p w14:paraId="5188BA62" w14:textId="77777777" w:rsidR="00B874B0" w:rsidRDefault="00B874B0">
      <w:pPr>
        <w:spacing w:after="160"/>
      </w:pPr>
    </w:p>
    <w:tbl>
      <w:tblPr>
        <w:tblW w:w="5000" w:type="pct"/>
        <w:tblBorders>
          <w:top w:val="single" w:sz="8" w:space="0" w:color="C9B78C"/>
          <w:left w:val="single" w:sz="8" w:space="0" w:color="C9B78C"/>
          <w:bottom w:val="single" w:sz="8" w:space="0" w:color="C9B78C"/>
          <w:right w:val="single" w:sz="8" w:space="0" w:color="C9B78C"/>
        </w:tblBorders>
        <w:tblCellMar>
          <w:left w:w="10" w:type="dxa"/>
          <w:right w:w="10" w:type="dxa"/>
        </w:tblCellMar>
        <w:tblLook w:val="04A0" w:firstRow="1" w:lastRow="0" w:firstColumn="1" w:lastColumn="0" w:noHBand="0" w:noVBand="1"/>
      </w:tblPr>
      <w:tblGrid>
        <w:gridCol w:w="9726"/>
      </w:tblGrid>
      <w:tr w:rsidR="00B874B0" w14:paraId="4950992C" w14:textId="77777777">
        <w:tblPrEx>
          <w:tblCellMar>
            <w:top w:w="0" w:type="dxa"/>
            <w:bottom w:w="0" w:type="dxa"/>
          </w:tblCellMar>
        </w:tblPrEx>
        <w:tc>
          <w:tcPr>
            <w:tcW w:w="5000" w:type="pct"/>
            <w:shd w:val="clear" w:color="auto" w:fill="F6F1E8"/>
            <w:tcMar>
              <w:top w:w="160" w:type="dxa"/>
              <w:left w:w="200" w:type="dxa"/>
              <w:bottom w:w="160" w:type="dxa"/>
              <w:right w:w="200" w:type="dxa"/>
            </w:tcMar>
          </w:tcPr>
          <w:p w14:paraId="05631DEB" w14:textId="77777777" w:rsidR="00B874B0" w:rsidRDefault="00000000">
            <w:pPr>
              <w:pStyle w:val="Ttulo3"/>
              <w:spacing w:after="80"/>
            </w:pPr>
            <w:bookmarkStart w:id="29" w:name="_Toc236570083"/>
            <w:r>
              <w:t>Dívida do FIES tem natureza personalíssima e não é partilhável</w:t>
            </w:r>
            <w:bookmarkEnd w:id="29"/>
          </w:p>
          <w:p w14:paraId="467F8275" w14:textId="77777777" w:rsidR="00B874B0" w:rsidRDefault="00000000">
            <w:pPr>
              <w:spacing w:after="40"/>
            </w:pPr>
            <w:r>
              <w:rPr>
                <w:b/>
                <w:bCs/>
                <w:color w:val="555555"/>
                <w:sz w:val="19"/>
                <w:szCs w:val="19"/>
              </w:rPr>
              <w:t>Tribunal: STJ   |   Órgão: 3ª Turma</w:t>
            </w:r>
          </w:p>
          <w:p w14:paraId="24BCA44A" w14:textId="77777777" w:rsidR="00B874B0" w:rsidRDefault="00000000">
            <w:pPr>
              <w:spacing w:after="40"/>
            </w:pPr>
            <w:r>
              <w:rPr>
                <w:color w:val="555555"/>
                <w:sz w:val="19"/>
                <w:szCs w:val="19"/>
              </w:rPr>
              <w:t>Processo: REsp 2.062.166-RS   |   Relator: Min. Nancy Andrighi   |   Data: 05/11/2024</w:t>
            </w:r>
          </w:p>
          <w:p w14:paraId="73F75FEE" w14:textId="77777777" w:rsidR="00B874B0" w:rsidRDefault="00000000">
            <w:pPr>
              <w:spacing w:after="100"/>
            </w:pPr>
            <w:r>
              <w:rPr>
                <w:i/>
                <w:iCs/>
                <w:color w:val="555555"/>
                <w:sz w:val="19"/>
                <w:szCs w:val="19"/>
              </w:rPr>
              <w:t>Sistemática: Caso isolado (Info 23 — Edição Extraordinária)</w:t>
            </w:r>
          </w:p>
          <w:p w14:paraId="74281E60" w14:textId="77777777" w:rsidR="00B874B0" w:rsidRDefault="00000000">
            <w:pPr>
              <w:spacing w:after="100"/>
            </w:pPr>
            <w:r>
              <w:rPr>
                <w:b/>
                <w:bCs/>
              </w:rPr>
              <w:t xml:space="preserve">TESE FIXADA / DECISÃO: </w:t>
            </w:r>
            <w:r>
              <w:t>A dívida oriunda de financiamento estudantil (FIES) contraída por um dos companheiros possui natureza personalíssima e não deve ser partilhada na dissolução da união estável, pois o conhecimento adquirido não é bem partilhável, gerando apenas expectativa futura e incerta de retorno.</w:t>
            </w:r>
          </w:p>
          <w:p w14:paraId="42223EE3" w14:textId="77777777" w:rsidR="00B874B0" w:rsidRDefault="00000000">
            <w:pPr>
              <w:spacing w:after="100"/>
            </w:pPr>
            <w:r>
              <w:rPr>
                <w:b/>
                <w:bCs/>
              </w:rPr>
              <w:t xml:space="preserve">RESUMO DO CASO: </w:t>
            </w:r>
            <w:r>
              <w:t>Um dos companheiros contraiu FIES durante a união estável para custear seus próprios estudos. Ao fim da união, pretendia que a ex-companheira arcasse com metade do saldo devedor. O STJ negou, por se tratar de obrigação/benefício personalíssimo, não comunicável.</w:t>
            </w:r>
          </w:p>
          <w:p w14:paraId="36D3679A" w14:textId="77777777" w:rsidR="00B874B0" w:rsidRDefault="00000000">
            <w:pPr>
              <w:spacing w:after="40"/>
            </w:pPr>
            <w:r>
              <w:rPr>
                <w:b/>
                <w:bCs/>
              </w:rPr>
              <w:t>COMO PODE SER COBRADO EM PROVA:</w:t>
            </w:r>
          </w:p>
          <w:p w14:paraId="673A5051" w14:textId="77777777" w:rsidR="00B874B0" w:rsidRDefault="00000000">
            <w:pPr>
              <w:pStyle w:val="PargrafodaLista"/>
              <w:numPr>
                <w:ilvl w:val="0"/>
                <w:numId w:val="2"/>
              </w:numPr>
              <w:spacing w:after="40"/>
            </w:pPr>
            <w:r>
              <w:rPr>
                <w:b/>
                <w:bCs/>
                <w:i/>
                <w:iCs/>
              </w:rPr>
              <w:t xml:space="preserve">Objetiva: </w:t>
            </w:r>
            <w:r>
              <w:t>tema FGV explícito — "dívida do FIES como obrigação personalíssima (não partilhável)".</w:t>
            </w:r>
          </w:p>
          <w:p w14:paraId="4328174E" w14:textId="77777777" w:rsidR="00B874B0" w:rsidRDefault="00000000">
            <w:pPr>
              <w:pStyle w:val="PargrafodaLista"/>
              <w:numPr>
                <w:ilvl w:val="0"/>
                <w:numId w:val="2"/>
              </w:numPr>
              <w:spacing w:after="40"/>
            </w:pPr>
            <w:r>
              <w:rPr>
                <w:b/>
                <w:bCs/>
                <w:i/>
                <w:iCs/>
              </w:rPr>
              <w:t xml:space="preserve">Discursiva/Sentença: </w:t>
            </w:r>
            <w:r>
              <w:t>caso de partilha de dívidas em união estável/casamento, distinguindo dívidas comuns de pessoais.</w:t>
            </w:r>
          </w:p>
          <w:p w14:paraId="7412EA0B" w14:textId="77777777" w:rsidR="00B874B0" w:rsidRDefault="00000000">
            <w:pPr>
              <w:pStyle w:val="PargrafodaLista"/>
              <w:numPr>
                <w:ilvl w:val="0"/>
                <w:numId w:val="2"/>
              </w:numPr>
              <w:spacing w:after="100"/>
            </w:pPr>
            <w:r>
              <w:rPr>
                <w:b/>
                <w:bCs/>
                <w:i/>
                <w:iCs/>
              </w:rPr>
              <w:t xml:space="preserve">Oral: </w:t>
            </w:r>
            <w:r>
              <w:t>fundamento (ausência de proveito direto e concreto à entidade familiar).</w:t>
            </w:r>
          </w:p>
          <w:p w14:paraId="14A9989E" w14:textId="77777777" w:rsidR="00B874B0" w:rsidRDefault="00000000">
            <w:r>
              <w:rPr>
                <w:b/>
                <w:bCs/>
                <w:color w:val="A9762F"/>
              </w:rPr>
              <w:t xml:space="preserve">CONEXÕES: </w:t>
            </w:r>
            <w:r>
              <w:rPr>
                <w:i/>
                <w:iCs/>
              </w:rPr>
              <w:t>arts. 1.659 e 1.660 do CC (bens/dívidas incomunicáveis); regime de comunhão parcial supletivo da união estável (art. 1.725 do CC).</w:t>
            </w:r>
          </w:p>
        </w:tc>
      </w:tr>
    </w:tbl>
    <w:p w14:paraId="34111A88" w14:textId="77777777" w:rsidR="00B874B0" w:rsidRDefault="00B874B0">
      <w:pPr>
        <w:spacing w:after="160"/>
      </w:pPr>
    </w:p>
    <w:tbl>
      <w:tblPr>
        <w:tblW w:w="5000" w:type="pct"/>
        <w:tblBorders>
          <w:top w:val="single" w:sz="8" w:space="0" w:color="C9B78C"/>
          <w:left w:val="single" w:sz="8" w:space="0" w:color="C9B78C"/>
          <w:bottom w:val="single" w:sz="8" w:space="0" w:color="C9B78C"/>
          <w:right w:val="single" w:sz="8" w:space="0" w:color="C9B78C"/>
        </w:tblBorders>
        <w:tblCellMar>
          <w:left w:w="10" w:type="dxa"/>
          <w:right w:w="10" w:type="dxa"/>
        </w:tblCellMar>
        <w:tblLook w:val="04A0" w:firstRow="1" w:lastRow="0" w:firstColumn="1" w:lastColumn="0" w:noHBand="0" w:noVBand="1"/>
      </w:tblPr>
      <w:tblGrid>
        <w:gridCol w:w="9726"/>
      </w:tblGrid>
      <w:tr w:rsidR="00B874B0" w14:paraId="4F779A84" w14:textId="77777777">
        <w:tblPrEx>
          <w:tblCellMar>
            <w:top w:w="0" w:type="dxa"/>
            <w:bottom w:w="0" w:type="dxa"/>
          </w:tblCellMar>
        </w:tblPrEx>
        <w:tc>
          <w:tcPr>
            <w:tcW w:w="5000" w:type="pct"/>
            <w:shd w:val="clear" w:color="auto" w:fill="F6F1E8"/>
            <w:tcMar>
              <w:top w:w="160" w:type="dxa"/>
              <w:left w:w="200" w:type="dxa"/>
              <w:bottom w:w="160" w:type="dxa"/>
              <w:right w:w="200" w:type="dxa"/>
            </w:tcMar>
          </w:tcPr>
          <w:p w14:paraId="0F339C51" w14:textId="77777777" w:rsidR="00B874B0" w:rsidRDefault="00000000">
            <w:pPr>
              <w:pStyle w:val="Ttulo3"/>
              <w:spacing w:after="80"/>
            </w:pPr>
            <w:bookmarkStart w:id="30" w:name="_Toc236570084"/>
            <w:r>
              <w:t>Legitimidade do herdeiro para ação de reconhecimento e dissolução de união estável post mortem</w:t>
            </w:r>
            <w:bookmarkEnd w:id="30"/>
          </w:p>
          <w:p w14:paraId="4A0078C9" w14:textId="77777777" w:rsidR="00B874B0" w:rsidRDefault="00000000">
            <w:pPr>
              <w:spacing w:after="40"/>
            </w:pPr>
            <w:r>
              <w:rPr>
                <w:b/>
                <w:bCs/>
                <w:color w:val="555555"/>
                <w:sz w:val="19"/>
                <w:szCs w:val="19"/>
              </w:rPr>
              <w:t>Tribunal: STJ   |   Órgão: 4ª Turma</w:t>
            </w:r>
          </w:p>
          <w:p w14:paraId="0F269B0D" w14:textId="77777777" w:rsidR="00B874B0" w:rsidRDefault="00000000">
            <w:pPr>
              <w:spacing w:after="40"/>
            </w:pPr>
            <w:r>
              <w:rPr>
                <w:color w:val="555555"/>
                <w:sz w:val="19"/>
                <w:szCs w:val="19"/>
              </w:rPr>
              <w:t>Processo: REsp 1.791.674-MG   |   Relator: Min. João Otávio de Noronha   |   Data: 20/02/2024</w:t>
            </w:r>
          </w:p>
          <w:p w14:paraId="57170801" w14:textId="77777777" w:rsidR="00B874B0" w:rsidRDefault="00000000">
            <w:pPr>
              <w:spacing w:after="100"/>
            </w:pPr>
            <w:r>
              <w:rPr>
                <w:i/>
                <w:iCs/>
                <w:color w:val="555555"/>
                <w:sz w:val="19"/>
                <w:szCs w:val="19"/>
              </w:rPr>
              <w:t>Sistemática: Caso isolado (Info 20 — Edição Extraordinária)</w:t>
            </w:r>
          </w:p>
          <w:p w14:paraId="299AF6BD" w14:textId="77777777" w:rsidR="00B874B0" w:rsidRDefault="00000000">
            <w:pPr>
              <w:spacing w:after="100"/>
            </w:pPr>
            <w:r>
              <w:rPr>
                <w:b/>
                <w:bCs/>
              </w:rPr>
              <w:t xml:space="preserve">TESE FIXADA / DECISÃO: </w:t>
            </w:r>
            <w:r>
              <w:t>O herdeiro tem legitimidade ativa para propor ação de reconhecimento e dissolução de união estável entre companheiros já falecidos, especialmente quando há suspeita de doação inoficiosa que possa ter lesado seus direitos hereditários.</w:t>
            </w:r>
          </w:p>
          <w:p w14:paraId="38F88B79" w14:textId="77777777" w:rsidR="00B874B0" w:rsidRDefault="00000000">
            <w:pPr>
              <w:spacing w:after="100"/>
            </w:pPr>
            <w:r>
              <w:rPr>
                <w:b/>
                <w:bCs/>
              </w:rPr>
              <w:t xml:space="preserve">RESUMO DO CASO: </w:t>
            </w:r>
            <w:r>
              <w:t>Filho de um dos companheiros (ambos falecidos) ajuizou ação para reconhecer união estável entre seu pai e a companheira dele, anular doação inoficiosa feita pela companheira à própria filha, e incluir o bem doado na partilha da herança do pai. A ré alegou ilegitimidade ativa do herdeiro. O STJ reconheceu a legitimidade, por ser necessário analisar o relacionamento e o regime de bens para aferir a validade da doação.</w:t>
            </w:r>
          </w:p>
          <w:p w14:paraId="320B807E" w14:textId="77777777" w:rsidR="00B874B0" w:rsidRDefault="00000000">
            <w:pPr>
              <w:spacing w:after="40"/>
            </w:pPr>
            <w:r>
              <w:rPr>
                <w:b/>
                <w:bCs/>
              </w:rPr>
              <w:t>COMO PODE SER COBRADO EM PROVA:</w:t>
            </w:r>
          </w:p>
          <w:p w14:paraId="7E4D2BF3" w14:textId="77777777" w:rsidR="00B874B0" w:rsidRDefault="00000000">
            <w:pPr>
              <w:pStyle w:val="PargrafodaLista"/>
              <w:numPr>
                <w:ilvl w:val="0"/>
                <w:numId w:val="2"/>
              </w:numPr>
              <w:spacing w:after="40"/>
            </w:pPr>
            <w:r>
              <w:rPr>
                <w:b/>
                <w:bCs/>
                <w:i/>
                <w:iCs/>
              </w:rPr>
              <w:t xml:space="preserve">Objetiva: </w:t>
            </w:r>
            <w:r>
              <w:t>tema FGV explícito — "reconhecimento post mortem e legitimidade de herdeiros".</w:t>
            </w:r>
          </w:p>
          <w:p w14:paraId="719C02BC" w14:textId="77777777" w:rsidR="00B874B0" w:rsidRDefault="00000000">
            <w:pPr>
              <w:pStyle w:val="PargrafodaLista"/>
              <w:numPr>
                <w:ilvl w:val="0"/>
                <w:numId w:val="2"/>
              </w:numPr>
              <w:spacing w:after="40"/>
            </w:pPr>
            <w:r>
              <w:rPr>
                <w:b/>
                <w:bCs/>
                <w:i/>
                <w:iCs/>
              </w:rPr>
              <w:t xml:space="preserve">Discursiva/Sentença: </w:t>
            </w:r>
            <w:r>
              <w:t>caso de ação de reconhecimento de união estável post mortem cumulada com anulação de doação inoficiosa.</w:t>
            </w:r>
          </w:p>
          <w:p w14:paraId="0921D113" w14:textId="77777777" w:rsidR="00B874B0" w:rsidRDefault="00000000">
            <w:pPr>
              <w:pStyle w:val="PargrafodaLista"/>
              <w:numPr>
                <w:ilvl w:val="0"/>
                <w:numId w:val="2"/>
              </w:numPr>
              <w:spacing w:after="100"/>
            </w:pPr>
            <w:r>
              <w:rPr>
                <w:b/>
                <w:bCs/>
                <w:i/>
                <w:iCs/>
              </w:rPr>
              <w:t xml:space="preserve">Oral: </w:t>
            </w:r>
            <w:r>
              <w:t>fundamentos da legitimidade ativa do herdeiro (interesse e necessidade de análise incidental do regime de bens).</w:t>
            </w:r>
          </w:p>
          <w:p w14:paraId="715E733B" w14:textId="77777777" w:rsidR="00B874B0" w:rsidRDefault="00000000">
            <w:r>
              <w:rPr>
                <w:b/>
                <w:bCs/>
                <w:color w:val="A9762F"/>
              </w:rPr>
              <w:t xml:space="preserve">CONEXÕES: </w:t>
            </w:r>
            <w:r>
              <w:rPr>
                <w:i/>
                <w:iCs/>
              </w:rPr>
              <w:t>doação inoficiosa (art. 549 do CC); REsp 2.203.770-GO (outro caso de reconhecimento post mortem); tema FGV explícito.</w:t>
            </w:r>
          </w:p>
        </w:tc>
      </w:tr>
    </w:tbl>
    <w:p w14:paraId="3A6F8C00" w14:textId="77777777" w:rsidR="00B874B0" w:rsidRDefault="00B874B0">
      <w:pPr>
        <w:spacing w:after="160"/>
      </w:pPr>
    </w:p>
    <w:p w14:paraId="645AB1DE" w14:textId="77777777" w:rsidR="00B874B0" w:rsidRDefault="00000000">
      <w:pPr>
        <w:pStyle w:val="Ttulo1"/>
        <w:pageBreakBefore/>
        <w:spacing w:after="200"/>
      </w:pPr>
      <w:bookmarkStart w:id="31" w:name="_Toc236570085"/>
      <w:r>
        <w:lastRenderedPageBreak/>
        <w:t>II. PARENTESCO, GUARDA E ADMINISTRAÇÃO DE BENS DE FILHOS MENORES</w:t>
      </w:r>
      <w:bookmarkEnd w:id="31"/>
    </w:p>
    <w:p w14:paraId="066671A3" w14:textId="77777777" w:rsidR="00B874B0" w:rsidRDefault="00000000">
      <w:pPr>
        <w:spacing w:after="300"/>
      </w:pPr>
      <w:r>
        <w:rPr>
          <w:i/>
          <w:iCs/>
          <w:color w:val="555555"/>
        </w:rPr>
        <w:t>CC arts. 1.583 a 1.590 (Proteção da Pessoa dos Filhos) · arts. 1.591 a 1.638 (Relações de Parentesco) · arts. 1.689 a 1.693 (Usufruto e Administração de Bens de Filhos Menores)</w:t>
      </w:r>
    </w:p>
    <w:p w14:paraId="2322217B" w14:textId="77777777" w:rsidR="00B874B0" w:rsidRDefault="00000000">
      <w:pPr>
        <w:pStyle w:val="Ttulo2"/>
        <w:spacing w:after="160"/>
      </w:pPr>
      <w:bookmarkStart w:id="32" w:name="_Toc236570086"/>
      <w:r>
        <w:t>GUARDA E PODER FAMILIAR</w:t>
      </w:r>
      <w:bookmarkEnd w:id="32"/>
    </w:p>
    <w:tbl>
      <w:tblPr>
        <w:tblW w:w="5000" w:type="pct"/>
        <w:tblBorders>
          <w:top w:val="single" w:sz="8" w:space="0" w:color="C9B78C"/>
          <w:left w:val="single" w:sz="8" w:space="0" w:color="C9B78C"/>
          <w:bottom w:val="single" w:sz="8" w:space="0" w:color="C9B78C"/>
          <w:right w:val="single" w:sz="8" w:space="0" w:color="C9B78C"/>
        </w:tblBorders>
        <w:tblCellMar>
          <w:left w:w="10" w:type="dxa"/>
          <w:right w:w="10" w:type="dxa"/>
        </w:tblCellMar>
        <w:tblLook w:val="04A0" w:firstRow="1" w:lastRow="0" w:firstColumn="1" w:lastColumn="0" w:noHBand="0" w:noVBand="1"/>
      </w:tblPr>
      <w:tblGrid>
        <w:gridCol w:w="9726"/>
      </w:tblGrid>
      <w:tr w:rsidR="00B874B0" w14:paraId="11B40787" w14:textId="77777777">
        <w:tblPrEx>
          <w:tblCellMar>
            <w:top w:w="0" w:type="dxa"/>
            <w:bottom w:w="0" w:type="dxa"/>
          </w:tblCellMar>
        </w:tblPrEx>
        <w:tc>
          <w:tcPr>
            <w:tcW w:w="5000" w:type="pct"/>
            <w:shd w:val="clear" w:color="auto" w:fill="F6F1E8"/>
            <w:tcMar>
              <w:top w:w="160" w:type="dxa"/>
              <w:left w:w="200" w:type="dxa"/>
              <w:bottom w:w="160" w:type="dxa"/>
              <w:right w:w="200" w:type="dxa"/>
            </w:tcMar>
          </w:tcPr>
          <w:p w14:paraId="6F6B260D" w14:textId="77777777" w:rsidR="00B874B0" w:rsidRDefault="00000000">
            <w:pPr>
              <w:pStyle w:val="Ttulo3"/>
              <w:spacing w:after="80"/>
            </w:pPr>
            <w:bookmarkStart w:id="33" w:name="_Toc236570087"/>
            <w:r>
              <w:t>Não aplicação da perda do poder familiar à mãe vítima de violência sexual — reconhecimento de multiparentalidade em vez de destituição total</w:t>
            </w:r>
            <w:bookmarkEnd w:id="33"/>
          </w:p>
          <w:p w14:paraId="7C9FADAA" w14:textId="77777777" w:rsidR="00B874B0" w:rsidRDefault="00000000">
            <w:pPr>
              <w:spacing w:after="40"/>
            </w:pPr>
            <w:r>
              <w:rPr>
                <w:b/>
                <w:bCs/>
                <w:color w:val="555555"/>
                <w:sz w:val="19"/>
                <w:szCs w:val="19"/>
              </w:rPr>
              <w:t>Tribunal: STJ   |   Órgão: 4ª Turma</w:t>
            </w:r>
          </w:p>
          <w:p w14:paraId="14D65729" w14:textId="77777777" w:rsidR="00B874B0" w:rsidRDefault="00000000">
            <w:pPr>
              <w:spacing w:after="40"/>
            </w:pPr>
            <w:r>
              <w:rPr>
                <w:color w:val="555555"/>
                <w:sz w:val="19"/>
                <w:szCs w:val="19"/>
              </w:rPr>
              <w:t>Processo: AREsp 2.775.957-MT   |   Relator: Min. Raul Araújo   |   Data: 12/08/2025</w:t>
            </w:r>
          </w:p>
          <w:p w14:paraId="7DDA71DE" w14:textId="77777777" w:rsidR="00B874B0" w:rsidRDefault="00000000">
            <w:pPr>
              <w:spacing w:after="100"/>
            </w:pPr>
            <w:r>
              <w:rPr>
                <w:i/>
                <w:iCs/>
                <w:color w:val="555555"/>
                <w:sz w:val="19"/>
                <w:szCs w:val="19"/>
              </w:rPr>
              <w:t>Sistemática: Caso isolado</w:t>
            </w:r>
          </w:p>
          <w:p w14:paraId="404F57C5" w14:textId="77777777" w:rsidR="00B874B0" w:rsidRDefault="00000000">
            <w:pPr>
              <w:spacing w:after="100"/>
            </w:pPr>
            <w:r>
              <w:rPr>
                <w:b/>
                <w:bCs/>
              </w:rPr>
              <w:t xml:space="preserve">TESE FIXADA / DECISÃO: </w:t>
            </w:r>
            <w:r>
              <w:t>Não se mostra razoável enquadrar em nenhuma das hipóteses de perda do poder familiar (art. 1.638 do CC) a mãe biológica que, vítima de violência sexual doméstica aos 14 anos, entregou a filha à adoção sem ter recebido apoio estatal para permanecer com a criança durante o acolhimento institucional.</w:t>
            </w:r>
          </w:p>
          <w:p w14:paraId="3EE6FFCD" w14:textId="77777777" w:rsidR="00B874B0" w:rsidRDefault="00000000">
            <w:pPr>
              <w:spacing w:after="100"/>
            </w:pPr>
            <w:r>
              <w:rPr>
                <w:b/>
                <w:bCs/>
              </w:rPr>
              <w:t xml:space="preserve">RESUMO DO CASO: </w:t>
            </w:r>
            <w:r>
              <w:t>Luísa, vítima de abuso sexual do padrasto aos 14 anos, engravidou e, acolhida institucionalmente, decidiu entregar a filha para adoção — sem saber que poderia ter ficado com a criança durante o acolhimento. A criança cresceu com o casal adotante. Anos depois, já adulta e estruturada, Luísa buscou reaproximação. O TJ, em vez de decretar a perda total do poder familiar (pedida pelo casal em ação de adoção), reconheceu a multiparentalidade, mantendo no registro mãe biológica e pais socioafetivos, com direito de visitas a Luísa. O STJ manteve a decisão, por falha do Estado em amparar a adolescente vulnerável.</w:t>
            </w:r>
          </w:p>
          <w:p w14:paraId="3EF03024" w14:textId="77777777" w:rsidR="00B874B0" w:rsidRDefault="00000000">
            <w:pPr>
              <w:spacing w:after="40"/>
            </w:pPr>
            <w:r>
              <w:rPr>
                <w:b/>
                <w:bCs/>
              </w:rPr>
              <w:t>COMO PODE SER COBRADO EM PROVA:</w:t>
            </w:r>
          </w:p>
          <w:p w14:paraId="1F73B8A9" w14:textId="77777777" w:rsidR="00B874B0" w:rsidRDefault="00000000">
            <w:pPr>
              <w:pStyle w:val="PargrafodaLista"/>
              <w:numPr>
                <w:ilvl w:val="0"/>
                <w:numId w:val="2"/>
              </w:numPr>
              <w:spacing w:after="40"/>
            </w:pPr>
            <w:r>
              <w:rPr>
                <w:b/>
                <w:bCs/>
                <w:i/>
                <w:iCs/>
              </w:rPr>
              <w:t xml:space="preserve">Objetiva: </w:t>
            </w:r>
            <w:r>
              <w:t>distinção entre suspensão e perda do poder familiar (arts. 1.637 e 1.638 do CC) e a exigência de análise concreta das hipóteses legais, não bastando a mera entrega para adoção decorrente de vulnerabilidade não amparada pelo Estado.</w:t>
            </w:r>
          </w:p>
          <w:p w14:paraId="357FEE3B" w14:textId="77777777" w:rsidR="00B874B0" w:rsidRDefault="00000000">
            <w:pPr>
              <w:pStyle w:val="PargrafodaLista"/>
              <w:numPr>
                <w:ilvl w:val="0"/>
                <w:numId w:val="2"/>
              </w:numPr>
              <w:spacing w:after="40"/>
            </w:pPr>
            <w:r>
              <w:rPr>
                <w:b/>
                <w:bCs/>
                <w:i/>
                <w:iCs/>
              </w:rPr>
              <w:t xml:space="preserve">Discursiva/Sentença: </w:t>
            </w:r>
            <w:r>
              <w:t>elaborar sentença/parecer sobre destituição do poder familiar em contexto de vulnerabilidade social, articulando multiparentalidade como solução intermediária ao invés da destituição total.</w:t>
            </w:r>
          </w:p>
          <w:p w14:paraId="07E3282D" w14:textId="77777777" w:rsidR="00B874B0" w:rsidRDefault="00000000">
            <w:pPr>
              <w:pStyle w:val="PargrafodaLista"/>
              <w:numPr>
                <w:ilvl w:val="0"/>
                <w:numId w:val="2"/>
              </w:numPr>
              <w:spacing w:after="100"/>
            </w:pPr>
            <w:r>
              <w:rPr>
                <w:b/>
                <w:bCs/>
                <w:i/>
                <w:iCs/>
              </w:rPr>
              <w:t xml:space="preserve">Oral: </w:t>
            </w:r>
            <w:r>
              <w:t>"Quais as diferenças entre suspensão e perda do poder familiar? A entrega de filho para adoção por mãe adolescente vítima de violência sempre implica perda do poder familiar?"</w:t>
            </w:r>
          </w:p>
          <w:p w14:paraId="3088F88D" w14:textId="77777777" w:rsidR="00B874B0" w:rsidRDefault="00000000">
            <w:r>
              <w:rPr>
                <w:b/>
                <w:bCs/>
                <w:color w:val="A9762F"/>
              </w:rPr>
              <w:t xml:space="preserve">CONEXÕES: </w:t>
            </w:r>
            <w:r>
              <w:rPr>
                <w:i/>
                <w:iCs/>
              </w:rPr>
              <w:t>art. 1.637 e 1.638, CC; multiparentalidade (RE 898.060/SC — Tema 622 RG do STF); ECA (acolhimento institucional).</w:t>
            </w:r>
          </w:p>
        </w:tc>
      </w:tr>
    </w:tbl>
    <w:p w14:paraId="42917267" w14:textId="77777777" w:rsidR="00B874B0" w:rsidRDefault="00B874B0">
      <w:pPr>
        <w:spacing w:after="160"/>
      </w:pPr>
    </w:p>
    <w:tbl>
      <w:tblPr>
        <w:tblW w:w="5000" w:type="pct"/>
        <w:tblBorders>
          <w:top w:val="single" w:sz="8" w:space="0" w:color="C9B78C"/>
          <w:left w:val="single" w:sz="8" w:space="0" w:color="C9B78C"/>
          <w:bottom w:val="single" w:sz="8" w:space="0" w:color="C9B78C"/>
          <w:right w:val="single" w:sz="8" w:space="0" w:color="C9B78C"/>
        </w:tblBorders>
        <w:tblCellMar>
          <w:left w:w="10" w:type="dxa"/>
          <w:right w:w="10" w:type="dxa"/>
        </w:tblCellMar>
        <w:tblLook w:val="04A0" w:firstRow="1" w:lastRow="0" w:firstColumn="1" w:lastColumn="0" w:noHBand="0" w:noVBand="1"/>
      </w:tblPr>
      <w:tblGrid>
        <w:gridCol w:w="9726"/>
      </w:tblGrid>
      <w:tr w:rsidR="00B874B0" w14:paraId="7705060C" w14:textId="77777777">
        <w:tblPrEx>
          <w:tblCellMar>
            <w:top w:w="0" w:type="dxa"/>
            <w:bottom w:w="0" w:type="dxa"/>
          </w:tblCellMar>
        </w:tblPrEx>
        <w:tc>
          <w:tcPr>
            <w:tcW w:w="5000" w:type="pct"/>
            <w:shd w:val="clear" w:color="auto" w:fill="F6F1E8"/>
            <w:tcMar>
              <w:top w:w="160" w:type="dxa"/>
              <w:left w:w="200" w:type="dxa"/>
              <w:bottom w:w="160" w:type="dxa"/>
              <w:right w:w="200" w:type="dxa"/>
            </w:tcMar>
          </w:tcPr>
          <w:p w14:paraId="60DEA146" w14:textId="77777777" w:rsidR="00B874B0" w:rsidRDefault="00000000">
            <w:pPr>
              <w:pStyle w:val="Ttulo3"/>
              <w:spacing w:after="80"/>
            </w:pPr>
            <w:bookmarkStart w:id="34" w:name="_Toc236570088"/>
            <w:r>
              <w:t>Homologação de sentença estrangeira de guarda não impede ação de modificação de guarda no Brasil</w:t>
            </w:r>
            <w:bookmarkEnd w:id="34"/>
          </w:p>
          <w:p w14:paraId="57DDDBAF" w14:textId="77777777" w:rsidR="00B874B0" w:rsidRDefault="00000000">
            <w:pPr>
              <w:spacing w:after="40"/>
            </w:pPr>
            <w:r>
              <w:rPr>
                <w:b/>
                <w:bCs/>
                <w:color w:val="555555"/>
                <w:sz w:val="19"/>
                <w:szCs w:val="19"/>
              </w:rPr>
              <w:t>Tribunal: STJ   |   Órgão: 4ª Turma</w:t>
            </w:r>
          </w:p>
          <w:p w14:paraId="7541BFEF" w14:textId="77777777" w:rsidR="00B874B0" w:rsidRDefault="00000000">
            <w:pPr>
              <w:spacing w:after="40"/>
            </w:pPr>
            <w:r>
              <w:rPr>
                <w:color w:val="555555"/>
                <w:sz w:val="19"/>
                <w:szCs w:val="19"/>
              </w:rPr>
              <w:t>Processo: HC 877.730/PR   |   Relator: Min. Raul Araújo   |   Data: 05/03/2024</w:t>
            </w:r>
          </w:p>
          <w:p w14:paraId="766D1B39" w14:textId="77777777" w:rsidR="00B874B0" w:rsidRDefault="00000000">
            <w:pPr>
              <w:spacing w:after="100"/>
            </w:pPr>
            <w:r>
              <w:rPr>
                <w:i/>
                <w:iCs/>
                <w:color w:val="555555"/>
                <w:sz w:val="19"/>
                <w:szCs w:val="19"/>
              </w:rPr>
              <w:t>Sistemática: Caso isolado</w:t>
            </w:r>
          </w:p>
          <w:p w14:paraId="52BA4D05" w14:textId="77777777" w:rsidR="00B874B0" w:rsidRDefault="00000000">
            <w:pPr>
              <w:spacing w:after="100"/>
            </w:pPr>
            <w:r>
              <w:rPr>
                <w:b/>
                <w:bCs/>
              </w:rPr>
              <w:t xml:space="preserve">TESE FIXADA / DECISÃO: </w:t>
            </w:r>
            <w:r>
              <w:t>A homologação de sentença estrangeira pelo STJ não é, por si só, óbice à propositura de ação de modificação de guarda em território nacional quando os menores, cujo interesse se discute, estão estabelecidos no Brasil.</w:t>
            </w:r>
          </w:p>
          <w:p w14:paraId="5029A7A2" w14:textId="77777777" w:rsidR="00B874B0" w:rsidRDefault="00000000">
            <w:pPr>
              <w:spacing w:after="100"/>
            </w:pPr>
            <w:r>
              <w:rPr>
                <w:b/>
                <w:bCs/>
              </w:rPr>
              <w:t xml:space="preserve">RESUMO DO CASO: </w:t>
            </w:r>
            <w:r>
              <w:t>Pai australiano e mãe brasileira firmaram, na Austrália, acordo de guarda compartilhada com residência das filhas junto à mãe naquele país. Com autorização paterna, mãe e filhas vieram ao Brasil por um ano; nesse período houve mudança fática relevante — as crianças se adaptaram bem e desejam permanecer no Brasil. O STJ permitiu que a mãe ajuizasse ação de modificação de guarda no Brasil, mesmo com o acordo estrangeiro homologado, por prevalecer o melhor interesse do menor e a necessidade de oitiva e estudo psicossocial atualizados.</w:t>
            </w:r>
          </w:p>
          <w:p w14:paraId="6910E47D" w14:textId="77777777" w:rsidR="00B874B0" w:rsidRDefault="00000000">
            <w:pPr>
              <w:spacing w:after="40"/>
            </w:pPr>
            <w:r>
              <w:rPr>
                <w:b/>
                <w:bCs/>
              </w:rPr>
              <w:t>COMO PODE SER COBRADO EM PROVA:</w:t>
            </w:r>
          </w:p>
          <w:p w14:paraId="481A8C2A" w14:textId="77777777" w:rsidR="00B874B0" w:rsidRDefault="00000000">
            <w:pPr>
              <w:pStyle w:val="PargrafodaLista"/>
              <w:numPr>
                <w:ilvl w:val="0"/>
                <w:numId w:val="2"/>
              </w:numPr>
              <w:spacing w:after="40"/>
            </w:pPr>
            <w:r>
              <w:rPr>
                <w:b/>
                <w:bCs/>
                <w:i/>
                <w:iCs/>
              </w:rPr>
              <w:lastRenderedPageBreak/>
              <w:t xml:space="preserve">Objetiva: </w:t>
            </w:r>
            <w:r>
              <w:t>homologação de sentença estrangeira (STJ) não gera coisa julgada material impeditiva de nova discussão de guarda no Brasil quando alterada a situação fática e havendo menores aqui radicados.</w:t>
            </w:r>
          </w:p>
          <w:p w14:paraId="3D8011A8" w14:textId="77777777" w:rsidR="00B874B0" w:rsidRDefault="00000000">
            <w:pPr>
              <w:pStyle w:val="PargrafodaLista"/>
              <w:numPr>
                <w:ilvl w:val="0"/>
                <w:numId w:val="2"/>
              </w:numPr>
              <w:spacing w:after="40"/>
            </w:pPr>
            <w:r>
              <w:rPr>
                <w:b/>
                <w:bCs/>
                <w:i/>
                <w:iCs/>
              </w:rPr>
              <w:t xml:space="preserve">Discursiva/Sentença: </w:t>
            </w:r>
            <w:r>
              <w:t>caso envolvendo competência internacional e mudança de circunstâncias fáticas na guarda (tema já testado pela FGV sob o ângulo de "modificação de guarda por alteração de circunstâncias/mudança de cidade" — aqui elevado ao plano internacional).</w:t>
            </w:r>
          </w:p>
          <w:p w14:paraId="7532312C" w14:textId="77777777" w:rsidR="00B874B0" w:rsidRDefault="00000000">
            <w:pPr>
              <w:pStyle w:val="PargrafodaLista"/>
              <w:numPr>
                <w:ilvl w:val="0"/>
                <w:numId w:val="2"/>
              </w:numPr>
              <w:spacing w:after="100"/>
            </w:pPr>
            <w:r>
              <w:rPr>
                <w:b/>
                <w:bCs/>
                <w:i/>
                <w:iCs/>
              </w:rPr>
              <w:t xml:space="preserve">Oral: </w:t>
            </w:r>
            <w:r>
              <w:t>"A guarda fixada no exterior e homologada pelo STJ pode ser modificada por juiz brasileiro? Em que condições?"</w:t>
            </w:r>
          </w:p>
          <w:p w14:paraId="21954857" w14:textId="77777777" w:rsidR="00B874B0" w:rsidRDefault="00000000">
            <w:r>
              <w:rPr>
                <w:b/>
                <w:bCs/>
                <w:color w:val="A9762F"/>
              </w:rPr>
              <w:t xml:space="preserve">CONEXÕES: </w:t>
            </w:r>
            <w:r>
              <w:rPr>
                <w:i/>
                <w:iCs/>
              </w:rPr>
              <w:t>princípio do melhor interesse do menor; Convenção de Haia sobre sequestro internacional de crianças (contexto, ainda que não citada expressamente); jurisprudência FGV sobre modificação de guarda por alteração de circunstâncias.</w:t>
            </w:r>
          </w:p>
        </w:tc>
      </w:tr>
    </w:tbl>
    <w:p w14:paraId="16C5EF66" w14:textId="77777777" w:rsidR="00B874B0" w:rsidRDefault="00B874B0">
      <w:pPr>
        <w:spacing w:after="160"/>
      </w:pPr>
    </w:p>
    <w:p w14:paraId="427DEB67" w14:textId="77777777" w:rsidR="00B874B0" w:rsidRDefault="00000000">
      <w:pPr>
        <w:pStyle w:val="Ttulo2"/>
        <w:spacing w:after="160"/>
      </w:pPr>
      <w:bookmarkStart w:id="35" w:name="_Toc236570089"/>
      <w:r>
        <w:t>FILIAÇÃO E RECONHECIMENTO DE PATERNIDADE/MATERNIDADE (incluindo multiparentalidade)</w:t>
      </w:r>
      <w:bookmarkEnd w:id="35"/>
    </w:p>
    <w:tbl>
      <w:tblPr>
        <w:tblW w:w="5000" w:type="pct"/>
        <w:tblBorders>
          <w:top w:val="single" w:sz="8" w:space="0" w:color="C9B78C"/>
          <w:left w:val="single" w:sz="8" w:space="0" w:color="C9B78C"/>
          <w:bottom w:val="single" w:sz="8" w:space="0" w:color="C9B78C"/>
          <w:right w:val="single" w:sz="8" w:space="0" w:color="C9B78C"/>
        </w:tblBorders>
        <w:tblCellMar>
          <w:left w:w="10" w:type="dxa"/>
          <w:right w:w="10" w:type="dxa"/>
        </w:tblCellMar>
        <w:tblLook w:val="04A0" w:firstRow="1" w:lastRow="0" w:firstColumn="1" w:lastColumn="0" w:noHBand="0" w:noVBand="1"/>
      </w:tblPr>
      <w:tblGrid>
        <w:gridCol w:w="9726"/>
      </w:tblGrid>
      <w:tr w:rsidR="00B874B0" w14:paraId="467B6FCB" w14:textId="77777777">
        <w:tblPrEx>
          <w:tblCellMar>
            <w:top w:w="0" w:type="dxa"/>
            <w:bottom w:w="0" w:type="dxa"/>
          </w:tblCellMar>
        </w:tblPrEx>
        <w:tc>
          <w:tcPr>
            <w:tcW w:w="5000" w:type="pct"/>
            <w:shd w:val="clear" w:color="auto" w:fill="F6F1E8"/>
            <w:tcMar>
              <w:top w:w="160" w:type="dxa"/>
              <w:left w:w="200" w:type="dxa"/>
              <w:bottom w:w="160" w:type="dxa"/>
              <w:right w:w="200" w:type="dxa"/>
            </w:tcMar>
          </w:tcPr>
          <w:p w14:paraId="73BCB5F7" w14:textId="77777777" w:rsidR="00B874B0" w:rsidRDefault="00000000">
            <w:pPr>
              <w:pStyle w:val="Ttulo3"/>
              <w:spacing w:after="80"/>
            </w:pPr>
            <w:bookmarkStart w:id="36" w:name="_Toc236570090"/>
            <w:r>
              <w:t>Rompimento do vínculo de filiação entre pai registral e filho maior por ausência de socioafetividade e abandono material/afetivo</w:t>
            </w:r>
            <w:bookmarkEnd w:id="36"/>
          </w:p>
          <w:p w14:paraId="299DC5FC" w14:textId="77777777" w:rsidR="00B874B0" w:rsidRDefault="00000000">
            <w:pPr>
              <w:spacing w:after="40"/>
            </w:pPr>
            <w:r>
              <w:rPr>
                <w:b/>
                <w:bCs/>
                <w:color w:val="555555"/>
                <w:sz w:val="19"/>
                <w:szCs w:val="19"/>
              </w:rPr>
              <w:t>Tribunal: STJ   |   Órgão: 3ª Turma</w:t>
            </w:r>
          </w:p>
          <w:p w14:paraId="24C114C3" w14:textId="77777777" w:rsidR="00B874B0" w:rsidRDefault="00000000">
            <w:pPr>
              <w:spacing w:after="40"/>
            </w:pPr>
            <w:r>
              <w:rPr>
                <w:color w:val="555555"/>
                <w:sz w:val="19"/>
                <w:szCs w:val="19"/>
              </w:rPr>
              <w:t>Processo: REsp 2.117.287-PR   |   Relator: Min. Nancy Andrighi   |   Data: 18/02/2025</w:t>
            </w:r>
          </w:p>
          <w:p w14:paraId="1E4649DE" w14:textId="77777777" w:rsidR="00B874B0" w:rsidRDefault="00000000">
            <w:pPr>
              <w:spacing w:after="100"/>
            </w:pPr>
            <w:r>
              <w:rPr>
                <w:i/>
                <w:iCs/>
                <w:color w:val="555555"/>
                <w:sz w:val="19"/>
                <w:szCs w:val="19"/>
              </w:rPr>
              <w:t>Sistemática: Caso isolado</w:t>
            </w:r>
          </w:p>
          <w:p w14:paraId="098C9900" w14:textId="77777777" w:rsidR="00B874B0" w:rsidRDefault="00000000">
            <w:pPr>
              <w:spacing w:after="100"/>
            </w:pPr>
            <w:r>
              <w:rPr>
                <w:b/>
                <w:bCs/>
              </w:rPr>
              <w:t xml:space="preserve">TESE FIXADA / DECISÃO: </w:t>
            </w:r>
            <w:r>
              <w:t>É possível o rompimento do vínculo de filiação entre pai e filho maior de idade quando constatada a inexistência de relação socioafetiva entre as partes, somada à quebra dos deveres de cuidado do pai registral (abandono material e afetivo).</w:t>
            </w:r>
          </w:p>
          <w:p w14:paraId="71D6562F" w14:textId="77777777" w:rsidR="00B874B0" w:rsidRDefault="00000000">
            <w:pPr>
              <w:spacing w:after="100"/>
            </w:pPr>
            <w:r>
              <w:rPr>
                <w:b/>
                <w:bCs/>
              </w:rPr>
              <w:t xml:space="preserve">RESUMO DO CASO: </w:t>
            </w:r>
            <w:r>
              <w:t>Discussão sobre desconstituição da paternidade registral de filho já maior, com base na ausência de posse do estado de filho (convívio público e contínuo) e no descumprimento do dever de cuidado pelo pai registral. O STJ entendeu que, assim como a socioafetividade positiva autoriza reconhecimento de vínculo, sua ausência combinada ao abandono pode autorizar o rompimento, à luz do princípio da paternidade responsável e da proteção da personalidade em desenvolvimento.</w:t>
            </w:r>
          </w:p>
          <w:p w14:paraId="46B54A53" w14:textId="77777777" w:rsidR="00B874B0" w:rsidRDefault="00000000">
            <w:pPr>
              <w:spacing w:after="40"/>
            </w:pPr>
            <w:r>
              <w:rPr>
                <w:b/>
                <w:bCs/>
              </w:rPr>
              <w:t>COMO PODE SER COBRADO EM PROVA:</w:t>
            </w:r>
          </w:p>
          <w:p w14:paraId="33F138BB" w14:textId="77777777" w:rsidR="00B874B0" w:rsidRDefault="00000000">
            <w:pPr>
              <w:pStyle w:val="PargrafodaLista"/>
              <w:numPr>
                <w:ilvl w:val="0"/>
                <w:numId w:val="2"/>
              </w:numPr>
              <w:spacing w:after="40"/>
            </w:pPr>
            <w:r>
              <w:rPr>
                <w:b/>
                <w:bCs/>
                <w:i/>
                <w:iCs/>
              </w:rPr>
              <w:t xml:space="preserve">Objetiva: </w:t>
            </w:r>
            <w:r>
              <w:t>a filiação registral não é absoluta — pode ser desconstituída, mesmo em relação a filho maior, quando ausente a socioafetividade e comprovado abandono material/afetivo.</w:t>
            </w:r>
          </w:p>
          <w:p w14:paraId="481A2AF6" w14:textId="77777777" w:rsidR="00B874B0" w:rsidRDefault="00000000">
            <w:pPr>
              <w:pStyle w:val="PargrafodaLista"/>
              <w:numPr>
                <w:ilvl w:val="0"/>
                <w:numId w:val="2"/>
              </w:numPr>
              <w:spacing w:after="40"/>
            </w:pPr>
            <w:r>
              <w:rPr>
                <w:b/>
                <w:bCs/>
                <w:i/>
                <w:iCs/>
              </w:rPr>
              <w:t xml:space="preserve">Discursiva/Sentença: </w:t>
            </w:r>
            <w:r>
              <w:t>articular o princípio da paternidade responsável e a "dupla via" da socioafetividade (fundamenta tanto o reconhecimento quanto, em tese, a desconstituição da filiação).</w:t>
            </w:r>
          </w:p>
          <w:p w14:paraId="2EEEEEB8" w14:textId="77777777" w:rsidR="00B874B0" w:rsidRDefault="00000000">
            <w:pPr>
              <w:pStyle w:val="PargrafodaLista"/>
              <w:numPr>
                <w:ilvl w:val="0"/>
                <w:numId w:val="2"/>
              </w:numPr>
              <w:spacing w:after="100"/>
            </w:pPr>
            <w:r>
              <w:rPr>
                <w:b/>
                <w:bCs/>
                <w:i/>
                <w:iCs/>
              </w:rPr>
              <w:t xml:space="preserve">Oral: </w:t>
            </w:r>
            <w:r>
              <w:t>"A ausência de vínculo socioafetivo autoriza, por si só, a desconstituição da paternidade registral? O que mais se exige?"</w:t>
            </w:r>
          </w:p>
          <w:p w14:paraId="1F48CA09" w14:textId="77777777" w:rsidR="00B874B0" w:rsidRDefault="00000000">
            <w:r>
              <w:rPr>
                <w:b/>
                <w:bCs/>
                <w:color w:val="A9762F"/>
              </w:rPr>
              <w:t xml:space="preserve">CONEXÕES: </w:t>
            </w:r>
            <w:r>
              <w:rPr>
                <w:i/>
                <w:iCs/>
              </w:rPr>
              <w:t>tema "abandono afetivo e responsabilidade civil" (já cobrado pela FGV); posse do estado de filho; art. 1.593 do CC (parentesco por "outra origem").</w:t>
            </w:r>
          </w:p>
        </w:tc>
      </w:tr>
    </w:tbl>
    <w:p w14:paraId="087CA540" w14:textId="77777777" w:rsidR="00B874B0" w:rsidRDefault="00B874B0">
      <w:pPr>
        <w:spacing w:after="160"/>
      </w:pPr>
    </w:p>
    <w:tbl>
      <w:tblPr>
        <w:tblW w:w="5000" w:type="pct"/>
        <w:tblBorders>
          <w:top w:val="single" w:sz="8" w:space="0" w:color="C9B78C"/>
          <w:left w:val="single" w:sz="8" w:space="0" w:color="C9B78C"/>
          <w:bottom w:val="single" w:sz="8" w:space="0" w:color="C9B78C"/>
          <w:right w:val="single" w:sz="8" w:space="0" w:color="C9B78C"/>
        </w:tblBorders>
        <w:tblCellMar>
          <w:left w:w="10" w:type="dxa"/>
          <w:right w:w="10" w:type="dxa"/>
        </w:tblCellMar>
        <w:tblLook w:val="04A0" w:firstRow="1" w:lastRow="0" w:firstColumn="1" w:lastColumn="0" w:noHBand="0" w:noVBand="1"/>
      </w:tblPr>
      <w:tblGrid>
        <w:gridCol w:w="9726"/>
      </w:tblGrid>
      <w:tr w:rsidR="00B874B0" w14:paraId="39102A12" w14:textId="77777777">
        <w:tblPrEx>
          <w:tblCellMar>
            <w:top w:w="0" w:type="dxa"/>
            <w:bottom w:w="0" w:type="dxa"/>
          </w:tblCellMar>
        </w:tblPrEx>
        <w:tc>
          <w:tcPr>
            <w:tcW w:w="5000" w:type="pct"/>
            <w:shd w:val="clear" w:color="auto" w:fill="F6F1E8"/>
            <w:tcMar>
              <w:top w:w="160" w:type="dxa"/>
              <w:left w:w="200" w:type="dxa"/>
              <w:bottom w:w="160" w:type="dxa"/>
              <w:right w:w="200" w:type="dxa"/>
            </w:tcMar>
          </w:tcPr>
          <w:p w14:paraId="30DC4E4F" w14:textId="77777777" w:rsidR="00B874B0" w:rsidRDefault="00000000">
            <w:pPr>
              <w:pStyle w:val="Ttulo3"/>
              <w:spacing w:after="80"/>
            </w:pPr>
            <w:bookmarkStart w:id="37" w:name="_Toc236570091"/>
            <w:r>
              <w:t>Reconhecimento de filiação socioafetiva post mortem dos pais socioafetivos</w:t>
            </w:r>
            <w:bookmarkEnd w:id="37"/>
          </w:p>
          <w:p w14:paraId="0EB5002C" w14:textId="77777777" w:rsidR="00B874B0" w:rsidRDefault="00000000">
            <w:pPr>
              <w:spacing w:after="40"/>
            </w:pPr>
            <w:r>
              <w:rPr>
                <w:b/>
                <w:bCs/>
                <w:color w:val="555555"/>
                <w:sz w:val="19"/>
                <w:szCs w:val="19"/>
              </w:rPr>
              <w:t>Tribunal: STJ   |   Órgão: 3ª Turma</w:t>
            </w:r>
          </w:p>
          <w:p w14:paraId="50D458CC" w14:textId="77777777" w:rsidR="00B874B0" w:rsidRDefault="00000000">
            <w:pPr>
              <w:spacing w:after="40"/>
            </w:pPr>
            <w:r>
              <w:rPr>
                <w:color w:val="555555"/>
                <w:sz w:val="19"/>
                <w:szCs w:val="19"/>
              </w:rPr>
              <w:t>Processo: REsp 2.075.230-RJ   |   Relator: Min. Nancy Andrighi   |   Data: 11/02/2025</w:t>
            </w:r>
          </w:p>
          <w:p w14:paraId="7D5F6884" w14:textId="77777777" w:rsidR="00B874B0" w:rsidRDefault="00000000">
            <w:pPr>
              <w:spacing w:after="100"/>
            </w:pPr>
            <w:r>
              <w:rPr>
                <w:i/>
                <w:iCs/>
                <w:color w:val="555555"/>
                <w:sz w:val="19"/>
                <w:szCs w:val="19"/>
              </w:rPr>
              <w:t>Sistemática: Caso isolado</w:t>
            </w:r>
          </w:p>
          <w:p w14:paraId="50398B0F" w14:textId="77777777" w:rsidR="00B874B0" w:rsidRDefault="00000000">
            <w:pPr>
              <w:spacing w:after="100"/>
            </w:pPr>
            <w:r>
              <w:rPr>
                <w:b/>
                <w:bCs/>
              </w:rPr>
              <w:t xml:space="preserve">TESE FIXADA / DECISÃO: </w:t>
            </w:r>
            <w:r>
              <w:t>É cabível o reconhecimento de filiação socioafetiva mesmo após a morte do pai ou mãe socioafetivos, desde que verificada a posse do estado de filho e o conhecimento público, contínuo e duradouro dessa condição.</w:t>
            </w:r>
          </w:p>
          <w:p w14:paraId="4A98A912" w14:textId="77777777" w:rsidR="00B874B0" w:rsidRDefault="00000000">
            <w:pPr>
              <w:spacing w:after="100"/>
            </w:pPr>
            <w:r>
              <w:rPr>
                <w:b/>
                <w:bCs/>
              </w:rPr>
              <w:lastRenderedPageBreak/>
              <w:t xml:space="preserve">RESUMO DO CASO: </w:t>
            </w:r>
            <w:r>
              <w:t>Pretensão de reconhecimento judicial de filiação socioafetiva ajuizada após a morte dos pais socioafetivos. O STJ reafirmou que a filiação socioafetiva independe de procedimento formal (diferentemente da adoção) e pode ser reconhecida post mortem, desde que demonstrado o vínculo afetivo público e contínuo, mesmo tendo havido mudança de convivência na fase adulta.</w:t>
            </w:r>
          </w:p>
          <w:p w14:paraId="5D9B0396" w14:textId="77777777" w:rsidR="00B874B0" w:rsidRDefault="00000000">
            <w:pPr>
              <w:spacing w:after="40"/>
            </w:pPr>
            <w:r>
              <w:rPr>
                <w:b/>
                <w:bCs/>
              </w:rPr>
              <w:t>COMO PODE SER COBRADO EM PROVA:</w:t>
            </w:r>
          </w:p>
          <w:p w14:paraId="1EE5687C" w14:textId="77777777" w:rsidR="00B874B0" w:rsidRDefault="00000000">
            <w:pPr>
              <w:pStyle w:val="PargrafodaLista"/>
              <w:numPr>
                <w:ilvl w:val="0"/>
                <w:numId w:val="2"/>
              </w:numPr>
              <w:spacing w:after="40"/>
            </w:pPr>
            <w:r>
              <w:rPr>
                <w:b/>
                <w:bCs/>
                <w:i/>
                <w:iCs/>
              </w:rPr>
              <w:t xml:space="preserve">Objetiva: </w:t>
            </w:r>
            <w:r>
              <w:t>filiação socioafetiva pode ser reconhecida post mortem; distinção frente à adoção (que exige procedimento formal e solene).</w:t>
            </w:r>
          </w:p>
          <w:p w14:paraId="61E63277" w14:textId="77777777" w:rsidR="00B874B0" w:rsidRDefault="00000000">
            <w:pPr>
              <w:pStyle w:val="PargrafodaLista"/>
              <w:numPr>
                <w:ilvl w:val="0"/>
                <w:numId w:val="2"/>
              </w:numPr>
              <w:spacing w:after="40"/>
            </w:pPr>
            <w:r>
              <w:rPr>
                <w:b/>
                <w:bCs/>
                <w:i/>
                <w:iCs/>
              </w:rPr>
              <w:t xml:space="preserve">Discursiva/Sentença: </w:t>
            </w:r>
            <w:r>
              <w:t>requisitos para o reconhecimento post mortem da socioafetividade (posse do estado de filho: nome, trato e fama) e seus efeitos sucessórios.</w:t>
            </w:r>
          </w:p>
          <w:p w14:paraId="572ADBC4" w14:textId="77777777" w:rsidR="00B874B0" w:rsidRDefault="00000000">
            <w:pPr>
              <w:pStyle w:val="PargrafodaLista"/>
              <w:numPr>
                <w:ilvl w:val="0"/>
                <w:numId w:val="2"/>
              </w:numPr>
              <w:spacing w:after="100"/>
            </w:pPr>
            <w:r>
              <w:rPr>
                <w:b/>
                <w:bCs/>
                <w:i/>
                <w:iCs/>
              </w:rPr>
              <w:t xml:space="preserve">Oral: </w:t>
            </w:r>
            <w:r>
              <w:t>"É possível reconhecer filiação socioafetiva após a morte do suposto pai/mãe socioafetivo? Quais os requisitos?"</w:t>
            </w:r>
          </w:p>
          <w:p w14:paraId="223DD48F" w14:textId="77777777" w:rsidR="00B874B0" w:rsidRDefault="00000000">
            <w:r>
              <w:rPr>
                <w:b/>
                <w:bCs/>
                <w:color w:val="A9762F"/>
              </w:rPr>
              <w:t xml:space="preserve">CONEXÕES: </w:t>
            </w:r>
            <w:r>
              <w:rPr>
                <w:i/>
                <w:iCs/>
              </w:rPr>
              <w:t>art. 1.593 do CC; REsp 1.500.999-RJ (Info 581/2016 — reconhecimento post mortem, precedente mais antigo); multiparentalidade.</w:t>
            </w:r>
          </w:p>
        </w:tc>
      </w:tr>
    </w:tbl>
    <w:p w14:paraId="3C2AD040" w14:textId="77777777" w:rsidR="00B874B0" w:rsidRDefault="00B874B0">
      <w:pPr>
        <w:spacing w:after="160"/>
      </w:pPr>
    </w:p>
    <w:tbl>
      <w:tblPr>
        <w:tblW w:w="5000" w:type="pct"/>
        <w:tblBorders>
          <w:top w:val="single" w:sz="8" w:space="0" w:color="C9B78C"/>
          <w:left w:val="single" w:sz="8" w:space="0" w:color="C9B78C"/>
          <w:bottom w:val="single" w:sz="8" w:space="0" w:color="C9B78C"/>
          <w:right w:val="single" w:sz="8" w:space="0" w:color="C9B78C"/>
        </w:tblBorders>
        <w:tblCellMar>
          <w:left w:w="10" w:type="dxa"/>
          <w:right w:w="10" w:type="dxa"/>
        </w:tblCellMar>
        <w:tblLook w:val="04A0" w:firstRow="1" w:lastRow="0" w:firstColumn="1" w:lastColumn="0" w:noHBand="0" w:noVBand="1"/>
      </w:tblPr>
      <w:tblGrid>
        <w:gridCol w:w="9726"/>
      </w:tblGrid>
      <w:tr w:rsidR="00B874B0" w14:paraId="41C423CA" w14:textId="77777777">
        <w:tblPrEx>
          <w:tblCellMar>
            <w:top w:w="0" w:type="dxa"/>
            <w:bottom w:w="0" w:type="dxa"/>
          </w:tblCellMar>
        </w:tblPrEx>
        <w:tc>
          <w:tcPr>
            <w:tcW w:w="5000" w:type="pct"/>
            <w:shd w:val="clear" w:color="auto" w:fill="F6F1E8"/>
            <w:tcMar>
              <w:top w:w="160" w:type="dxa"/>
              <w:left w:w="200" w:type="dxa"/>
              <w:bottom w:w="160" w:type="dxa"/>
              <w:right w:w="200" w:type="dxa"/>
            </w:tcMar>
          </w:tcPr>
          <w:p w14:paraId="51840DAD" w14:textId="77777777" w:rsidR="00B874B0" w:rsidRDefault="00000000">
            <w:pPr>
              <w:pStyle w:val="Ttulo3"/>
              <w:spacing w:after="80"/>
            </w:pPr>
            <w:bookmarkStart w:id="38" w:name="_Toc236570092"/>
            <w:r>
              <w:t>Reconhecimento de filiação socioafetiva entre avós e neto</w:t>
            </w:r>
            <w:bookmarkEnd w:id="38"/>
          </w:p>
          <w:p w14:paraId="520D8B4D" w14:textId="77777777" w:rsidR="00B874B0" w:rsidRDefault="00000000">
            <w:pPr>
              <w:spacing w:after="40"/>
            </w:pPr>
            <w:r>
              <w:rPr>
                <w:b/>
                <w:bCs/>
                <w:color w:val="555555"/>
                <w:sz w:val="19"/>
                <w:szCs w:val="19"/>
              </w:rPr>
              <w:t>Tribunal: STJ   |   Órgão: 3ª Turma</w:t>
            </w:r>
          </w:p>
          <w:p w14:paraId="6CA5E090" w14:textId="77777777" w:rsidR="00B874B0" w:rsidRDefault="00000000">
            <w:pPr>
              <w:spacing w:after="40"/>
            </w:pPr>
            <w:r>
              <w:rPr>
                <w:color w:val="555555"/>
                <w:sz w:val="19"/>
                <w:szCs w:val="19"/>
              </w:rPr>
              <w:t>Processo: REsp 2.107.638-SP   |   Relator: Min. Nancy Andrighi   |   Data: 12/11/2024</w:t>
            </w:r>
          </w:p>
          <w:p w14:paraId="32A4DB1E" w14:textId="77777777" w:rsidR="00B874B0" w:rsidRDefault="00000000">
            <w:pPr>
              <w:spacing w:after="100"/>
            </w:pPr>
            <w:r>
              <w:rPr>
                <w:i/>
                <w:iCs/>
                <w:color w:val="555555"/>
                <w:sz w:val="19"/>
                <w:szCs w:val="19"/>
              </w:rPr>
              <w:t>Sistemática: Caso isolado</w:t>
            </w:r>
          </w:p>
          <w:p w14:paraId="7976C977" w14:textId="77777777" w:rsidR="00B874B0" w:rsidRDefault="00000000">
            <w:pPr>
              <w:spacing w:after="100"/>
            </w:pPr>
            <w:r>
              <w:rPr>
                <w:b/>
                <w:bCs/>
              </w:rPr>
              <w:t xml:space="preserve">TESE FIXADA / DECISÃO: </w:t>
            </w:r>
            <w:r>
              <w:t>É juridicamente possível o pedido de reconhecimento de filiação socioafetiva entre avós e neto, não havendo vedação legal expressa; o art. 42, §1º, do ECA (que veda adoção de neto por avô) não se aplica à filiação socioafetiva, pois esta não exige destituição do poder familiar.</w:t>
            </w:r>
          </w:p>
          <w:p w14:paraId="5D1BC394" w14:textId="77777777" w:rsidR="00B874B0" w:rsidRDefault="00000000">
            <w:pPr>
              <w:spacing w:after="100"/>
            </w:pPr>
            <w:r>
              <w:rPr>
                <w:b/>
                <w:bCs/>
              </w:rPr>
              <w:t xml:space="preserve">RESUMO DO CASO: </w:t>
            </w:r>
            <w:r>
              <w:t>Neto criado pelos avós maternos como pais buscou reconhecimento de filiação socioafetiva mantendo, simultaneamente, o vínculo com a mãe biológica. Instâncias inferiores negaram o pedido por entenderem aplicável, por analogia, a vedação do ECA à adoção de neto por avô. O STJ afastou essa analogia, por se tratar de institutos distintos (a filiação socioafetiva reconhece vínculo já consolidado, sem substituir o vínculo biológico).</w:t>
            </w:r>
          </w:p>
          <w:p w14:paraId="0D2AED98" w14:textId="77777777" w:rsidR="00B874B0" w:rsidRDefault="00000000">
            <w:pPr>
              <w:spacing w:after="40"/>
            </w:pPr>
            <w:r>
              <w:rPr>
                <w:b/>
                <w:bCs/>
              </w:rPr>
              <w:t>COMO PODE SER COBRADO EM PROVA:</w:t>
            </w:r>
          </w:p>
          <w:p w14:paraId="42E9981E" w14:textId="77777777" w:rsidR="00B874B0" w:rsidRDefault="00000000">
            <w:pPr>
              <w:pStyle w:val="PargrafodaLista"/>
              <w:numPr>
                <w:ilvl w:val="0"/>
                <w:numId w:val="2"/>
              </w:numPr>
              <w:spacing w:after="40"/>
            </w:pPr>
            <w:r>
              <w:rPr>
                <w:b/>
                <w:bCs/>
                <w:i/>
                <w:iCs/>
              </w:rPr>
              <w:t xml:space="preserve">Objetiva: </w:t>
            </w:r>
            <w:r>
              <w:t>distinção entre adoção de neto por avô (vedada pelo ECA) e reconhecimento de filiação socioafetiva avô-neto (permitida); ambas não se confundem.</w:t>
            </w:r>
          </w:p>
          <w:p w14:paraId="167D7DB5" w14:textId="77777777" w:rsidR="00B874B0" w:rsidRDefault="00000000">
            <w:pPr>
              <w:pStyle w:val="PargrafodaLista"/>
              <w:numPr>
                <w:ilvl w:val="0"/>
                <w:numId w:val="2"/>
              </w:numPr>
              <w:spacing w:after="40"/>
            </w:pPr>
            <w:r>
              <w:rPr>
                <w:b/>
                <w:bCs/>
                <w:i/>
                <w:iCs/>
              </w:rPr>
              <w:t xml:space="preserve">Discursiva/Sentença: </w:t>
            </w:r>
            <w:r>
              <w:t>fundamentar por que a vedação do art. 42, §1º, ECA não é extensível à filiação socioafetiva, sob a ótica da multiparentalidade e proteção à personalidade.</w:t>
            </w:r>
          </w:p>
          <w:p w14:paraId="674C552E" w14:textId="77777777" w:rsidR="00B874B0" w:rsidRDefault="00000000">
            <w:pPr>
              <w:pStyle w:val="PargrafodaLista"/>
              <w:numPr>
                <w:ilvl w:val="0"/>
                <w:numId w:val="2"/>
              </w:numPr>
              <w:spacing w:after="100"/>
            </w:pPr>
            <w:r>
              <w:rPr>
                <w:b/>
                <w:bCs/>
                <w:i/>
                <w:iCs/>
              </w:rPr>
              <w:t xml:space="preserve">Oral: </w:t>
            </w:r>
            <w:r>
              <w:t>"A vedação de adoção de neto por avô impede o reconhecimento de filiação socioafetiva entre eles?"</w:t>
            </w:r>
          </w:p>
          <w:p w14:paraId="766CAA09" w14:textId="77777777" w:rsidR="00B874B0" w:rsidRDefault="00000000">
            <w:r>
              <w:rPr>
                <w:b/>
                <w:bCs/>
                <w:color w:val="A9762F"/>
              </w:rPr>
              <w:t xml:space="preserve">CONEXÕES: </w:t>
            </w:r>
            <w:r>
              <w:rPr>
                <w:i/>
                <w:iCs/>
              </w:rPr>
              <w:t>art. 42, §1º, ECA; multiparentalidade; art. 1.593 do CC.</w:t>
            </w:r>
          </w:p>
        </w:tc>
      </w:tr>
    </w:tbl>
    <w:p w14:paraId="1C9DD46D" w14:textId="77777777" w:rsidR="00B874B0" w:rsidRDefault="00B874B0">
      <w:pPr>
        <w:spacing w:after="160"/>
      </w:pPr>
    </w:p>
    <w:tbl>
      <w:tblPr>
        <w:tblW w:w="5000" w:type="pct"/>
        <w:tblBorders>
          <w:top w:val="single" w:sz="8" w:space="0" w:color="C9B78C"/>
          <w:left w:val="single" w:sz="8" w:space="0" w:color="C9B78C"/>
          <w:bottom w:val="single" w:sz="8" w:space="0" w:color="C9B78C"/>
          <w:right w:val="single" w:sz="8" w:space="0" w:color="C9B78C"/>
        </w:tblBorders>
        <w:tblCellMar>
          <w:left w:w="10" w:type="dxa"/>
          <w:right w:w="10" w:type="dxa"/>
        </w:tblCellMar>
        <w:tblLook w:val="04A0" w:firstRow="1" w:lastRow="0" w:firstColumn="1" w:lastColumn="0" w:noHBand="0" w:noVBand="1"/>
      </w:tblPr>
      <w:tblGrid>
        <w:gridCol w:w="9726"/>
      </w:tblGrid>
      <w:tr w:rsidR="00B874B0" w14:paraId="44B301F9" w14:textId="77777777">
        <w:tblPrEx>
          <w:tblCellMar>
            <w:top w:w="0" w:type="dxa"/>
            <w:bottom w:w="0" w:type="dxa"/>
          </w:tblCellMar>
        </w:tblPrEx>
        <w:tc>
          <w:tcPr>
            <w:tcW w:w="5000" w:type="pct"/>
            <w:shd w:val="clear" w:color="auto" w:fill="F6F1E8"/>
            <w:tcMar>
              <w:top w:w="160" w:type="dxa"/>
              <w:left w:w="200" w:type="dxa"/>
              <w:bottom w:w="160" w:type="dxa"/>
              <w:right w:w="200" w:type="dxa"/>
            </w:tcMar>
          </w:tcPr>
          <w:p w14:paraId="6DEB1D7B" w14:textId="77777777" w:rsidR="00B874B0" w:rsidRDefault="00000000">
            <w:pPr>
              <w:pStyle w:val="Ttulo3"/>
              <w:spacing w:after="80"/>
            </w:pPr>
            <w:bookmarkStart w:id="39" w:name="_Toc236570093"/>
            <w:r>
              <w:t>Presunção de maternidade de mãe não biológica em inseminação artificial caseira, em união estável homoafetiva</w:t>
            </w:r>
            <w:bookmarkEnd w:id="39"/>
          </w:p>
          <w:p w14:paraId="6FD6E740" w14:textId="77777777" w:rsidR="00B874B0" w:rsidRDefault="00000000">
            <w:pPr>
              <w:spacing w:after="40"/>
            </w:pPr>
            <w:r>
              <w:rPr>
                <w:b/>
                <w:bCs/>
                <w:color w:val="555555"/>
                <w:sz w:val="19"/>
                <w:szCs w:val="19"/>
              </w:rPr>
              <w:t>Tribunal: STJ   |   Órgão: 3ª Turma</w:t>
            </w:r>
          </w:p>
          <w:p w14:paraId="22726DED" w14:textId="77777777" w:rsidR="00B874B0" w:rsidRDefault="00000000">
            <w:pPr>
              <w:spacing w:after="40"/>
            </w:pPr>
            <w:r>
              <w:rPr>
                <w:color w:val="555555"/>
                <w:sz w:val="19"/>
                <w:szCs w:val="19"/>
              </w:rPr>
              <w:t>Processo: REsp 2.137.415-SP   |   Relator: Min. Nancy Andrighi   |   Data: 15/10/2024</w:t>
            </w:r>
          </w:p>
          <w:p w14:paraId="1AEFD153" w14:textId="77777777" w:rsidR="00B874B0" w:rsidRDefault="00000000">
            <w:pPr>
              <w:spacing w:after="100"/>
            </w:pPr>
            <w:r>
              <w:rPr>
                <w:i/>
                <w:iCs/>
                <w:color w:val="555555"/>
                <w:sz w:val="19"/>
                <w:szCs w:val="19"/>
              </w:rPr>
              <w:t>Sistemática: Caso isolado</w:t>
            </w:r>
          </w:p>
          <w:p w14:paraId="7D3E27C7" w14:textId="77777777" w:rsidR="00B874B0" w:rsidRDefault="00000000">
            <w:pPr>
              <w:spacing w:after="100"/>
            </w:pPr>
            <w:r>
              <w:rPr>
                <w:b/>
                <w:bCs/>
              </w:rPr>
              <w:t xml:space="preserve">TESE FIXADA / DECISÃO: </w:t>
            </w:r>
            <w:r>
              <w:t>É possível presumir a maternidade de mãe não biológica de criança gerada por inseminação artificial caseira (sem intermediação de clínica) no curso de união estável homoafetiva, dispensando documentação de clínica especializada.</w:t>
            </w:r>
          </w:p>
          <w:p w14:paraId="5488FA33" w14:textId="77777777" w:rsidR="00B874B0" w:rsidRDefault="00000000">
            <w:pPr>
              <w:spacing w:after="100"/>
            </w:pPr>
            <w:r>
              <w:rPr>
                <w:b/>
                <w:bCs/>
              </w:rPr>
              <w:t xml:space="preserve">RESUMO DO CASO: </w:t>
            </w:r>
            <w:r>
              <w:t xml:space="preserve">Casal em união estável homoafetiva feminina recorreu à inseminação artificial "caseira" (sem clínica) por razões financeiras. Após o nascimento, buscaram registrar a filha com o nome de ambas as mães; o TJ/SP exigiu documentação de clínica especializada para presumir a dupla maternidade. O STJ </w:t>
            </w:r>
            <w:r>
              <w:lastRenderedPageBreak/>
              <w:t>reformou, autorizando o registro com base no planejamento familiar e no melhor interesse da criança, dispensando prova documental da clínica.</w:t>
            </w:r>
          </w:p>
          <w:p w14:paraId="25F34893" w14:textId="77777777" w:rsidR="00B874B0" w:rsidRDefault="00000000">
            <w:pPr>
              <w:spacing w:after="40"/>
            </w:pPr>
            <w:r>
              <w:rPr>
                <w:b/>
                <w:bCs/>
              </w:rPr>
              <w:t>COMO PODE SER COBRADO EM PROVA:</w:t>
            </w:r>
          </w:p>
          <w:p w14:paraId="01340546" w14:textId="77777777" w:rsidR="00B874B0" w:rsidRDefault="00000000">
            <w:pPr>
              <w:pStyle w:val="PargrafodaLista"/>
              <w:numPr>
                <w:ilvl w:val="0"/>
                <w:numId w:val="2"/>
              </w:numPr>
              <w:spacing w:after="40"/>
            </w:pPr>
            <w:r>
              <w:rPr>
                <w:b/>
                <w:bCs/>
                <w:i/>
                <w:iCs/>
              </w:rPr>
              <w:t xml:space="preserve">Objetiva: </w:t>
            </w:r>
            <w:r>
              <w:t>a presunção de maternidade em reprodução assistida heteróloga em uniões homoafetivas não exige documentação de clínica, mesmo em inseminação caseira — aplica-se o art. 1.597, V, do CC por analogia/interpretação extensiva.</w:t>
            </w:r>
          </w:p>
          <w:p w14:paraId="43BB080D" w14:textId="77777777" w:rsidR="00B874B0" w:rsidRDefault="00000000">
            <w:pPr>
              <w:pStyle w:val="PargrafodaLista"/>
              <w:numPr>
                <w:ilvl w:val="0"/>
                <w:numId w:val="2"/>
              </w:numPr>
              <w:spacing w:after="40"/>
            </w:pPr>
            <w:r>
              <w:rPr>
                <w:b/>
                <w:bCs/>
                <w:i/>
                <w:iCs/>
              </w:rPr>
              <w:t xml:space="preserve">Discursiva/Sentença: </w:t>
            </w:r>
            <w:r>
              <w:t>elaborar fundamentação sobre planejamento familiar, isonomia e melhor interesse da criança para autorizar o duplo registro materno sem indicação de doador.</w:t>
            </w:r>
          </w:p>
          <w:p w14:paraId="7930A859" w14:textId="77777777" w:rsidR="00B874B0" w:rsidRDefault="00000000">
            <w:pPr>
              <w:pStyle w:val="PargrafodaLista"/>
              <w:numPr>
                <w:ilvl w:val="0"/>
                <w:numId w:val="2"/>
              </w:numPr>
              <w:spacing w:after="100"/>
            </w:pPr>
            <w:r>
              <w:rPr>
                <w:b/>
                <w:bCs/>
                <w:i/>
                <w:iCs/>
              </w:rPr>
              <w:t xml:space="preserve">Oral: </w:t>
            </w:r>
            <w:r>
              <w:t>"A ausência de documentação de clínica de reprodução assistida impede o registro de dupla maternidade em união homoafetiva?"</w:t>
            </w:r>
          </w:p>
          <w:p w14:paraId="5AB74A87" w14:textId="77777777" w:rsidR="00B874B0" w:rsidRDefault="00000000">
            <w:r>
              <w:rPr>
                <w:b/>
                <w:bCs/>
                <w:color w:val="A9762F"/>
              </w:rPr>
              <w:t xml:space="preserve">CONEXÕES: </w:t>
            </w:r>
            <w:r>
              <w:rPr>
                <w:i/>
                <w:iCs/>
              </w:rPr>
              <w:t>art. 1.597, V, CC (presunção pater is est aplicada por analogia); tema já cobrado pela FGV — registro de filho de casal homoafetivo feminino por inseminação heteróloga.</w:t>
            </w:r>
          </w:p>
        </w:tc>
      </w:tr>
    </w:tbl>
    <w:p w14:paraId="225F7AA3" w14:textId="77777777" w:rsidR="00B874B0" w:rsidRDefault="00B874B0">
      <w:pPr>
        <w:spacing w:after="160"/>
      </w:pPr>
    </w:p>
    <w:tbl>
      <w:tblPr>
        <w:tblW w:w="5000" w:type="pct"/>
        <w:tblBorders>
          <w:top w:val="single" w:sz="8" w:space="0" w:color="C9B78C"/>
          <w:left w:val="single" w:sz="8" w:space="0" w:color="C9B78C"/>
          <w:bottom w:val="single" w:sz="8" w:space="0" w:color="C9B78C"/>
          <w:right w:val="single" w:sz="8" w:space="0" w:color="C9B78C"/>
        </w:tblBorders>
        <w:tblCellMar>
          <w:left w:w="10" w:type="dxa"/>
          <w:right w:w="10" w:type="dxa"/>
        </w:tblCellMar>
        <w:tblLook w:val="04A0" w:firstRow="1" w:lastRow="0" w:firstColumn="1" w:lastColumn="0" w:noHBand="0" w:noVBand="1"/>
      </w:tblPr>
      <w:tblGrid>
        <w:gridCol w:w="9726"/>
      </w:tblGrid>
      <w:tr w:rsidR="00B874B0" w14:paraId="29484CEA" w14:textId="77777777">
        <w:tblPrEx>
          <w:tblCellMar>
            <w:top w:w="0" w:type="dxa"/>
            <w:bottom w:w="0" w:type="dxa"/>
          </w:tblCellMar>
        </w:tblPrEx>
        <w:tc>
          <w:tcPr>
            <w:tcW w:w="5000" w:type="pct"/>
            <w:shd w:val="clear" w:color="auto" w:fill="F6F1E8"/>
            <w:tcMar>
              <w:top w:w="160" w:type="dxa"/>
              <w:left w:w="200" w:type="dxa"/>
              <w:bottom w:w="160" w:type="dxa"/>
              <w:right w:w="200" w:type="dxa"/>
            </w:tcMar>
          </w:tcPr>
          <w:p w14:paraId="43F07623" w14:textId="77777777" w:rsidR="00B874B0" w:rsidRDefault="00000000">
            <w:pPr>
              <w:pStyle w:val="Ttulo3"/>
              <w:spacing w:after="80"/>
            </w:pPr>
            <w:bookmarkStart w:id="40" w:name="_Toc236570094"/>
            <w:r>
              <w:t>Competência internacional: investigação de paternidade x petição de herança</w:t>
            </w:r>
            <w:bookmarkEnd w:id="40"/>
          </w:p>
          <w:p w14:paraId="7AF0FC05" w14:textId="77777777" w:rsidR="00B874B0" w:rsidRDefault="00000000">
            <w:pPr>
              <w:spacing w:after="40"/>
            </w:pPr>
            <w:r>
              <w:rPr>
                <w:b/>
                <w:bCs/>
                <w:color w:val="555555"/>
                <w:sz w:val="19"/>
                <w:szCs w:val="19"/>
              </w:rPr>
              <w:t>Tribunal: STJ   |   Órgão: 3ª Turma</w:t>
            </w:r>
          </w:p>
          <w:p w14:paraId="0A014DD2" w14:textId="77777777" w:rsidR="00B874B0" w:rsidRDefault="00000000">
            <w:pPr>
              <w:spacing w:after="40"/>
            </w:pPr>
            <w:r>
              <w:rPr>
                <w:color w:val="555555"/>
                <w:sz w:val="19"/>
                <w:szCs w:val="19"/>
              </w:rPr>
              <w:t>Processo: REsp 2.030.897-DF   |   Relator: Min. Marco Aurélio Bellizze   |   Data: 20/08/2024</w:t>
            </w:r>
          </w:p>
          <w:p w14:paraId="6F132A75" w14:textId="77777777" w:rsidR="00B874B0" w:rsidRDefault="00000000">
            <w:pPr>
              <w:spacing w:after="100"/>
            </w:pPr>
            <w:r>
              <w:rPr>
                <w:i/>
                <w:iCs/>
                <w:color w:val="555555"/>
                <w:sz w:val="19"/>
                <w:szCs w:val="19"/>
              </w:rPr>
              <w:t>Sistemática: Caso isolado</w:t>
            </w:r>
          </w:p>
          <w:p w14:paraId="4D50BB0C" w14:textId="77777777" w:rsidR="00B874B0" w:rsidRDefault="00000000">
            <w:pPr>
              <w:spacing w:after="100"/>
            </w:pPr>
            <w:r>
              <w:rPr>
                <w:b/>
                <w:bCs/>
              </w:rPr>
              <w:t xml:space="preserve">TESE FIXADA / DECISÃO: </w:t>
            </w:r>
            <w:r>
              <w:t>A justiça brasileira não é competente para julgar investigação de paternidade proposta por estrangeiro sem domicílio no Brasil (art. 7º c/c art. 12, caput, da LINDB), mas é competente para julgar petição de herança relativa a bens situados no Brasil, podendo, nessa ação, analisar a paternidade como causa de pedir (art. 23, II, CPC).</w:t>
            </w:r>
          </w:p>
          <w:p w14:paraId="2D248E9B" w14:textId="77777777" w:rsidR="00B874B0" w:rsidRDefault="00000000">
            <w:pPr>
              <w:spacing w:after="100"/>
            </w:pPr>
            <w:r>
              <w:rPr>
                <w:b/>
                <w:bCs/>
              </w:rPr>
              <w:t xml:space="preserve">RESUMO DO CASO: </w:t>
            </w:r>
            <w:r>
              <w:t>Estrangeiro sem domicílio no Brasil pretendia, simultaneamente, o reconhecimento de paternidade e direitos hereditários sobre bens do suposto pai falecido situados no Brasil. O STJ distinguiu as duas pretensões: investigação de paternidade autônoma (incompetência da justiça brasileira) versus petição de herança (competência exclusiva brasileira quanto aos bens aqui situados, podendo a paternidade ser discutida incidentalmente).</w:t>
            </w:r>
          </w:p>
          <w:p w14:paraId="6E7FA294" w14:textId="77777777" w:rsidR="00B874B0" w:rsidRDefault="00000000">
            <w:pPr>
              <w:spacing w:after="40"/>
            </w:pPr>
            <w:r>
              <w:rPr>
                <w:b/>
                <w:bCs/>
              </w:rPr>
              <w:t>COMO PODE SER COBRADO EM PROVA:</w:t>
            </w:r>
          </w:p>
          <w:p w14:paraId="318CF28A" w14:textId="77777777" w:rsidR="00B874B0" w:rsidRDefault="00000000">
            <w:pPr>
              <w:pStyle w:val="PargrafodaLista"/>
              <w:numPr>
                <w:ilvl w:val="0"/>
                <w:numId w:val="2"/>
              </w:numPr>
              <w:spacing w:after="40"/>
            </w:pPr>
            <w:r>
              <w:rPr>
                <w:b/>
                <w:bCs/>
                <w:i/>
                <w:iCs/>
              </w:rPr>
              <w:t xml:space="preserve">Objetiva: </w:t>
            </w:r>
            <w:r>
              <w:t>aplicação combinada dos arts. 7º e 12 da LINDB e art. 23, II, do CPC para fixar competência internacional em ações de família/sucessões.</w:t>
            </w:r>
          </w:p>
          <w:p w14:paraId="07416BD5" w14:textId="77777777" w:rsidR="00B874B0" w:rsidRDefault="00000000">
            <w:pPr>
              <w:pStyle w:val="PargrafodaLista"/>
              <w:numPr>
                <w:ilvl w:val="0"/>
                <w:numId w:val="2"/>
              </w:numPr>
              <w:spacing w:after="40"/>
            </w:pPr>
            <w:r>
              <w:rPr>
                <w:b/>
                <w:bCs/>
                <w:i/>
                <w:iCs/>
              </w:rPr>
              <w:t xml:space="preserve">Discursiva/Sentença: </w:t>
            </w:r>
            <w:r>
              <w:t>questão de competência internacional cruzando direito de família e sucessões — pedir a redação de despacho declinando competência para investigação autônoma, mas processando a petição de herança.</w:t>
            </w:r>
          </w:p>
          <w:p w14:paraId="73D279BB" w14:textId="77777777" w:rsidR="00B874B0" w:rsidRDefault="00000000">
            <w:pPr>
              <w:pStyle w:val="PargrafodaLista"/>
              <w:numPr>
                <w:ilvl w:val="0"/>
                <w:numId w:val="2"/>
              </w:numPr>
              <w:spacing w:after="100"/>
            </w:pPr>
            <w:r>
              <w:rPr>
                <w:b/>
                <w:bCs/>
                <w:i/>
                <w:iCs/>
              </w:rPr>
              <w:t xml:space="preserve">Oral: </w:t>
            </w:r>
            <w:r>
              <w:t>"A justiça brasileira pode discutir paternidade incidentalmente mesmo sem competência para a investigação autônoma?"</w:t>
            </w:r>
          </w:p>
          <w:p w14:paraId="6C94F357" w14:textId="77777777" w:rsidR="00B874B0" w:rsidRDefault="00000000">
            <w:r>
              <w:rPr>
                <w:b/>
                <w:bCs/>
                <w:color w:val="A9762F"/>
              </w:rPr>
              <w:t xml:space="preserve">CONEXÕES: </w:t>
            </w:r>
            <w:r>
              <w:rPr>
                <w:i/>
                <w:iCs/>
              </w:rPr>
              <w:t>arts. 7º, 12 e 23, II, CPC; LINDB; sucessões internacionais.</w:t>
            </w:r>
          </w:p>
        </w:tc>
      </w:tr>
    </w:tbl>
    <w:p w14:paraId="55BB6DAC" w14:textId="77777777" w:rsidR="00B874B0" w:rsidRDefault="00B874B0">
      <w:pPr>
        <w:spacing w:after="160"/>
      </w:pPr>
    </w:p>
    <w:tbl>
      <w:tblPr>
        <w:tblW w:w="5000" w:type="pct"/>
        <w:tblBorders>
          <w:top w:val="single" w:sz="8" w:space="0" w:color="C9B78C"/>
          <w:left w:val="single" w:sz="8" w:space="0" w:color="C9B78C"/>
          <w:bottom w:val="single" w:sz="8" w:space="0" w:color="C9B78C"/>
          <w:right w:val="single" w:sz="8" w:space="0" w:color="C9B78C"/>
        </w:tblBorders>
        <w:tblCellMar>
          <w:left w:w="10" w:type="dxa"/>
          <w:right w:w="10" w:type="dxa"/>
        </w:tblCellMar>
        <w:tblLook w:val="04A0" w:firstRow="1" w:lastRow="0" w:firstColumn="1" w:lastColumn="0" w:noHBand="0" w:noVBand="1"/>
      </w:tblPr>
      <w:tblGrid>
        <w:gridCol w:w="9726"/>
      </w:tblGrid>
      <w:tr w:rsidR="00B874B0" w14:paraId="0DF408AE" w14:textId="77777777">
        <w:tblPrEx>
          <w:tblCellMar>
            <w:top w:w="0" w:type="dxa"/>
            <w:bottom w:w="0" w:type="dxa"/>
          </w:tblCellMar>
        </w:tblPrEx>
        <w:tc>
          <w:tcPr>
            <w:tcW w:w="5000" w:type="pct"/>
            <w:shd w:val="clear" w:color="auto" w:fill="F6F1E8"/>
            <w:tcMar>
              <w:top w:w="160" w:type="dxa"/>
              <w:left w:w="200" w:type="dxa"/>
              <w:bottom w:w="160" w:type="dxa"/>
              <w:right w:w="200" w:type="dxa"/>
            </w:tcMar>
          </w:tcPr>
          <w:p w14:paraId="126B2FF6" w14:textId="77777777" w:rsidR="00B874B0" w:rsidRDefault="00000000">
            <w:pPr>
              <w:pStyle w:val="Ttulo3"/>
              <w:spacing w:after="80"/>
            </w:pPr>
            <w:bookmarkStart w:id="41" w:name="_Toc236570095"/>
            <w:r>
              <w:t>Relativização da coisa julgada em investigação de paternidade sem DNA, diante de exame judicial negativo posterior</w:t>
            </w:r>
            <w:bookmarkEnd w:id="41"/>
          </w:p>
          <w:p w14:paraId="351BA6FE" w14:textId="77777777" w:rsidR="00B874B0" w:rsidRDefault="00000000">
            <w:pPr>
              <w:spacing w:after="40"/>
            </w:pPr>
            <w:r>
              <w:rPr>
                <w:b/>
                <w:bCs/>
                <w:color w:val="555555"/>
                <w:sz w:val="19"/>
                <w:szCs w:val="19"/>
              </w:rPr>
              <w:t>Tribunal: STJ   |   Órgão: 4ª Turma</w:t>
            </w:r>
          </w:p>
          <w:p w14:paraId="00E221B7" w14:textId="77777777" w:rsidR="00B874B0" w:rsidRDefault="00000000">
            <w:pPr>
              <w:spacing w:after="40"/>
            </w:pPr>
            <w:r>
              <w:rPr>
                <w:color w:val="555555"/>
                <w:sz w:val="19"/>
                <w:szCs w:val="19"/>
              </w:rPr>
              <w:t>Processo: REsp 1.639.372-SC   |   Relator: Min. Raul Araújo   |   Data: 04/06/2024</w:t>
            </w:r>
          </w:p>
          <w:p w14:paraId="7E3408DF" w14:textId="77777777" w:rsidR="00B874B0" w:rsidRDefault="00000000">
            <w:pPr>
              <w:spacing w:after="100"/>
            </w:pPr>
            <w:r>
              <w:rPr>
                <w:i/>
                <w:iCs/>
                <w:color w:val="555555"/>
                <w:sz w:val="19"/>
                <w:szCs w:val="19"/>
              </w:rPr>
              <w:t>Sistemática: Caso isolado (aplica entendimento do Tema de Repercussão Geral do STF — RE 363.889)</w:t>
            </w:r>
          </w:p>
          <w:p w14:paraId="2D455756" w14:textId="77777777" w:rsidR="00B874B0" w:rsidRDefault="00000000">
            <w:pPr>
              <w:spacing w:after="100"/>
            </w:pPr>
            <w:r>
              <w:rPr>
                <w:b/>
                <w:bCs/>
              </w:rPr>
              <w:t xml:space="preserve">TESE FIXADA / DECISÃO: </w:t>
            </w:r>
            <w:r>
              <w:t>É possível a relativização da coisa julgada de anterior ação de investigação de paternidade em que não foi realizado exame de DNA (ainda que por recusa do pretenso pai), quando exista resultado negativo obtido em exame posteriormente realizado por determinação do próprio Judiciário.</w:t>
            </w:r>
          </w:p>
          <w:p w14:paraId="58345B14" w14:textId="77777777" w:rsidR="00B874B0" w:rsidRDefault="00000000">
            <w:pPr>
              <w:spacing w:after="100"/>
            </w:pPr>
            <w:r>
              <w:rPr>
                <w:b/>
                <w:bCs/>
              </w:rPr>
              <w:t xml:space="preserve">RESUMO DO CASO: </w:t>
            </w:r>
            <w:r>
              <w:t xml:space="preserve">Em ação de investigação de paternidade de 1992, o réu recusou-se a fazer DNA e a paternidade foi reconhecida com base em outras provas (Súmula 301/STJ). Anos depois, o próprio Judiciário </w:t>
            </w:r>
            <w:r>
              <w:lastRenderedPageBreak/>
              <w:t>determinou novo exame de DNA em ação negatória, que comprovou a inexistência de vínculo biológico. O juízo extinguiu o processo por coisa julgada, mas o STJ relativizou-a diante da peculiaridade de o exame ter sido autorizado judicialmente e ter resultado negativo.</w:t>
            </w:r>
          </w:p>
          <w:p w14:paraId="6B96EA20" w14:textId="77777777" w:rsidR="00B874B0" w:rsidRDefault="00000000">
            <w:pPr>
              <w:spacing w:after="40"/>
            </w:pPr>
            <w:r>
              <w:rPr>
                <w:b/>
                <w:bCs/>
              </w:rPr>
              <w:t>COMO PODE SER COBRADO EM PROVA:</w:t>
            </w:r>
          </w:p>
          <w:p w14:paraId="17A0C1FE" w14:textId="77777777" w:rsidR="00B874B0" w:rsidRDefault="00000000">
            <w:pPr>
              <w:pStyle w:val="PargrafodaLista"/>
              <w:numPr>
                <w:ilvl w:val="0"/>
                <w:numId w:val="2"/>
              </w:numPr>
              <w:spacing w:after="40"/>
            </w:pPr>
            <w:r>
              <w:rPr>
                <w:b/>
                <w:bCs/>
                <w:i/>
                <w:iCs/>
              </w:rPr>
              <w:t xml:space="preserve">Objetiva: </w:t>
            </w:r>
            <w:r>
              <w:t>relativização da coisa julgada em investigação de paternidade (RE 363.889/STF, Repercussão Geral) e seus limites/exceções.</w:t>
            </w:r>
          </w:p>
          <w:p w14:paraId="0D3EE433" w14:textId="77777777" w:rsidR="00B874B0" w:rsidRDefault="00000000">
            <w:pPr>
              <w:pStyle w:val="PargrafodaLista"/>
              <w:numPr>
                <w:ilvl w:val="0"/>
                <w:numId w:val="2"/>
              </w:numPr>
              <w:spacing w:after="40"/>
            </w:pPr>
            <w:r>
              <w:rPr>
                <w:b/>
                <w:bCs/>
                <w:i/>
                <w:iCs/>
              </w:rPr>
              <w:t xml:space="preserve">Discursiva/Sentença: </w:t>
            </w:r>
            <w:r>
              <w:t>comparar com o REsp 1.562.239/MS (Info 604/2017) — que NEGA a relativização quando o reconhecimento decorreu de recusa do investigado a comparecer ao laboratório — traçando a linha divisória entre os dois precedentes.</w:t>
            </w:r>
          </w:p>
          <w:p w14:paraId="40C53179" w14:textId="77777777" w:rsidR="00B874B0" w:rsidRDefault="00000000">
            <w:pPr>
              <w:pStyle w:val="PargrafodaLista"/>
              <w:numPr>
                <w:ilvl w:val="0"/>
                <w:numId w:val="2"/>
              </w:numPr>
              <w:spacing w:after="100"/>
            </w:pPr>
            <w:r>
              <w:rPr>
                <w:b/>
                <w:bCs/>
                <w:i/>
                <w:iCs/>
              </w:rPr>
              <w:t xml:space="preserve">Oral: </w:t>
            </w:r>
            <w:r>
              <w:t>"Em que hipóteses a coisa julgada em ação de investigação de paternidade pode ser relativizada?"</w:t>
            </w:r>
          </w:p>
          <w:p w14:paraId="6807CA98" w14:textId="77777777" w:rsidR="00B874B0" w:rsidRDefault="00000000">
            <w:r>
              <w:rPr>
                <w:b/>
                <w:bCs/>
                <w:color w:val="A9762F"/>
              </w:rPr>
              <w:t xml:space="preserve">CONEXÕES: </w:t>
            </w:r>
            <w:r>
              <w:rPr>
                <w:i/>
                <w:iCs/>
              </w:rPr>
              <w:t>RE 363.889 (STF, Repercussão Geral, 2011); Súmula 301/STJ; REsp 1.562.239/MS (Info 604) — tese oposta/limitadora.</w:t>
            </w:r>
          </w:p>
        </w:tc>
      </w:tr>
    </w:tbl>
    <w:p w14:paraId="65FDBE6B" w14:textId="77777777" w:rsidR="00B874B0" w:rsidRDefault="00B874B0">
      <w:pPr>
        <w:spacing w:after="160"/>
      </w:pPr>
    </w:p>
    <w:tbl>
      <w:tblPr>
        <w:tblW w:w="5000" w:type="pct"/>
        <w:tblBorders>
          <w:top w:val="single" w:sz="8" w:space="0" w:color="C9B78C"/>
          <w:left w:val="single" w:sz="8" w:space="0" w:color="C9B78C"/>
          <w:bottom w:val="single" w:sz="8" w:space="0" w:color="C9B78C"/>
          <w:right w:val="single" w:sz="8" w:space="0" w:color="C9B78C"/>
        </w:tblBorders>
        <w:tblCellMar>
          <w:left w:w="10" w:type="dxa"/>
          <w:right w:w="10" w:type="dxa"/>
        </w:tblCellMar>
        <w:tblLook w:val="04A0" w:firstRow="1" w:lastRow="0" w:firstColumn="1" w:lastColumn="0" w:noHBand="0" w:noVBand="1"/>
      </w:tblPr>
      <w:tblGrid>
        <w:gridCol w:w="9726"/>
      </w:tblGrid>
      <w:tr w:rsidR="00B874B0" w14:paraId="3FB9D496" w14:textId="77777777">
        <w:tblPrEx>
          <w:tblCellMar>
            <w:top w:w="0" w:type="dxa"/>
            <w:bottom w:w="0" w:type="dxa"/>
          </w:tblCellMar>
        </w:tblPrEx>
        <w:tc>
          <w:tcPr>
            <w:tcW w:w="5000" w:type="pct"/>
            <w:shd w:val="clear" w:color="auto" w:fill="F6F1E8"/>
            <w:tcMar>
              <w:top w:w="160" w:type="dxa"/>
              <w:left w:w="200" w:type="dxa"/>
              <w:bottom w:w="160" w:type="dxa"/>
              <w:right w:w="200" w:type="dxa"/>
            </w:tcMar>
          </w:tcPr>
          <w:p w14:paraId="527F0C73" w14:textId="77777777" w:rsidR="00B874B0" w:rsidRDefault="00000000">
            <w:pPr>
              <w:pStyle w:val="Ttulo3"/>
              <w:spacing w:after="80"/>
            </w:pPr>
            <w:bookmarkStart w:id="42" w:name="_Toc236570096"/>
            <w:r>
              <w:t>Legitimidade do cônjuge supérstite para ação anulatória de registro de nascimento por falsidade ideológica</w:t>
            </w:r>
            <w:bookmarkEnd w:id="42"/>
          </w:p>
          <w:p w14:paraId="6F0D8219" w14:textId="77777777" w:rsidR="00B874B0" w:rsidRDefault="00000000">
            <w:pPr>
              <w:spacing w:after="40"/>
            </w:pPr>
            <w:r>
              <w:rPr>
                <w:b/>
                <w:bCs/>
                <w:color w:val="555555"/>
                <w:sz w:val="19"/>
                <w:szCs w:val="19"/>
              </w:rPr>
              <w:t>Tribunal: STJ   |   Órgão: 3ª Turma</w:t>
            </w:r>
          </w:p>
          <w:p w14:paraId="7444EF9E" w14:textId="77777777" w:rsidR="00B874B0" w:rsidRDefault="00000000">
            <w:pPr>
              <w:spacing w:after="40"/>
            </w:pPr>
            <w:r>
              <w:rPr>
                <w:color w:val="555555"/>
                <w:sz w:val="19"/>
                <w:szCs w:val="19"/>
              </w:rPr>
              <w:t>Processo: REsp 1.952.565/DF   |   Relator: Min. Marco Aurélio Bellizze   |   Data: 12/03/2024</w:t>
            </w:r>
          </w:p>
          <w:p w14:paraId="13A96807" w14:textId="77777777" w:rsidR="00B874B0" w:rsidRDefault="00000000">
            <w:pPr>
              <w:spacing w:after="100"/>
            </w:pPr>
            <w:r>
              <w:rPr>
                <w:i/>
                <w:iCs/>
                <w:color w:val="555555"/>
                <w:sz w:val="19"/>
                <w:szCs w:val="19"/>
              </w:rPr>
              <w:t>Sistemática: Caso isolado</w:t>
            </w:r>
          </w:p>
          <w:p w14:paraId="6508901C" w14:textId="77777777" w:rsidR="00B874B0" w:rsidRDefault="00000000">
            <w:pPr>
              <w:spacing w:after="100"/>
            </w:pPr>
            <w:r>
              <w:rPr>
                <w:b/>
                <w:bCs/>
              </w:rPr>
              <w:t xml:space="preserve">TESE FIXADA / DECISÃO: </w:t>
            </w:r>
            <w:r>
              <w:t>A ação negatória de paternidade (art. 1.601, CC) é personalíssima do pai registral; já a ação anulatória de registro civil por falsidade ideológica (art. 1.604, CC) pode ser proposta por qualquer interessado — inclusive o cônjuge supérstite do pai registral.</w:t>
            </w:r>
          </w:p>
          <w:p w14:paraId="148D6B86" w14:textId="77777777" w:rsidR="00B874B0" w:rsidRDefault="00000000">
            <w:pPr>
              <w:spacing w:after="100"/>
            </w:pPr>
            <w:r>
              <w:rPr>
                <w:b/>
                <w:bCs/>
              </w:rPr>
              <w:t xml:space="preserve">RESUMO DO CASO: </w:t>
            </w:r>
            <w:r>
              <w:t>Após o falecimento do pai registral, sua viúva ajuizou ação anulatória de registro civil alegando falsidade ideológica, pois o bisavô teria registrado o bisneto como filho. O STJ reconheceu sua legitimidade ativa, distinguindo a ação anulatória (não personalíssima) da ação negatória de paternidade (personalíssima).</w:t>
            </w:r>
          </w:p>
          <w:p w14:paraId="1062B5FF" w14:textId="77777777" w:rsidR="00B874B0" w:rsidRDefault="00000000">
            <w:pPr>
              <w:spacing w:after="40"/>
            </w:pPr>
            <w:r>
              <w:rPr>
                <w:b/>
                <w:bCs/>
              </w:rPr>
              <w:t>COMO PODE SER COBRADO EM PROVA:</w:t>
            </w:r>
          </w:p>
          <w:p w14:paraId="35ECA199" w14:textId="77777777" w:rsidR="00B874B0" w:rsidRDefault="00000000">
            <w:pPr>
              <w:pStyle w:val="PargrafodaLista"/>
              <w:numPr>
                <w:ilvl w:val="0"/>
                <w:numId w:val="2"/>
              </w:numPr>
              <w:spacing w:after="40"/>
            </w:pPr>
            <w:r>
              <w:rPr>
                <w:b/>
                <w:bCs/>
                <w:i/>
                <w:iCs/>
              </w:rPr>
              <w:t xml:space="preserve">Objetiva: </w:t>
            </w:r>
            <w:r>
              <w:t>diferenciar ação negatória de paternidade (art. 1.601 CC, personalíssima) de ação anulatória de registro civil (art. 1.604 CC, legitimidade ampla).</w:t>
            </w:r>
          </w:p>
          <w:p w14:paraId="520039A1" w14:textId="77777777" w:rsidR="00B874B0" w:rsidRDefault="00000000">
            <w:pPr>
              <w:pStyle w:val="PargrafodaLista"/>
              <w:numPr>
                <w:ilvl w:val="0"/>
                <w:numId w:val="2"/>
              </w:numPr>
              <w:spacing w:after="40"/>
            </w:pPr>
            <w:r>
              <w:rPr>
                <w:b/>
                <w:bCs/>
                <w:i/>
                <w:iCs/>
              </w:rPr>
              <w:t xml:space="preserve">Discursiva/Sentença: </w:t>
            </w:r>
            <w:r>
              <w:t>peça prática distinguindo os fundamentos e a legitimidade ativa de cada ação, aplicável a casos de fraude no registro civil.</w:t>
            </w:r>
          </w:p>
          <w:p w14:paraId="6DAFC787" w14:textId="77777777" w:rsidR="00B874B0" w:rsidRDefault="00000000">
            <w:pPr>
              <w:pStyle w:val="PargrafodaLista"/>
              <w:numPr>
                <w:ilvl w:val="0"/>
                <w:numId w:val="2"/>
              </w:numPr>
              <w:spacing w:after="100"/>
            </w:pPr>
            <w:r>
              <w:rPr>
                <w:b/>
                <w:bCs/>
                <w:i/>
                <w:iCs/>
              </w:rPr>
              <w:t xml:space="preserve">Oral: </w:t>
            </w:r>
            <w:r>
              <w:t>"Qual a diferença entre ação negatória de paternidade e ação anulatória de registro civil, quanto à legitimidade ativa?"</w:t>
            </w:r>
          </w:p>
          <w:p w14:paraId="0B86716B" w14:textId="77777777" w:rsidR="00B874B0" w:rsidRDefault="00000000">
            <w:r>
              <w:rPr>
                <w:b/>
                <w:bCs/>
                <w:color w:val="A9762F"/>
              </w:rPr>
              <w:t xml:space="preserve">CONEXÕES: </w:t>
            </w:r>
            <w:r>
              <w:rPr>
                <w:i/>
                <w:iCs/>
              </w:rPr>
              <w:t>arts. 1.601 e 1.604, CC; adoção à brasileira.</w:t>
            </w:r>
          </w:p>
        </w:tc>
      </w:tr>
    </w:tbl>
    <w:p w14:paraId="571D599B" w14:textId="77777777" w:rsidR="00B874B0" w:rsidRDefault="00B874B0">
      <w:pPr>
        <w:spacing w:after="160"/>
      </w:pPr>
    </w:p>
    <w:tbl>
      <w:tblPr>
        <w:tblW w:w="5000" w:type="pct"/>
        <w:tblBorders>
          <w:top w:val="single" w:sz="8" w:space="0" w:color="C9B78C"/>
          <w:left w:val="single" w:sz="8" w:space="0" w:color="C9B78C"/>
          <w:bottom w:val="single" w:sz="8" w:space="0" w:color="C9B78C"/>
          <w:right w:val="single" w:sz="8" w:space="0" w:color="C9B78C"/>
        </w:tblBorders>
        <w:tblCellMar>
          <w:left w:w="10" w:type="dxa"/>
          <w:right w:w="10" w:type="dxa"/>
        </w:tblCellMar>
        <w:tblLook w:val="04A0" w:firstRow="1" w:lastRow="0" w:firstColumn="1" w:lastColumn="0" w:noHBand="0" w:noVBand="1"/>
      </w:tblPr>
      <w:tblGrid>
        <w:gridCol w:w="9726"/>
      </w:tblGrid>
      <w:tr w:rsidR="00B874B0" w14:paraId="3008A95A" w14:textId="77777777">
        <w:tblPrEx>
          <w:tblCellMar>
            <w:top w:w="0" w:type="dxa"/>
            <w:bottom w:w="0" w:type="dxa"/>
          </w:tblCellMar>
        </w:tblPrEx>
        <w:tc>
          <w:tcPr>
            <w:tcW w:w="5000" w:type="pct"/>
            <w:shd w:val="clear" w:color="auto" w:fill="F6F1E8"/>
            <w:tcMar>
              <w:top w:w="160" w:type="dxa"/>
              <w:left w:w="200" w:type="dxa"/>
              <w:bottom w:w="160" w:type="dxa"/>
              <w:right w:w="200" w:type="dxa"/>
            </w:tcMar>
          </w:tcPr>
          <w:p w14:paraId="1C03645B" w14:textId="77777777" w:rsidR="00B874B0" w:rsidRDefault="00000000">
            <w:pPr>
              <w:pStyle w:val="Ttulo3"/>
              <w:spacing w:after="80"/>
            </w:pPr>
            <w:bookmarkStart w:id="43" w:name="_Toc236570097"/>
            <w:r>
              <w:t>Reconhecimento de parentesco socioafetivo entre irmãos ("irmãos de criação") post mortem</w:t>
            </w:r>
            <w:bookmarkEnd w:id="43"/>
          </w:p>
          <w:p w14:paraId="492DB0C1" w14:textId="77777777" w:rsidR="00B874B0" w:rsidRDefault="00000000">
            <w:pPr>
              <w:spacing w:after="40"/>
            </w:pPr>
            <w:r>
              <w:rPr>
                <w:b/>
                <w:bCs/>
                <w:color w:val="555555"/>
                <w:sz w:val="19"/>
                <w:szCs w:val="19"/>
              </w:rPr>
              <w:t>Tribunal: STJ   |   Órgão: 4ª Turma</w:t>
            </w:r>
          </w:p>
          <w:p w14:paraId="78E2B0B4" w14:textId="77777777" w:rsidR="00B874B0" w:rsidRDefault="00000000">
            <w:pPr>
              <w:spacing w:after="40"/>
            </w:pPr>
            <w:r>
              <w:rPr>
                <w:color w:val="555555"/>
                <w:sz w:val="19"/>
                <w:szCs w:val="19"/>
              </w:rPr>
              <w:t>Processo: REsp 1.674.372-SP   |   Relator: Min. Marco Buzzi   |   Data: 04/10/2022</w:t>
            </w:r>
          </w:p>
          <w:p w14:paraId="2BA1EC5E" w14:textId="77777777" w:rsidR="00B874B0" w:rsidRDefault="00000000">
            <w:pPr>
              <w:spacing w:after="100"/>
            </w:pPr>
            <w:r>
              <w:rPr>
                <w:i/>
                <w:iCs/>
                <w:color w:val="555555"/>
                <w:sz w:val="19"/>
                <w:szCs w:val="19"/>
              </w:rPr>
              <w:t>Sistemática: Caso isolado</w:t>
            </w:r>
          </w:p>
          <w:p w14:paraId="7DF5991A" w14:textId="77777777" w:rsidR="00B874B0" w:rsidRDefault="00000000">
            <w:pPr>
              <w:spacing w:after="100"/>
            </w:pPr>
            <w:r>
              <w:rPr>
                <w:b/>
                <w:bCs/>
              </w:rPr>
              <w:t xml:space="preserve">TESE FIXADA / DECISÃO: </w:t>
            </w:r>
            <w:r>
              <w:t>É juridicamente possível o reconhecimento de parentesco socioafetivo entre irmãos ("irmãos de criação"), mesmo após a morte de um deles e ainda que não se tenha buscado previamente o reconhecimento de filiação socioafetiva com os pais.</w:t>
            </w:r>
          </w:p>
          <w:p w14:paraId="51FF7B2C" w14:textId="77777777" w:rsidR="00B874B0" w:rsidRDefault="00000000">
            <w:pPr>
              <w:spacing w:after="100"/>
            </w:pPr>
            <w:r>
              <w:rPr>
                <w:b/>
                <w:bCs/>
              </w:rPr>
              <w:t xml:space="preserve">RESUMO DO CASO: </w:t>
            </w:r>
            <w:r>
              <w:t>Discussão sobre a possibilidade de declaração judicial de fraternidade/irmandade socioafetiva (parentesco de 2º grau em linha colateral) post mortem, independentemente de prévio reconhecimento da filiação socioafetiva com os genitores comuns. O STJ admitiu, por não haver vedação legal.</w:t>
            </w:r>
          </w:p>
          <w:p w14:paraId="51252338" w14:textId="77777777" w:rsidR="00B874B0" w:rsidRDefault="00000000">
            <w:pPr>
              <w:spacing w:after="40"/>
            </w:pPr>
            <w:r>
              <w:rPr>
                <w:b/>
                <w:bCs/>
              </w:rPr>
              <w:lastRenderedPageBreak/>
              <w:t>COMO PODE SER COBRADO EM PROVA:</w:t>
            </w:r>
          </w:p>
          <w:p w14:paraId="18C50C30" w14:textId="77777777" w:rsidR="00B874B0" w:rsidRDefault="00000000">
            <w:pPr>
              <w:pStyle w:val="PargrafodaLista"/>
              <w:numPr>
                <w:ilvl w:val="0"/>
                <w:numId w:val="2"/>
              </w:numPr>
              <w:spacing w:after="40"/>
            </w:pPr>
            <w:r>
              <w:rPr>
                <w:b/>
                <w:bCs/>
                <w:i/>
                <w:iCs/>
              </w:rPr>
              <w:t xml:space="preserve">Objetiva: </w:t>
            </w:r>
            <w:r>
              <w:t>o parentesco socioafetivo não se limita à relação pai/mãe-filho, alcançando também a linha colateral (irmandade socioafetiva).</w:t>
            </w:r>
          </w:p>
          <w:p w14:paraId="5A71560B" w14:textId="77777777" w:rsidR="00B874B0" w:rsidRDefault="00000000">
            <w:pPr>
              <w:pStyle w:val="PargrafodaLista"/>
              <w:numPr>
                <w:ilvl w:val="0"/>
                <w:numId w:val="2"/>
              </w:numPr>
              <w:spacing w:after="40"/>
            </w:pPr>
            <w:r>
              <w:rPr>
                <w:b/>
                <w:bCs/>
                <w:i/>
                <w:iCs/>
              </w:rPr>
              <w:t xml:space="preserve">Discursiva/Sentença: </w:t>
            </w:r>
            <w:r>
              <w:t>extensão dos efeitos da socioafetividade para além da filiação direta — parentesco colateral socioafetivo e seus efeitos (inclusive sucessórios, por analogia).</w:t>
            </w:r>
          </w:p>
          <w:p w14:paraId="48FEBE36" w14:textId="77777777" w:rsidR="00B874B0" w:rsidRDefault="00000000">
            <w:pPr>
              <w:pStyle w:val="PargrafodaLista"/>
              <w:numPr>
                <w:ilvl w:val="0"/>
                <w:numId w:val="2"/>
              </w:numPr>
              <w:spacing w:after="100"/>
            </w:pPr>
            <w:r>
              <w:rPr>
                <w:b/>
                <w:bCs/>
                <w:i/>
                <w:iCs/>
              </w:rPr>
              <w:t xml:space="preserve">Oral: </w:t>
            </w:r>
            <w:r>
              <w:t>"É possível reconhecer irmandade socioafetiva sem que exista prévio reconhecimento de filiação socioafetiva com os pais?"</w:t>
            </w:r>
          </w:p>
          <w:p w14:paraId="6FD3EBC4" w14:textId="77777777" w:rsidR="00B874B0" w:rsidRDefault="00000000">
            <w:r>
              <w:rPr>
                <w:b/>
                <w:bCs/>
                <w:color w:val="A9762F"/>
              </w:rPr>
              <w:t xml:space="preserve">CONEXÕES: </w:t>
            </w:r>
            <w:r>
              <w:rPr>
                <w:i/>
                <w:iCs/>
              </w:rPr>
              <w:t>art. 1.593, CC; multiparentalidade; filiação socioafetiva.</w:t>
            </w:r>
          </w:p>
        </w:tc>
      </w:tr>
    </w:tbl>
    <w:p w14:paraId="5755B1F1" w14:textId="77777777" w:rsidR="00B874B0" w:rsidRDefault="00B874B0">
      <w:pPr>
        <w:spacing w:after="160"/>
      </w:pPr>
    </w:p>
    <w:tbl>
      <w:tblPr>
        <w:tblW w:w="5000" w:type="pct"/>
        <w:tblBorders>
          <w:top w:val="single" w:sz="8" w:space="0" w:color="C9B78C"/>
          <w:left w:val="single" w:sz="8" w:space="0" w:color="C9B78C"/>
          <w:bottom w:val="single" w:sz="8" w:space="0" w:color="C9B78C"/>
          <w:right w:val="single" w:sz="8" w:space="0" w:color="C9B78C"/>
        </w:tblBorders>
        <w:tblCellMar>
          <w:left w:w="10" w:type="dxa"/>
          <w:right w:w="10" w:type="dxa"/>
        </w:tblCellMar>
        <w:tblLook w:val="04A0" w:firstRow="1" w:lastRow="0" w:firstColumn="1" w:lastColumn="0" w:noHBand="0" w:noVBand="1"/>
      </w:tblPr>
      <w:tblGrid>
        <w:gridCol w:w="9726"/>
      </w:tblGrid>
      <w:tr w:rsidR="00B874B0" w14:paraId="66D5130E" w14:textId="77777777">
        <w:tblPrEx>
          <w:tblCellMar>
            <w:top w:w="0" w:type="dxa"/>
            <w:bottom w:w="0" w:type="dxa"/>
          </w:tblCellMar>
        </w:tblPrEx>
        <w:tc>
          <w:tcPr>
            <w:tcW w:w="5000" w:type="pct"/>
            <w:shd w:val="clear" w:color="auto" w:fill="F6F1E8"/>
            <w:tcMar>
              <w:top w:w="160" w:type="dxa"/>
              <w:left w:w="200" w:type="dxa"/>
              <w:bottom w:w="160" w:type="dxa"/>
              <w:right w:w="200" w:type="dxa"/>
            </w:tcMar>
          </w:tcPr>
          <w:p w14:paraId="0D985900" w14:textId="77777777" w:rsidR="00B874B0" w:rsidRDefault="00000000">
            <w:pPr>
              <w:pStyle w:val="Ttulo3"/>
              <w:spacing w:after="80"/>
            </w:pPr>
            <w:bookmarkStart w:id="44" w:name="_Toc236570098"/>
            <w:r>
              <w:t>Multiparentalidade — equivalência de efeitos jurídicos entre paternidade biológica e socioafetiva</w:t>
            </w:r>
            <w:bookmarkEnd w:id="44"/>
          </w:p>
          <w:p w14:paraId="289AFE70" w14:textId="77777777" w:rsidR="00B874B0" w:rsidRDefault="00000000">
            <w:pPr>
              <w:spacing w:after="40"/>
            </w:pPr>
            <w:r>
              <w:rPr>
                <w:b/>
                <w:bCs/>
                <w:color w:val="555555"/>
                <w:sz w:val="19"/>
                <w:szCs w:val="19"/>
              </w:rPr>
              <w:t>Tribunal: STJ   |   Órgão: 4ª Turma</w:t>
            </w:r>
          </w:p>
          <w:p w14:paraId="5D1FD352" w14:textId="77777777" w:rsidR="00B874B0" w:rsidRDefault="00000000">
            <w:pPr>
              <w:spacing w:after="40"/>
            </w:pPr>
            <w:r>
              <w:rPr>
                <w:color w:val="555555"/>
                <w:sz w:val="19"/>
                <w:szCs w:val="19"/>
              </w:rPr>
              <w:t>Processo: REsp 1.487.596-MG   |   Relator: Min. Antonio Carlos Ferreira   |   Data: 28/09/2021</w:t>
            </w:r>
          </w:p>
          <w:p w14:paraId="28FAD951" w14:textId="77777777" w:rsidR="00B874B0" w:rsidRDefault="00000000">
            <w:pPr>
              <w:spacing w:after="100"/>
            </w:pPr>
            <w:r>
              <w:rPr>
                <w:i/>
                <w:iCs/>
                <w:color w:val="555555"/>
                <w:sz w:val="19"/>
                <w:szCs w:val="19"/>
              </w:rPr>
              <w:t>Sistemática: Caso isolado (reafirma tese de Repercussão Geral do STF — Tema 622, RE 898.060/SC)</w:t>
            </w:r>
          </w:p>
          <w:p w14:paraId="3A6FBAD0" w14:textId="77777777" w:rsidR="00B874B0" w:rsidRDefault="00000000">
            <w:pPr>
              <w:spacing w:after="100"/>
            </w:pPr>
            <w:r>
              <w:rPr>
                <w:b/>
                <w:bCs/>
              </w:rPr>
              <w:t xml:space="preserve">TESE FIXADA / DECISÃO: </w:t>
            </w:r>
            <w:r>
              <w:t>Na multiparentalidade, deve ser reconhecida a equivalência de tratamento e de efeitos jurídicos entre as paternidades biológica e socioafetiva, inclusive quanto a efeitos patrimoniais e sucessórios, sem admitir registro como "pai socioafetivo" (que sugeriria posição inferior).</w:t>
            </w:r>
          </w:p>
          <w:p w14:paraId="6B5E94DA" w14:textId="77777777" w:rsidR="00B874B0" w:rsidRDefault="00000000">
            <w:pPr>
              <w:spacing w:after="100"/>
            </w:pPr>
            <w:r>
              <w:rPr>
                <w:b/>
                <w:bCs/>
              </w:rPr>
              <w:t xml:space="preserve">RESUMO DO CASO: </w:t>
            </w:r>
            <w:r>
              <w:t>O STJ reafirmou, em caso concreto de multiparentalidade, que não pode haver hierarquia entre a paternidade biológica e a socioafetiva, sob pena de violar o princípio da igualdade entre filhos (art. 227, §6º, CF) e os arts. 1.596 do CC e 20 do ECA.</w:t>
            </w:r>
          </w:p>
          <w:p w14:paraId="2681607D" w14:textId="77777777" w:rsidR="00B874B0" w:rsidRDefault="00000000">
            <w:pPr>
              <w:spacing w:after="40"/>
            </w:pPr>
            <w:r>
              <w:rPr>
                <w:b/>
                <w:bCs/>
              </w:rPr>
              <w:t>COMO PODE SER COBRADO EM PROVA:</w:t>
            </w:r>
          </w:p>
          <w:p w14:paraId="4C5F6776" w14:textId="77777777" w:rsidR="00B874B0" w:rsidRDefault="00000000">
            <w:pPr>
              <w:pStyle w:val="PargrafodaLista"/>
              <w:numPr>
                <w:ilvl w:val="0"/>
                <w:numId w:val="2"/>
              </w:numPr>
              <w:spacing w:after="40"/>
            </w:pPr>
            <w:r>
              <w:rPr>
                <w:b/>
                <w:bCs/>
                <w:i/>
                <w:iCs/>
              </w:rPr>
              <w:t xml:space="preserve">Objetiva: </w:t>
            </w:r>
            <w:r>
              <w:t>multiparentalidade gera equivalência plena de efeitos (inclusive sucessórios) entre vínculos biológico e socioafetivo — tema central e recorrente em provas FGV.</w:t>
            </w:r>
          </w:p>
          <w:p w14:paraId="031101B9" w14:textId="77777777" w:rsidR="00B874B0" w:rsidRDefault="00000000">
            <w:pPr>
              <w:pStyle w:val="PargrafodaLista"/>
              <w:numPr>
                <w:ilvl w:val="0"/>
                <w:numId w:val="2"/>
              </w:numPr>
              <w:spacing w:after="40"/>
            </w:pPr>
            <w:r>
              <w:rPr>
                <w:b/>
                <w:bCs/>
                <w:i/>
                <w:iCs/>
              </w:rPr>
              <w:t xml:space="preserve">Discursiva/Sentença: </w:t>
            </w:r>
            <w:r>
              <w:t>elaborar sentença de partilha envolvendo herdeiro com dupla filiação reconhecida (biológica e socioafetiva), aplicando a equivalência de efeitos.</w:t>
            </w:r>
          </w:p>
          <w:p w14:paraId="3E7BC03E" w14:textId="77777777" w:rsidR="00B874B0" w:rsidRDefault="00000000">
            <w:pPr>
              <w:pStyle w:val="PargrafodaLista"/>
              <w:numPr>
                <w:ilvl w:val="0"/>
                <w:numId w:val="2"/>
              </w:numPr>
              <w:spacing w:after="100"/>
            </w:pPr>
            <w:r>
              <w:rPr>
                <w:b/>
                <w:bCs/>
                <w:i/>
                <w:iCs/>
              </w:rPr>
              <w:t xml:space="preserve">Oral: </w:t>
            </w:r>
            <w:r>
              <w:t>"Pode constar no registro civil a expressão 'pai socioafetivo'? Por quê?"</w:t>
            </w:r>
          </w:p>
          <w:p w14:paraId="2C8AE08C" w14:textId="77777777" w:rsidR="00B874B0" w:rsidRDefault="00000000">
            <w:r>
              <w:rPr>
                <w:b/>
                <w:bCs/>
                <w:color w:val="A9762F"/>
              </w:rPr>
              <w:t xml:space="preserve">CONEXÕES: </w:t>
            </w:r>
            <w:r>
              <w:rPr>
                <w:i/>
                <w:iCs/>
              </w:rPr>
              <w:t>RE 898.060/SC (STF, Plenário, Tema 622 de Repercussão Geral, 2016); art. 227, §6º, CF; arts. 1.596 CC e 20 ECA.</w:t>
            </w:r>
          </w:p>
        </w:tc>
      </w:tr>
    </w:tbl>
    <w:p w14:paraId="1748E2C5" w14:textId="77777777" w:rsidR="00B874B0" w:rsidRDefault="00B874B0">
      <w:pPr>
        <w:spacing w:after="160"/>
      </w:pPr>
    </w:p>
    <w:tbl>
      <w:tblPr>
        <w:tblW w:w="5000" w:type="pct"/>
        <w:tblBorders>
          <w:top w:val="single" w:sz="8" w:space="0" w:color="C9B78C"/>
          <w:left w:val="single" w:sz="8" w:space="0" w:color="C9B78C"/>
          <w:bottom w:val="single" w:sz="8" w:space="0" w:color="C9B78C"/>
          <w:right w:val="single" w:sz="8" w:space="0" w:color="C9B78C"/>
        </w:tblBorders>
        <w:tblCellMar>
          <w:left w:w="10" w:type="dxa"/>
          <w:right w:w="10" w:type="dxa"/>
        </w:tblCellMar>
        <w:tblLook w:val="04A0" w:firstRow="1" w:lastRow="0" w:firstColumn="1" w:lastColumn="0" w:noHBand="0" w:noVBand="1"/>
      </w:tblPr>
      <w:tblGrid>
        <w:gridCol w:w="9726"/>
      </w:tblGrid>
      <w:tr w:rsidR="00B874B0" w14:paraId="55C15277" w14:textId="77777777">
        <w:tblPrEx>
          <w:tblCellMar>
            <w:top w:w="0" w:type="dxa"/>
            <w:bottom w:w="0" w:type="dxa"/>
          </w:tblCellMar>
        </w:tblPrEx>
        <w:tc>
          <w:tcPr>
            <w:tcW w:w="5000" w:type="pct"/>
            <w:shd w:val="clear" w:color="auto" w:fill="F6F1E8"/>
            <w:tcMar>
              <w:top w:w="160" w:type="dxa"/>
              <w:left w:w="200" w:type="dxa"/>
              <w:bottom w:w="160" w:type="dxa"/>
              <w:right w:w="200" w:type="dxa"/>
            </w:tcMar>
          </w:tcPr>
          <w:p w14:paraId="62305B82" w14:textId="77777777" w:rsidR="00B874B0" w:rsidRDefault="00000000">
            <w:pPr>
              <w:pStyle w:val="Ttulo3"/>
              <w:spacing w:after="80"/>
            </w:pPr>
            <w:bookmarkStart w:id="45" w:name="_Toc236570099"/>
            <w:r>
              <w:t>Requisitos para anulação de registro por divergência entre paternidade biológica e registral, dada a proteção da socioafetividade</w:t>
            </w:r>
            <w:bookmarkEnd w:id="45"/>
          </w:p>
          <w:p w14:paraId="7433700D" w14:textId="77777777" w:rsidR="00B874B0" w:rsidRDefault="00000000">
            <w:pPr>
              <w:spacing w:after="40"/>
            </w:pPr>
            <w:r>
              <w:rPr>
                <w:b/>
                <w:bCs/>
                <w:color w:val="555555"/>
                <w:sz w:val="19"/>
                <w:szCs w:val="19"/>
              </w:rPr>
              <w:t>Tribunal: STJ   |   Órgão: 3ª Turma</w:t>
            </w:r>
          </w:p>
          <w:p w14:paraId="745E9D27" w14:textId="77777777" w:rsidR="00B874B0" w:rsidRDefault="00000000">
            <w:pPr>
              <w:spacing w:after="40"/>
            </w:pPr>
            <w:r>
              <w:rPr>
                <w:color w:val="555555"/>
                <w:sz w:val="19"/>
                <w:szCs w:val="19"/>
              </w:rPr>
              <w:t>Processo: REsp 1.829.093-PR   |   Relator: Min. Nancy Andrighi   |   Data: 01/06/2021</w:t>
            </w:r>
          </w:p>
          <w:p w14:paraId="6CBFD9E0" w14:textId="77777777" w:rsidR="00B874B0" w:rsidRDefault="00000000">
            <w:pPr>
              <w:spacing w:after="100"/>
            </w:pPr>
            <w:r>
              <w:rPr>
                <w:i/>
                <w:iCs/>
                <w:color w:val="555555"/>
                <w:sz w:val="19"/>
                <w:szCs w:val="19"/>
              </w:rPr>
              <w:t>Sistemática: Caso isolado</w:t>
            </w:r>
          </w:p>
          <w:p w14:paraId="17165832" w14:textId="77777777" w:rsidR="00B874B0" w:rsidRDefault="00000000">
            <w:pPr>
              <w:spacing w:after="100"/>
            </w:pPr>
            <w:r>
              <w:rPr>
                <w:b/>
                <w:bCs/>
              </w:rPr>
              <w:t xml:space="preserve">TESE FIXADA / DECISÃO: </w:t>
            </w:r>
            <w:r>
              <w:t>A divergência entre a paternidade biológica e a declarada no registro de nascimento não é apta, por si só, a anular o ato registral. É necessário: (a) prova robusta de erro ou coação no registro; e (b) inexistência de relação socioafetiva entre pai e filho registrado — o exame de DNA negativo, isoladamente, não basta.</w:t>
            </w:r>
          </w:p>
          <w:p w14:paraId="4F422658" w14:textId="77777777" w:rsidR="00B874B0" w:rsidRDefault="00000000">
            <w:pPr>
              <w:spacing w:after="100"/>
            </w:pPr>
            <w:r>
              <w:rPr>
                <w:b/>
                <w:bCs/>
              </w:rPr>
              <w:t xml:space="preserve">RESUMO DO CASO: </w:t>
            </w:r>
            <w:r>
              <w:t>O STJ consolidou os requisitos cumulativos para desconstituição do registro de nascimento fundada em ausência de vínculo biológico, reafirmando a proteção da paternidade socioafetiva como cláusula geral de tutela da personalidade. Em julgado correlato citado no mesmo Informativo (REsp 1.867.308/MT, j. 11/05/2022), o STJ reforçou que exame negativo não desconstitui a paternidade socioafetiva, sem prejuízo do reconhecimento do pai biológico (multiparentalidade).</w:t>
            </w:r>
          </w:p>
          <w:p w14:paraId="37C5CFF1" w14:textId="77777777" w:rsidR="00B874B0" w:rsidRDefault="00000000">
            <w:pPr>
              <w:spacing w:after="40"/>
            </w:pPr>
            <w:r>
              <w:rPr>
                <w:b/>
                <w:bCs/>
              </w:rPr>
              <w:t>COMO PODE SER COBRADO EM PROVA:</w:t>
            </w:r>
          </w:p>
          <w:p w14:paraId="3AC71F73" w14:textId="77777777" w:rsidR="00B874B0" w:rsidRDefault="00000000">
            <w:pPr>
              <w:pStyle w:val="PargrafodaLista"/>
              <w:numPr>
                <w:ilvl w:val="0"/>
                <w:numId w:val="2"/>
              </w:numPr>
              <w:spacing w:after="40"/>
            </w:pPr>
            <w:r>
              <w:rPr>
                <w:b/>
                <w:bCs/>
                <w:i/>
                <w:iCs/>
              </w:rPr>
              <w:t xml:space="preserve">Objetiva: </w:t>
            </w:r>
            <w:r>
              <w:t>os dois requisitos cumulativos (erro/coação no registro + ausência de socioafetividade) para anular registro por falsa paternidade — tema clássico e recorrente.</w:t>
            </w:r>
          </w:p>
          <w:p w14:paraId="040E62E3" w14:textId="77777777" w:rsidR="00B874B0" w:rsidRDefault="00000000">
            <w:pPr>
              <w:pStyle w:val="PargrafodaLista"/>
              <w:numPr>
                <w:ilvl w:val="0"/>
                <w:numId w:val="2"/>
              </w:numPr>
              <w:spacing w:after="40"/>
            </w:pPr>
            <w:r>
              <w:rPr>
                <w:b/>
                <w:bCs/>
                <w:i/>
                <w:iCs/>
              </w:rPr>
              <w:lastRenderedPageBreak/>
              <w:t xml:space="preserve">Discursiva/Sentença: </w:t>
            </w:r>
            <w:r>
              <w:t>sentença em ação negatória de paternidade cumulada com pedido de anulação de registro, exigindo enfrentamento dos dois requisitos.</w:t>
            </w:r>
          </w:p>
          <w:p w14:paraId="36F4455A" w14:textId="77777777" w:rsidR="00B874B0" w:rsidRDefault="00000000">
            <w:pPr>
              <w:pStyle w:val="PargrafodaLista"/>
              <w:numPr>
                <w:ilvl w:val="0"/>
                <w:numId w:val="2"/>
              </w:numPr>
              <w:spacing w:after="100"/>
            </w:pPr>
            <w:r>
              <w:rPr>
                <w:b/>
                <w:bCs/>
                <w:i/>
                <w:iCs/>
              </w:rPr>
              <w:t xml:space="preserve">Oral: </w:t>
            </w:r>
            <w:r>
              <w:t>"O exame de DNA negativo é suficiente para anular o registro de nascimento?"</w:t>
            </w:r>
          </w:p>
          <w:p w14:paraId="541571F3" w14:textId="77777777" w:rsidR="00B874B0" w:rsidRDefault="00000000">
            <w:r>
              <w:rPr>
                <w:b/>
                <w:bCs/>
                <w:color w:val="A9762F"/>
              </w:rPr>
              <w:t xml:space="preserve">CONEXÕES: </w:t>
            </w:r>
            <w:r>
              <w:rPr>
                <w:i/>
                <w:iCs/>
              </w:rPr>
              <w:t>reconhecimento voluntário de paternidade — irrevogabilidade salvo erro essencial sem vínculo socioafetivo consolidado (tema já cobrado pela FGV); REsp 1.867.308/MT (Info 699); multiparentalidade.</w:t>
            </w:r>
          </w:p>
        </w:tc>
      </w:tr>
    </w:tbl>
    <w:p w14:paraId="74857B3D" w14:textId="77777777" w:rsidR="00B874B0" w:rsidRDefault="00B874B0">
      <w:pPr>
        <w:spacing w:after="160"/>
      </w:pPr>
    </w:p>
    <w:p w14:paraId="3FD5D576" w14:textId="77777777" w:rsidR="00B874B0" w:rsidRDefault="00000000">
      <w:pPr>
        <w:pStyle w:val="Ttulo2"/>
        <w:spacing w:after="160"/>
      </w:pPr>
      <w:bookmarkStart w:id="46" w:name="_Toc236570100"/>
      <w:r>
        <w:t>ADMINISTRAÇÃO DE BENS DE FILHOS MENORES</w:t>
      </w:r>
      <w:bookmarkEnd w:id="46"/>
    </w:p>
    <w:tbl>
      <w:tblPr>
        <w:tblW w:w="5000" w:type="pct"/>
        <w:tblBorders>
          <w:top w:val="single" w:sz="8" w:space="0" w:color="C9B78C"/>
          <w:left w:val="single" w:sz="8" w:space="0" w:color="C9B78C"/>
          <w:bottom w:val="single" w:sz="8" w:space="0" w:color="C9B78C"/>
          <w:right w:val="single" w:sz="8" w:space="0" w:color="C9B78C"/>
        </w:tblBorders>
        <w:tblCellMar>
          <w:left w:w="10" w:type="dxa"/>
          <w:right w:w="10" w:type="dxa"/>
        </w:tblCellMar>
        <w:tblLook w:val="04A0" w:firstRow="1" w:lastRow="0" w:firstColumn="1" w:lastColumn="0" w:noHBand="0" w:noVBand="1"/>
      </w:tblPr>
      <w:tblGrid>
        <w:gridCol w:w="9726"/>
      </w:tblGrid>
      <w:tr w:rsidR="00B874B0" w14:paraId="03216536" w14:textId="77777777">
        <w:tblPrEx>
          <w:tblCellMar>
            <w:top w:w="0" w:type="dxa"/>
            <w:bottom w:w="0" w:type="dxa"/>
          </w:tblCellMar>
        </w:tblPrEx>
        <w:tc>
          <w:tcPr>
            <w:tcW w:w="5000" w:type="pct"/>
            <w:shd w:val="clear" w:color="auto" w:fill="F6F1E8"/>
            <w:tcMar>
              <w:top w:w="160" w:type="dxa"/>
              <w:left w:w="200" w:type="dxa"/>
              <w:bottom w:w="160" w:type="dxa"/>
              <w:right w:w="200" w:type="dxa"/>
            </w:tcMar>
          </w:tcPr>
          <w:p w14:paraId="096AE4EA" w14:textId="77777777" w:rsidR="00B874B0" w:rsidRDefault="00000000">
            <w:pPr>
              <w:pStyle w:val="Ttulo3"/>
              <w:spacing w:after="80"/>
            </w:pPr>
            <w:bookmarkStart w:id="47" w:name="_Toc236570101"/>
            <w:r>
              <w:t>Levantamento de valores depositados em juízo em favor de filho menor é ato de simples administração — pais têm legitimidade, salvo justo motivo</w:t>
            </w:r>
            <w:bookmarkEnd w:id="47"/>
          </w:p>
          <w:p w14:paraId="64DC9EB3" w14:textId="77777777" w:rsidR="00B874B0" w:rsidRDefault="00000000">
            <w:pPr>
              <w:spacing w:after="40"/>
            </w:pPr>
            <w:r>
              <w:rPr>
                <w:b/>
                <w:bCs/>
                <w:color w:val="555555"/>
                <w:sz w:val="19"/>
                <w:szCs w:val="19"/>
              </w:rPr>
              <w:t>Tribunal: STJ   |   Órgão: 3ª Turma (REsp 2.060.369-SP) e 4ª Turma (REsp 2.164.601-DF)</w:t>
            </w:r>
          </w:p>
          <w:p w14:paraId="7EC133FB" w14:textId="77777777" w:rsidR="00B874B0" w:rsidRDefault="00000000">
            <w:pPr>
              <w:spacing w:after="40"/>
            </w:pPr>
            <w:r>
              <w:rPr>
                <w:color w:val="555555"/>
                <w:sz w:val="19"/>
                <w:szCs w:val="19"/>
              </w:rPr>
              <w:t>Processo: REsp 2.060.369-SP, Rel. Min. Humberto Martins, julgado em 12/05/2026 (Info 889) — e REsp 2.164.601-DF, Rel. Min. João Otávio de Noronha, julgado em 14/04/2025 (Info 26 - Edição Extraordinária)</w:t>
            </w:r>
          </w:p>
          <w:p w14:paraId="54F42728" w14:textId="77777777" w:rsidR="00B874B0" w:rsidRDefault="00000000">
            <w:pPr>
              <w:spacing w:after="100"/>
            </w:pPr>
            <w:r>
              <w:rPr>
                <w:i/>
                <w:iCs/>
                <w:color w:val="555555"/>
                <w:sz w:val="19"/>
                <w:szCs w:val="19"/>
              </w:rPr>
              <w:t>Sistemática: Casos isolados (mesma tese reafirmada em dois julgados recentes)</w:t>
            </w:r>
          </w:p>
          <w:p w14:paraId="358F16DA" w14:textId="77777777" w:rsidR="00B874B0" w:rsidRDefault="00000000">
            <w:pPr>
              <w:spacing w:after="100"/>
            </w:pPr>
            <w:r>
              <w:rPr>
                <w:b/>
                <w:bCs/>
              </w:rPr>
              <w:t xml:space="preserve">TESE FIXADA / DECISÃO: </w:t>
            </w:r>
            <w:r>
              <w:t>Os pais são administradores e usufrutuários dos bens dos filhos menores (art. 1.689, I e II, CC), tendo legitimidade para levantar valores depositados em juízo em prol dos filhos. Levantar valor em conta judicial vinculada é ato de simples administração (não de disposição), não se exigindo autorização judicial do art. 1.691, CC. A retenção até a maioridade é exceção que exige justo motivo concretamente observado (ex.: conflito de interesses, má administração, risco à integridade da quantia).</w:t>
            </w:r>
          </w:p>
          <w:p w14:paraId="4D6C838F" w14:textId="77777777" w:rsidR="00B874B0" w:rsidRDefault="00000000">
            <w:pPr>
              <w:spacing w:after="100"/>
            </w:pPr>
            <w:r>
              <w:rPr>
                <w:b/>
                <w:bCs/>
              </w:rPr>
              <w:t xml:space="preserve">RESUMO DO CASO: </w:t>
            </w:r>
            <w:r>
              <w:t>Em ambos os julgados, os genitores tiveram negado o levantamento de valores depositados judicialmente em nome dos filhos menores (decorrentes, por exemplo, de acordo de indenização), sob o argumento de que a quantia deveria ficar retida até a maioridade. O STJ reformou as decisões, afirmando que o poder familiar confere aos pais a administração e o usufruto legal dos bens dos filhos (art. 1.689 CC), e que o dever constitucional de prover educação e saúde (arts. 205 e 229, CF) não autoriza, por si só, a retenção do patrimônio do filho sem justo motivo concreto.</w:t>
            </w:r>
          </w:p>
          <w:p w14:paraId="56FFE109" w14:textId="77777777" w:rsidR="00B874B0" w:rsidRDefault="00000000">
            <w:pPr>
              <w:spacing w:after="40"/>
            </w:pPr>
            <w:r>
              <w:rPr>
                <w:b/>
                <w:bCs/>
              </w:rPr>
              <w:t>COMO PODE SER COBRADO EM PROVA:</w:t>
            </w:r>
          </w:p>
          <w:p w14:paraId="3168F92D" w14:textId="77777777" w:rsidR="00B874B0" w:rsidRDefault="00000000">
            <w:pPr>
              <w:pStyle w:val="PargrafodaLista"/>
              <w:numPr>
                <w:ilvl w:val="0"/>
                <w:numId w:val="2"/>
              </w:numPr>
              <w:spacing w:after="40"/>
            </w:pPr>
            <w:r>
              <w:rPr>
                <w:b/>
                <w:bCs/>
                <w:i/>
                <w:iCs/>
              </w:rPr>
              <w:t xml:space="preserve">Objetiva: </w:t>
            </w:r>
            <w:r>
              <w:t>distinção entre atos de simples administração (dispensam autorização judicial) e atos que excedem a simples administração/atos de disposição (exigem autorização judicial, art. 1.691 CC) — tema já cobrado pela FGV.</w:t>
            </w:r>
          </w:p>
          <w:p w14:paraId="232C0433" w14:textId="77777777" w:rsidR="00B874B0" w:rsidRDefault="00000000">
            <w:pPr>
              <w:pStyle w:val="PargrafodaLista"/>
              <w:numPr>
                <w:ilvl w:val="0"/>
                <w:numId w:val="2"/>
              </w:numPr>
              <w:spacing w:after="40"/>
            </w:pPr>
            <w:r>
              <w:rPr>
                <w:b/>
                <w:bCs/>
                <w:i/>
                <w:iCs/>
              </w:rPr>
              <w:t xml:space="preserve">Discursiva/Sentença: </w:t>
            </w:r>
            <w:r>
              <w:t>decisão judicial sobre pedido de levantamento de valores depositados em nome de menor, avaliando se há "justo motivo" para retenção.</w:t>
            </w:r>
          </w:p>
          <w:p w14:paraId="6AA9CBA0" w14:textId="77777777" w:rsidR="00B874B0" w:rsidRDefault="00000000">
            <w:pPr>
              <w:pStyle w:val="PargrafodaLista"/>
              <w:numPr>
                <w:ilvl w:val="0"/>
                <w:numId w:val="2"/>
              </w:numPr>
              <w:spacing w:after="100"/>
            </w:pPr>
            <w:r>
              <w:rPr>
                <w:b/>
                <w:bCs/>
                <w:i/>
                <w:iCs/>
              </w:rPr>
              <w:t xml:space="preserve">Oral: </w:t>
            </w:r>
            <w:r>
              <w:t>"O levantamento de valores depositados em conta judicial em nome do filho menor exige autorização judicial? Por quê?"</w:t>
            </w:r>
          </w:p>
          <w:p w14:paraId="0EF5B4AF" w14:textId="77777777" w:rsidR="00B874B0" w:rsidRDefault="00000000">
            <w:r>
              <w:rPr>
                <w:b/>
                <w:bCs/>
                <w:color w:val="A9762F"/>
              </w:rPr>
              <w:t xml:space="preserve">CONEXÕES: </w:t>
            </w:r>
            <w:r>
              <w:rPr>
                <w:i/>
                <w:iCs/>
              </w:rPr>
              <w:t>arts. 1.689, I e II, e 1.691, CC (usufruto legal e administração de bens); arts. 205 e 229, CF; cessação da administração paterna por emprego/renda própria do menor (tema correlato já cobrado pela FGV, não localizado em julgado específico dentro da janela).</w:t>
            </w:r>
          </w:p>
        </w:tc>
      </w:tr>
    </w:tbl>
    <w:p w14:paraId="33346E9B" w14:textId="77777777" w:rsidR="00B874B0" w:rsidRDefault="00B874B0">
      <w:pPr>
        <w:spacing w:after="160"/>
      </w:pPr>
    </w:p>
    <w:p w14:paraId="7D840DAB" w14:textId="77777777" w:rsidR="00B874B0" w:rsidRDefault="00000000">
      <w:pPr>
        <w:pStyle w:val="Ttulo1"/>
        <w:pageBreakBefore/>
        <w:spacing w:after="200"/>
      </w:pPr>
      <w:bookmarkStart w:id="48" w:name="_Toc236570102"/>
      <w:r>
        <w:lastRenderedPageBreak/>
        <w:t>III. ALIMENTOS</w:t>
      </w:r>
      <w:bookmarkEnd w:id="48"/>
    </w:p>
    <w:p w14:paraId="4E0D5667" w14:textId="77777777" w:rsidR="00B874B0" w:rsidRDefault="00000000">
      <w:pPr>
        <w:spacing w:after="300"/>
      </w:pPr>
      <w:r>
        <w:rPr>
          <w:i/>
          <w:iCs/>
          <w:color w:val="555555"/>
        </w:rPr>
        <w:t>CC arts. 1.694 a 1.710</w:t>
      </w:r>
    </w:p>
    <w:p w14:paraId="70B87BDE" w14:textId="77777777" w:rsidR="00B874B0" w:rsidRDefault="00000000">
      <w:pPr>
        <w:pStyle w:val="Ttulo2"/>
        <w:spacing w:after="160"/>
      </w:pPr>
      <w:bookmarkStart w:id="49" w:name="_Toc236570103"/>
      <w:r>
        <w:t>GRUPO 1 — Natureza jurídica, obrigação alimentar e transmissibilidade</w:t>
      </w:r>
      <w:bookmarkEnd w:id="49"/>
    </w:p>
    <w:tbl>
      <w:tblPr>
        <w:tblW w:w="5000" w:type="pct"/>
        <w:tblBorders>
          <w:top w:val="single" w:sz="8" w:space="0" w:color="C9B78C"/>
          <w:left w:val="single" w:sz="8" w:space="0" w:color="C9B78C"/>
          <w:bottom w:val="single" w:sz="8" w:space="0" w:color="C9B78C"/>
          <w:right w:val="single" w:sz="8" w:space="0" w:color="C9B78C"/>
        </w:tblBorders>
        <w:tblCellMar>
          <w:left w:w="10" w:type="dxa"/>
          <w:right w:w="10" w:type="dxa"/>
        </w:tblCellMar>
        <w:tblLook w:val="04A0" w:firstRow="1" w:lastRow="0" w:firstColumn="1" w:lastColumn="0" w:noHBand="0" w:noVBand="1"/>
      </w:tblPr>
      <w:tblGrid>
        <w:gridCol w:w="9726"/>
      </w:tblGrid>
      <w:tr w:rsidR="00B874B0" w14:paraId="49551226" w14:textId="77777777">
        <w:tblPrEx>
          <w:tblCellMar>
            <w:top w:w="0" w:type="dxa"/>
            <w:bottom w:w="0" w:type="dxa"/>
          </w:tblCellMar>
        </w:tblPrEx>
        <w:tc>
          <w:tcPr>
            <w:tcW w:w="5000" w:type="pct"/>
            <w:shd w:val="clear" w:color="auto" w:fill="F6F1E8"/>
            <w:tcMar>
              <w:top w:w="160" w:type="dxa"/>
              <w:left w:w="200" w:type="dxa"/>
              <w:bottom w:w="160" w:type="dxa"/>
              <w:right w:w="200" w:type="dxa"/>
            </w:tcMar>
          </w:tcPr>
          <w:p w14:paraId="7074D44E" w14:textId="77777777" w:rsidR="00B874B0" w:rsidRDefault="00000000">
            <w:pPr>
              <w:pStyle w:val="Ttulo3"/>
              <w:spacing w:after="80"/>
            </w:pPr>
            <w:bookmarkStart w:id="50" w:name="_Toc236570104"/>
            <w:r>
              <w:t>Alimentos vencidos e não pagos SE TRANSMITEM aos herdeiros do credor falecido (execução prossegue por sucessão processual)</w:t>
            </w:r>
            <w:bookmarkEnd w:id="50"/>
          </w:p>
          <w:p w14:paraId="4D019A76" w14:textId="77777777" w:rsidR="00B874B0" w:rsidRDefault="00000000">
            <w:pPr>
              <w:spacing w:after="40"/>
            </w:pPr>
            <w:r>
              <w:rPr>
                <w:b/>
                <w:bCs/>
                <w:color w:val="555555"/>
                <w:sz w:val="19"/>
                <w:szCs w:val="19"/>
              </w:rPr>
              <w:t>Tribunal: STJ   |   Órgão: 4ª Turma</w:t>
            </w:r>
          </w:p>
          <w:p w14:paraId="518F90E2" w14:textId="77777777" w:rsidR="00B874B0" w:rsidRDefault="00000000">
            <w:pPr>
              <w:spacing w:after="40"/>
            </w:pPr>
            <w:r>
              <w:rPr>
                <w:color w:val="555555"/>
                <w:sz w:val="19"/>
                <w:szCs w:val="19"/>
              </w:rPr>
              <w:t>Processo: REsp 2.010.219-MG   |   Relator: Min. Maria Isabel Gallotti   |   Data: 14/10/2025</w:t>
            </w:r>
          </w:p>
          <w:p w14:paraId="0BB61D26" w14:textId="77777777" w:rsidR="00B874B0" w:rsidRDefault="00000000">
            <w:pPr>
              <w:spacing w:after="100"/>
            </w:pPr>
            <w:r>
              <w:rPr>
                <w:i/>
                <w:iCs/>
                <w:color w:val="555555"/>
                <w:sz w:val="19"/>
                <w:szCs w:val="19"/>
              </w:rPr>
              <w:t>Sistemática: Caso isolado (decisão de Turma) — atenção: há julgado em sentido contrário (ver ficha seguinte)</w:t>
            </w:r>
          </w:p>
          <w:p w14:paraId="6488F59F" w14:textId="77777777" w:rsidR="00B874B0" w:rsidRDefault="00000000">
            <w:pPr>
              <w:spacing w:after="100"/>
            </w:pPr>
            <w:r>
              <w:rPr>
                <w:b/>
                <w:bCs/>
              </w:rPr>
              <w:t xml:space="preserve">TESE FIXADA / DECISÃO: </w:t>
            </w:r>
            <w:r>
              <w:t>Os alimentos vencidos e não pagos no curso da execução configuram crédito concreto do alimentado, incorporando-se ao seu patrimônio; embora a obrigação alimentar seja personalíssima e intransmissível, as prestações vencidas adquirem natureza patrimonial e são transmissíveis aos herdeiros (art. 1.784 CC).</w:t>
            </w:r>
          </w:p>
          <w:p w14:paraId="7543C527" w14:textId="77777777" w:rsidR="00B874B0" w:rsidRDefault="00000000">
            <w:pPr>
              <w:spacing w:after="100"/>
            </w:pPr>
            <w:r>
              <w:rPr>
                <w:b/>
                <w:bCs/>
              </w:rPr>
              <w:t xml:space="preserve">RESUMO DO CASO: </w:t>
            </w:r>
            <w:r>
              <w:t>Pedro deixou de pagar pensão a Gabriel (filho), que ajuizou execução de alimentos. Gabriel faleceu aos 11 anos no curso do processo. Sua mãe pediu prosseguimento da execução pelos herdeiros, sob o argumento de que as parcelas vencidas já haviam ingressado no patrimônio da criança. O STJ acolheu o pedido, distinguindo alimentos futuros (personalíssimos, intransmissíveis) de alimentos pretéritos vencidos (patrimonializados, transmissíveis).</w:t>
            </w:r>
          </w:p>
          <w:p w14:paraId="43EF54B1" w14:textId="77777777" w:rsidR="00B874B0" w:rsidRDefault="00000000">
            <w:pPr>
              <w:spacing w:after="40"/>
            </w:pPr>
            <w:r>
              <w:rPr>
                <w:b/>
                <w:bCs/>
              </w:rPr>
              <w:t>COMO PODE SER COBRADO EM PROVA:</w:t>
            </w:r>
          </w:p>
          <w:p w14:paraId="4F90D6F4" w14:textId="77777777" w:rsidR="00B874B0" w:rsidRDefault="00000000">
            <w:pPr>
              <w:pStyle w:val="PargrafodaLista"/>
              <w:numPr>
                <w:ilvl w:val="0"/>
                <w:numId w:val="2"/>
              </w:numPr>
              <w:spacing w:after="40"/>
            </w:pPr>
            <w:r>
              <w:rPr>
                <w:b/>
                <w:bCs/>
                <w:i/>
                <w:iCs/>
              </w:rPr>
              <w:t xml:space="preserve">Objetiva: </w:t>
            </w:r>
            <w:r>
              <w:t>pegadinha clássica — confundir a intransmissibilidade do direito a alimentos futuros com a (in)transmissibilidade de parcelas JÁ VENCIDAS.</w:t>
            </w:r>
          </w:p>
          <w:p w14:paraId="02932184" w14:textId="77777777" w:rsidR="00B874B0" w:rsidRDefault="00000000">
            <w:pPr>
              <w:pStyle w:val="PargrafodaLista"/>
              <w:numPr>
                <w:ilvl w:val="0"/>
                <w:numId w:val="2"/>
              </w:numPr>
              <w:spacing w:after="40"/>
            </w:pPr>
            <w:r>
              <w:rPr>
                <w:b/>
                <w:bCs/>
                <w:i/>
                <w:iCs/>
              </w:rPr>
              <w:t xml:space="preserve">Discursiva/Sentença: </w:t>
            </w:r>
            <w:r>
              <w:t>caso concreto de morte do alimentando na pendência de execução; pedir se os herdeiros podem prosseguir — exige diferenciar alimentos vincendos de vencidos.</w:t>
            </w:r>
          </w:p>
          <w:p w14:paraId="61797462" w14:textId="77777777" w:rsidR="00B874B0" w:rsidRDefault="00000000">
            <w:pPr>
              <w:pStyle w:val="PargrafodaLista"/>
              <w:numPr>
                <w:ilvl w:val="0"/>
                <w:numId w:val="2"/>
              </w:numPr>
              <w:spacing w:after="100"/>
            </w:pPr>
            <w:r>
              <w:rPr>
                <w:b/>
                <w:bCs/>
                <w:i/>
                <w:iCs/>
              </w:rPr>
              <w:t xml:space="preserve">Oral: </w:t>
            </w:r>
            <w:r>
              <w:t>"Alimentos são transmissíveis aos herdeiros? Sempre?"</w:t>
            </w:r>
          </w:p>
          <w:p w14:paraId="0B72AC9F" w14:textId="77777777" w:rsidR="00B874B0" w:rsidRDefault="00000000">
            <w:r>
              <w:rPr>
                <w:b/>
                <w:bCs/>
                <w:color w:val="A9762F"/>
              </w:rPr>
              <w:t xml:space="preserve">CONEXÕES: </w:t>
            </w:r>
            <w:r>
              <w:rPr>
                <w:i/>
                <w:iCs/>
              </w:rPr>
              <w:t>Contrasta diretamente com AgInt nos EDcl no AREsp 2.412.253-RS (Info 830, 2024) — mesma banca (STJ) chegou à conclusão OPOSTA um ano antes. Art. 1.700 e 1.707 CC.</w:t>
            </w:r>
          </w:p>
        </w:tc>
      </w:tr>
    </w:tbl>
    <w:p w14:paraId="5FA61318" w14:textId="77777777" w:rsidR="00B874B0" w:rsidRDefault="00B874B0">
      <w:pPr>
        <w:spacing w:after="160"/>
      </w:pPr>
    </w:p>
    <w:tbl>
      <w:tblPr>
        <w:tblW w:w="5000" w:type="pct"/>
        <w:tblBorders>
          <w:top w:val="single" w:sz="8" w:space="0" w:color="C9B78C"/>
          <w:left w:val="single" w:sz="8" w:space="0" w:color="C9B78C"/>
          <w:bottom w:val="single" w:sz="8" w:space="0" w:color="C9B78C"/>
          <w:right w:val="single" w:sz="8" w:space="0" w:color="C9B78C"/>
        </w:tblBorders>
        <w:tblCellMar>
          <w:left w:w="10" w:type="dxa"/>
          <w:right w:w="10" w:type="dxa"/>
        </w:tblCellMar>
        <w:tblLook w:val="04A0" w:firstRow="1" w:lastRow="0" w:firstColumn="1" w:lastColumn="0" w:noHBand="0" w:noVBand="1"/>
      </w:tblPr>
      <w:tblGrid>
        <w:gridCol w:w="9726"/>
      </w:tblGrid>
      <w:tr w:rsidR="00B874B0" w14:paraId="1AA7DF49" w14:textId="77777777">
        <w:tblPrEx>
          <w:tblCellMar>
            <w:top w:w="0" w:type="dxa"/>
            <w:bottom w:w="0" w:type="dxa"/>
          </w:tblCellMar>
        </w:tblPrEx>
        <w:tc>
          <w:tcPr>
            <w:tcW w:w="5000" w:type="pct"/>
            <w:shd w:val="clear" w:color="auto" w:fill="F6F1E8"/>
            <w:tcMar>
              <w:top w:w="160" w:type="dxa"/>
              <w:left w:w="200" w:type="dxa"/>
              <w:bottom w:w="160" w:type="dxa"/>
              <w:right w:w="200" w:type="dxa"/>
            </w:tcMar>
          </w:tcPr>
          <w:p w14:paraId="01377104" w14:textId="77777777" w:rsidR="00B874B0" w:rsidRDefault="00000000">
            <w:pPr>
              <w:pStyle w:val="Ttulo3"/>
              <w:spacing w:after="80"/>
            </w:pPr>
            <w:bookmarkStart w:id="51" w:name="_Toc236570105"/>
            <w:r>
              <w:t>O direito a alimentos vencidos e não pagos NÃO SE TRANSMITE aos herdeiros em caso de morte do alimentando</w:t>
            </w:r>
            <w:bookmarkEnd w:id="51"/>
          </w:p>
          <w:p w14:paraId="46F74C24" w14:textId="77777777" w:rsidR="00B874B0" w:rsidRDefault="00000000">
            <w:pPr>
              <w:spacing w:after="40"/>
            </w:pPr>
            <w:r>
              <w:rPr>
                <w:b/>
                <w:bCs/>
                <w:color w:val="555555"/>
                <w:sz w:val="19"/>
                <w:szCs w:val="19"/>
              </w:rPr>
              <w:t>Tribunal: STJ   |   Órgão: 4ª Turma</w:t>
            </w:r>
          </w:p>
          <w:p w14:paraId="1830E8EF" w14:textId="77777777" w:rsidR="00B874B0" w:rsidRDefault="00000000">
            <w:pPr>
              <w:spacing w:after="40"/>
            </w:pPr>
            <w:r>
              <w:rPr>
                <w:color w:val="555555"/>
                <w:sz w:val="19"/>
                <w:szCs w:val="19"/>
              </w:rPr>
              <w:t>Processo: AgInt nos EDcl no AREsp 2.412.253-RS   |   Relator: Min. João Otávio de Noronha   |   Data: 09/09/2024</w:t>
            </w:r>
          </w:p>
          <w:p w14:paraId="2764CE53" w14:textId="77777777" w:rsidR="00B874B0" w:rsidRDefault="00000000">
            <w:pPr>
              <w:spacing w:after="100"/>
            </w:pPr>
            <w:r>
              <w:rPr>
                <w:i/>
                <w:iCs/>
                <w:color w:val="555555"/>
                <w:sz w:val="19"/>
                <w:szCs w:val="19"/>
              </w:rPr>
              <w:t>Sistemática: Caso isolado (decisão de Turma) — atenção: há julgado em sentido contrário (ver ficha anterior)</w:t>
            </w:r>
          </w:p>
          <w:p w14:paraId="614C1427" w14:textId="77777777" w:rsidR="00B874B0" w:rsidRDefault="00000000">
            <w:pPr>
              <w:spacing w:after="100"/>
            </w:pPr>
            <w:r>
              <w:rPr>
                <w:b/>
                <w:bCs/>
              </w:rPr>
              <w:t xml:space="preserve">TESE FIXADA / DECISÃO: </w:t>
            </w:r>
            <w:r>
              <w:t>A natureza personalíssima dos alimentos, somada ao seu caráter de patrimônio moral vinculado à sua finalidade, torna inviável a transmissão aos herdeiros em caso de morte do alimentando.</w:t>
            </w:r>
          </w:p>
          <w:p w14:paraId="3EADF961" w14:textId="77777777" w:rsidR="00B874B0" w:rsidRDefault="00000000">
            <w:pPr>
              <w:spacing w:after="100"/>
            </w:pPr>
            <w:r>
              <w:rPr>
                <w:b/>
                <w:bCs/>
              </w:rPr>
              <w:t xml:space="preserve">RESUMO DO CASO: </w:t>
            </w:r>
            <w:r>
              <w:t>Julgado sintético do STJ (4ª Turma) reafirmando a tese clássica da intransmissibilidade dos alimentos, inclusive das parcelas vencidas, por sua natureza personalíssima.</w:t>
            </w:r>
          </w:p>
          <w:p w14:paraId="3344D694" w14:textId="77777777" w:rsidR="00B874B0" w:rsidRDefault="00000000">
            <w:pPr>
              <w:spacing w:after="40"/>
            </w:pPr>
            <w:r>
              <w:rPr>
                <w:b/>
                <w:bCs/>
              </w:rPr>
              <w:t>COMO PODE SER COBRADO EM PROVA:</w:t>
            </w:r>
          </w:p>
          <w:p w14:paraId="72E8CB85" w14:textId="77777777" w:rsidR="00B874B0" w:rsidRDefault="00000000">
            <w:pPr>
              <w:pStyle w:val="PargrafodaLista"/>
              <w:numPr>
                <w:ilvl w:val="0"/>
                <w:numId w:val="2"/>
              </w:numPr>
              <w:spacing w:after="40"/>
            </w:pPr>
            <w:r>
              <w:rPr>
                <w:b/>
                <w:bCs/>
                <w:i/>
                <w:iCs/>
              </w:rPr>
              <w:t xml:space="preserve">Objetiva: </w:t>
            </w:r>
            <w:r>
              <w:t>alternativa que junta as duas teses (Info 830 x Info 870) — o examinador pode cobrar qual prevalece hoje ou apresentar a dualidade para testar atenção do candidato.</w:t>
            </w:r>
          </w:p>
          <w:p w14:paraId="67D4B2C3" w14:textId="77777777" w:rsidR="00B874B0" w:rsidRDefault="00000000">
            <w:pPr>
              <w:pStyle w:val="PargrafodaLista"/>
              <w:numPr>
                <w:ilvl w:val="0"/>
                <w:numId w:val="2"/>
              </w:numPr>
              <w:spacing w:after="40"/>
            </w:pPr>
            <w:r>
              <w:rPr>
                <w:b/>
                <w:bCs/>
                <w:i/>
                <w:iCs/>
              </w:rPr>
              <w:t xml:space="preserve">Discursiva/Sentença: </w:t>
            </w:r>
            <w:r>
              <w:t>pedir para o candidato identificar e discutir a divergência interna do STJ sobre o tema, com fundamentação de ambas as correntes.</w:t>
            </w:r>
          </w:p>
          <w:p w14:paraId="65DAD002" w14:textId="77777777" w:rsidR="00B874B0" w:rsidRDefault="00000000">
            <w:pPr>
              <w:pStyle w:val="PargrafodaLista"/>
              <w:numPr>
                <w:ilvl w:val="0"/>
                <w:numId w:val="2"/>
              </w:numPr>
              <w:spacing w:after="100"/>
            </w:pPr>
            <w:r>
              <w:rPr>
                <w:b/>
                <w:bCs/>
                <w:i/>
                <w:iCs/>
              </w:rPr>
              <w:t xml:space="preserve">Oral: </w:t>
            </w:r>
            <w:r>
              <w:t>"Existe entendimento pacífico no STJ sobre a transmissibilidade de alimentos vencidos? Justifique."</w:t>
            </w:r>
          </w:p>
          <w:p w14:paraId="166ACF85" w14:textId="77777777" w:rsidR="00B874B0" w:rsidRDefault="00000000">
            <w:r>
              <w:rPr>
                <w:b/>
                <w:bCs/>
                <w:color w:val="A9762F"/>
              </w:rPr>
              <w:t xml:space="preserve">CONEXÕES: </w:t>
            </w:r>
            <w:r>
              <w:rPr>
                <w:i/>
                <w:iCs/>
              </w:rPr>
              <w:t>Ver REsp 2.010.219-MG (Info 870, 2025) — tese contrária e mais recente da própria 4ª Turma. Art. 1.700 CC. [VERIFICAR se há Recurso Repetitivo pendente para pacificar a matéria]</w:t>
            </w:r>
          </w:p>
        </w:tc>
      </w:tr>
    </w:tbl>
    <w:p w14:paraId="352DAF50" w14:textId="77777777" w:rsidR="00B874B0" w:rsidRDefault="00B874B0">
      <w:pPr>
        <w:spacing w:after="160"/>
      </w:pPr>
    </w:p>
    <w:tbl>
      <w:tblPr>
        <w:tblW w:w="5000" w:type="pct"/>
        <w:tblBorders>
          <w:top w:val="single" w:sz="8" w:space="0" w:color="C9B78C"/>
          <w:left w:val="single" w:sz="8" w:space="0" w:color="C9B78C"/>
          <w:bottom w:val="single" w:sz="8" w:space="0" w:color="C9B78C"/>
          <w:right w:val="single" w:sz="8" w:space="0" w:color="C9B78C"/>
        </w:tblBorders>
        <w:tblCellMar>
          <w:left w:w="10" w:type="dxa"/>
          <w:right w:w="10" w:type="dxa"/>
        </w:tblCellMar>
        <w:tblLook w:val="04A0" w:firstRow="1" w:lastRow="0" w:firstColumn="1" w:lastColumn="0" w:noHBand="0" w:noVBand="1"/>
      </w:tblPr>
      <w:tblGrid>
        <w:gridCol w:w="9726"/>
      </w:tblGrid>
      <w:tr w:rsidR="00B874B0" w14:paraId="5C9C2233" w14:textId="77777777">
        <w:tblPrEx>
          <w:tblCellMar>
            <w:top w:w="0" w:type="dxa"/>
            <w:bottom w:w="0" w:type="dxa"/>
          </w:tblCellMar>
        </w:tblPrEx>
        <w:tc>
          <w:tcPr>
            <w:tcW w:w="5000" w:type="pct"/>
            <w:shd w:val="clear" w:color="auto" w:fill="F6F1E8"/>
            <w:tcMar>
              <w:top w:w="160" w:type="dxa"/>
              <w:left w:w="200" w:type="dxa"/>
              <w:bottom w:w="160" w:type="dxa"/>
              <w:right w:w="200" w:type="dxa"/>
            </w:tcMar>
          </w:tcPr>
          <w:p w14:paraId="34AB67F4" w14:textId="77777777" w:rsidR="00B874B0" w:rsidRDefault="00000000">
            <w:pPr>
              <w:pStyle w:val="Ttulo3"/>
              <w:spacing w:after="80"/>
            </w:pPr>
            <w:bookmarkStart w:id="52" w:name="_Toc236570106"/>
            <w:r>
              <w:t>Continuidade prolongada do pagamento voluntário de alimentos gera legítima expectativa de manutenção por prazo indeterminado (supressio e surrectio)</w:t>
            </w:r>
            <w:bookmarkEnd w:id="52"/>
          </w:p>
          <w:p w14:paraId="2EBFD7F4" w14:textId="77777777" w:rsidR="00B874B0" w:rsidRDefault="00000000">
            <w:pPr>
              <w:spacing w:after="40"/>
            </w:pPr>
            <w:r>
              <w:rPr>
                <w:b/>
                <w:bCs/>
                <w:color w:val="555555"/>
                <w:sz w:val="19"/>
                <w:szCs w:val="19"/>
              </w:rPr>
              <w:t>Tribunal: STJ   |   Órgão: 3ª Turma</w:t>
            </w:r>
          </w:p>
          <w:p w14:paraId="10CC7D17" w14:textId="77777777" w:rsidR="00B874B0" w:rsidRDefault="00000000">
            <w:pPr>
              <w:spacing w:after="40"/>
            </w:pPr>
            <w:r>
              <w:rPr>
                <w:color w:val="555555"/>
                <w:sz w:val="19"/>
                <w:szCs w:val="19"/>
              </w:rPr>
              <w:t>Processo: REsp 2.172.590-RJ   |   Relator: Min. Nancy Andrighi   |   Data: 17/06/2025</w:t>
            </w:r>
          </w:p>
          <w:p w14:paraId="0FE79FD8" w14:textId="77777777" w:rsidR="00B874B0" w:rsidRDefault="00000000">
            <w:pPr>
              <w:spacing w:after="100"/>
            </w:pPr>
            <w:r>
              <w:rPr>
                <w:i/>
                <w:iCs/>
                <w:color w:val="555555"/>
                <w:sz w:val="19"/>
                <w:szCs w:val="19"/>
              </w:rPr>
              <w:t>Sistemática: Caso isolado</w:t>
            </w:r>
          </w:p>
          <w:p w14:paraId="43EBD5B2" w14:textId="77777777" w:rsidR="00B874B0" w:rsidRDefault="00000000">
            <w:pPr>
              <w:spacing w:after="100"/>
            </w:pPr>
            <w:r>
              <w:rPr>
                <w:b/>
                <w:bCs/>
              </w:rPr>
              <w:t xml:space="preserve">TESE FIXADA / DECISÃO: </w:t>
            </w:r>
            <w:r>
              <w:t>É possível a manutenção do pagamento de pensão alimentícia por prazo indeterminado quando o alimentante, mesmo exonerado (ou com prazo já esgotado), optou voluntariamente por continuar pagando por longo período, configurando supressio (perda do direito de cessar) e surrectio (nascimento da expectativa legítima do alimentando).</w:t>
            </w:r>
          </w:p>
          <w:p w14:paraId="4971D84B" w14:textId="77777777" w:rsidR="00B874B0" w:rsidRDefault="00000000">
            <w:pPr>
              <w:spacing w:after="100"/>
            </w:pPr>
            <w:r>
              <w:rPr>
                <w:b/>
                <w:bCs/>
              </w:rPr>
              <w:t xml:space="preserve">RESUMO DO CASO: </w:t>
            </w:r>
            <w:r>
              <w:t>João e Regina se divorciaram em 1993, com pensão fixada por 1 ano. João continuou pagando voluntariamente por mais de 25 anos. Em 2018, pediu exoneração alegando dificuldades financeiras. O STJ negou, por Regina (idosa, com lúpus) ter se tornado financeiramente dependente da pensão e por incidência da boa-fé objetiva (supressio/surrectio).</w:t>
            </w:r>
          </w:p>
          <w:p w14:paraId="2F838BCA" w14:textId="77777777" w:rsidR="00B874B0" w:rsidRDefault="00000000">
            <w:pPr>
              <w:spacing w:after="40"/>
            </w:pPr>
            <w:r>
              <w:rPr>
                <w:b/>
                <w:bCs/>
              </w:rPr>
              <w:t>COMO PODE SER COBRADO EM PROVA:</w:t>
            </w:r>
          </w:p>
          <w:p w14:paraId="6496965A" w14:textId="77777777" w:rsidR="00B874B0" w:rsidRDefault="00000000">
            <w:pPr>
              <w:pStyle w:val="PargrafodaLista"/>
              <w:numPr>
                <w:ilvl w:val="0"/>
                <w:numId w:val="2"/>
              </w:numPr>
              <w:spacing w:after="40"/>
            </w:pPr>
            <w:r>
              <w:rPr>
                <w:b/>
                <w:bCs/>
                <w:i/>
                <w:iCs/>
              </w:rPr>
              <w:t xml:space="preserve">Objetiva: </w:t>
            </w:r>
            <w:r>
              <w:t>aplicação dos institutos de boa-fé objetiva (supressio/surrectio) fora do direito obrigacional "clássico" — extensão ao direito de família.</w:t>
            </w:r>
          </w:p>
          <w:p w14:paraId="0012EFF6" w14:textId="77777777" w:rsidR="00B874B0" w:rsidRDefault="00000000">
            <w:pPr>
              <w:pStyle w:val="PargrafodaLista"/>
              <w:numPr>
                <w:ilvl w:val="0"/>
                <w:numId w:val="2"/>
              </w:numPr>
              <w:spacing w:after="40"/>
            </w:pPr>
            <w:r>
              <w:rPr>
                <w:b/>
                <w:bCs/>
                <w:i/>
                <w:iCs/>
              </w:rPr>
              <w:t xml:space="preserve">Discursiva/Sentença: </w:t>
            </w:r>
            <w:r>
              <w:t>caso de pedido de exoneração de alimentos entre ex-cônjuges após longuíssimo pagamento voluntário além do prazo fixado — pedir sentença fundamentada em boa-fé objetiva x transitoriedade dos alimentos entre ex-cônjuges.</w:t>
            </w:r>
          </w:p>
          <w:p w14:paraId="718C6E1B" w14:textId="77777777" w:rsidR="00B874B0" w:rsidRDefault="00000000">
            <w:pPr>
              <w:pStyle w:val="PargrafodaLista"/>
              <w:numPr>
                <w:ilvl w:val="0"/>
                <w:numId w:val="2"/>
              </w:numPr>
              <w:spacing w:after="100"/>
            </w:pPr>
            <w:r>
              <w:rPr>
                <w:b/>
                <w:bCs/>
                <w:i/>
                <w:iCs/>
              </w:rPr>
              <w:t xml:space="preserve">Oral: </w:t>
            </w:r>
            <w:r>
              <w:t>"O que são supressio e surrectio e como se aplicam aos alimentos?"</w:t>
            </w:r>
          </w:p>
          <w:p w14:paraId="3368F56D" w14:textId="77777777" w:rsidR="00B874B0" w:rsidRDefault="00000000">
            <w:r>
              <w:rPr>
                <w:b/>
                <w:bCs/>
                <w:color w:val="A9762F"/>
              </w:rPr>
              <w:t xml:space="preserve">CONEXÕES: </w:t>
            </w:r>
            <w:r>
              <w:rPr>
                <w:i/>
                <w:iCs/>
              </w:rPr>
              <w:t>Contrasta com a tese geral de que alimentos entre ex-cônjuges são transitórios (REsp 1.829.295-SC, Info 669, 2020 — fora da janela, mas doutrina de base); art. 1.699 e 1.694 CC; princípio da boa-fé objetiva (art. 422 CC).</w:t>
            </w:r>
          </w:p>
        </w:tc>
      </w:tr>
    </w:tbl>
    <w:p w14:paraId="6CD8E2EE" w14:textId="77777777" w:rsidR="00B874B0" w:rsidRDefault="00B874B0">
      <w:pPr>
        <w:spacing w:after="160"/>
      </w:pPr>
    </w:p>
    <w:tbl>
      <w:tblPr>
        <w:tblW w:w="5000" w:type="pct"/>
        <w:tblBorders>
          <w:top w:val="single" w:sz="8" w:space="0" w:color="C9B78C"/>
          <w:left w:val="single" w:sz="8" w:space="0" w:color="C9B78C"/>
          <w:bottom w:val="single" w:sz="8" w:space="0" w:color="C9B78C"/>
          <w:right w:val="single" w:sz="8" w:space="0" w:color="C9B78C"/>
        </w:tblBorders>
        <w:tblCellMar>
          <w:left w:w="10" w:type="dxa"/>
          <w:right w:w="10" w:type="dxa"/>
        </w:tblCellMar>
        <w:tblLook w:val="04A0" w:firstRow="1" w:lastRow="0" w:firstColumn="1" w:lastColumn="0" w:noHBand="0" w:noVBand="1"/>
      </w:tblPr>
      <w:tblGrid>
        <w:gridCol w:w="9726"/>
      </w:tblGrid>
      <w:tr w:rsidR="00B874B0" w14:paraId="72C00E9C" w14:textId="77777777">
        <w:tblPrEx>
          <w:tblCellMar>
            <w:top w:w="0" w:type="dxa"/>
            <w:bottom w:w="0" w:type="dxa"/>
          </w:tblCellMar>
        </w:tblPrEx>
        <w:tc>
          <w:tcPr>
            <w:tcW w:w="5000" w:type="pct"/>
            <w:shd w:val="clear" w:color="auto" w:fill="F6F1E8"/>
            <w:tcMar>
              <w:top w:w="160" w:type="dxa"/>
              <w:left w:w="200" w:type="dxa"/>
              <w:bottom w:w="160" w:type="dxa"/>
              <w:right w:w="200" w:type="dxa"/>
            </w:tcMar>
          </w:tcPr>
          <w:p w14:paraId="5786AD96" w14:textId="77777777" w:rsidR="00B874B0" w:rsidRDefault="00000000">
            <w:pPr>
              <w:pStyle w:val="Ttulo3"/>
              <w:spacing w:after="80"/>
            </w:pPr>
            <w:bookmarkStart w:id="53" w:name="_Toc236570107"/>
            <w:r>
              <w:t>Não se aplica por analogia o regime de alimentos (baseado na filiação) a animais de estimação — e nova lei disciplina o tema</w:t>
            </w:r>
            <w:bookmarkEnd w:id="53"/>
          </w:p>
          <w:p w14:paraId="64BE2756" w14:textId="77777777" w:rsidR="00B874B0" w:rsidRDefault="00000000">
            <w:pPr>
              <w:spacing w:after="40"/>
            </w:pPr>
            <w:r>
              <w:rPr>
                <w:b/>
                <w:bCs/>
                <w:color w:val="555555"/>
                <w:sz w:val="19"/>
                <w:szCs w:val="19"/>
              </w:rPr>
              <w:t>Tribunal: STJ   |   Órgão: 3ª Turma</w:t>
            </w:r>
          </w:p>
          <w:p w14:paraId="6DF7F1E5" w14:textId="77777777" w:rsidR="00B874B0" w:rsidRDefault="00000000">
            <w:pPr>
              <w:spacing w:after="40"/>
            </w:pPr>
            <w:r>
              <w:rPr>
                <w:color w:val="555555"/>
                <w:sz w:val="19"/>
                <w:szCs w:val="19"/>
              </w:rPr>
              <w:t>Processo: REsp 1.944.228-SP   |   Relator: Min. Ricardo Villas Bôas Cueva, Rel. p/ acórdão Min. Marco Aurélio Bellizze   |   Data: 18/10/2022</w:t>
            </w:r>
          </w:p>
          <w:p w14:paraId="5C07CE5C" w14:textId="77777777" w:rsidR="00B874B0" w:rsidRDefault="00000000">
            <w:pPr>
              <w:spacing w:after="100"/>
            </w:pPr>
            <w:r>
              <w:rPr>
                <w:i/>
                <w:iCs/>
                <w:color w:val="555555"/>
                <w:sz w:val="19"/>
                <w:szCs w:val="19"/>
              </w:rPr>
              <w:t>Sistemática: Caso isolado (Info Especial 9/2022) — COM ATUALIZAÇÃO LEGISLATIVA POSTERIOR</w:t>
            </w:r>
          </w:p>
          <w:p w14:paraId="3284761D" w14:textId="77777777" w:rsidR="00B874B0" w:rsidRDefault="00000000">
            <w:pPr>
              <w:spacing w:after="100"/>
            </w:pPr>
            <w:r>
              <w:rPr>
                <w:b/>
                <w:bCs/>
              </w:rPr>
              <w:t xml:space="preserve">TESE FIXADA / DECISÃO: </w:t>
            </w:r>
            <w:r>
              <w:t>As despesas com animais de estimação são obrigações inerentes à condição de dono/coproprietário (art. 1.315 CC), e não alimentos fundados em filiação/Direito de Família. Encerrada a mancomunhão, aplica-se prazo prescricional trienal (art. 206, §3º, IV, CC) à pretensão de reembolso entre ex-companheiros. NOVIDADE: a Lei 15.392/2026 passou a disciplinar expressamente a "custódia compartilhada" de animais de estimação após dissolução de casamento/união estável (arts. 2º a 6º).</w:t>
            </w:r>
          </w:p>
          <w:p w14:paraId="1EB41672" w14:textId="77777777" w:rsidR="00B874B0" w:rsidRDefault="00000000">
            <w:pPr>
              <w:spacing w:after="100"/>
            </w:pPr>
            <w:r>
              <w:rPr>
                <w:b/>
                <w:bCs/>
              </w:rPr>
              <w:t xml:space="preserve">RESUMO DO CASO: </w:t>
            </w:r>
            <w:r>
              <w:t>Ex-companheiros disputavam o custeio de despesas com pets adquiridos durante união estável já dissolvida. O STJ afastou a aplicação analógica do regime de alimentos, tratando a questão sob a ótica do condomínio/mancomunhão de bens.</w:t>
            </w:r>
          </w:p>
          <w:p w14:paraId="7DCDDA11" w14:textId="77777777" w:rsidR="00B874B0" w:rsidRDefault="00000000">
            <w:pPr>
              <w:spacing w:after="40"/>
            </w:pPr>
            <w:r>
              <w:rPr>
                <w:b/>
                <w:bCs/>
              </w:rPr>
              <w:t>COMO PODE SER COBRADO EM PROVA:</w:t>
            </w:r>
          </w:p>
          <w:p w14:paraId="5D33C964" w14:textId="77777777" w:rsidR="00B874B0" w:rsidRDefault="00000000">
            <w:pPr>
              <w:pStyle w:val="PargrafodaLista"/>
              <w:numPr>
                <w:ilvl w:val="0"/>
                <w:numId w:val="2"/>
              </w:numPr>
              <w:spacing w:after="40"/>
            </w:pPr>
            <w:r>
              <w:rPr>
                <w:b/>
                <w:bCs/>
                <w:i/>
                <w:iCs/>
              </w:rPr>
              <w:t xml:space="preserve">Objetiva: </w:t>
            </w:r>
            <w:r>
              <w:t>pegadinha — "alimentos entre ex-companheiros pode abranger animal de estimação"? FALSO; é tema de partilha/condomínio, agora com lei própria.</w:t>
            </w:r>
          </w:p>
          <w:p w14:paraId="26C1EE0D" w14:textId="77777777" w:rsidR="00B874B0" w:rsidRDefault="00000000">
            <w:pPr>
              <w:pStyle w:val="PargrafodaLista"/>
              <w:numPr>
                <w:ilvl w:val="0"/>
                <w:numId w:val="2"/>
              </w:numPr>
              <w:spacing w:after="40"/>
            </w:pPr>
            <w:r>
              <w:rPr>
                <w:b/>
                <w:bCs/>
                <w:i/>
                <w:iCs/>
              </w:rPr>
              <w:t xml:space="preserve">Discursiva/Sentença: </w:t>
            </w:r>
            <w:r>
              <w:t>questão de família contemporânea (guarda de pets) — pedir fundamentação sobre por que NÃO se aplica o regime de alimentos e qual o regramento legal atual.</w:t>
            </w:r>
          </w:p>
          <w:p w14:paraId="78D631B3" w14:textId="77777777" w:rsidR="00B874B0" w:rsidRDefault="00000000">
            <w:pPr>
              <w:pStyle w:val="PargrafodaLista"/>
              <w:numPr>
                <w:ilvl w:val="0"/>
                <w:numId w:val="2"/>
              </w:numPr>
              <w:spacing w:after="100"/>
            </w:pPr>
            <w:r>
              <w:rPr>
                <w:b/>
                <w:bCs/>
                <w:i/>
                <w:iCs/>
              </w:rPr>
              <w:t xml:space="preserve">Oral: </w:t>
            </w:r>
            <w:r>
              <w:t>"Existe pensão alimentícia para animal de estimação? O que mudou com a Lei 15.392/2026?" [VERIFICAR teor integral da Lei 15.392/2026 antes da prova, pois é legislação muito recente]</w:t>
            </w:r>
          </w:p>
          <w:p w14:paraId="4C3D9D15" w14:textId="77777777" w:rsidR="00B874B0" w:rsidRDefault="00000000">
            <w:r>
              <w:rPr>
                <w:b/>
                <w:bCs/>
                <w:color w:val="A9762F"/>
              </w:rPr>
              <w:lastRenderedPageBreak/>
              <w:t xml:space="preserve">CONEXÕES: </w:t>
            </w:r>
            <w:r>
              <w:rPr>
                <w:i/>
                <w:iCs/>
              </w:rPr>
              <w:t>art. 1.315 CC (despesas de coisa comum); art. 206, §3º, IV, CC (prescrição); Lei 15.392/2026 (custódia compartilhada de animais).</w:t>
            </w:r>
          </w:p>
        </w:tc>
      </w:tr>
    </w:tbl>
    <w:p w14:paraId="4CFD6AA9" w14:textId="77777777" w:rsidR="00B874B0" w:rsidRDefault="00B874B0">
      <w:pPr>
        <w:spacing w:after="160"/>
      </w:pPr>
    </w:p>
    <w:tbl>
      <w:tblPr>
        <w:tblW w:w="5000" w:type="pct"/>
        <w:tblBorders>
          <w:top w:val="single" w:sz="8" w:space="0" w:color="C9B78C"/>
          <w:left w:val="single" w:sz="8" w:space="0" w:color="C9B78C"/>
          <w:bottom w:val="single" w:sz="8" w:space="0" w:color="C9B78C"/>
          <w:right w:val="single" w:sz="8" w:space="0" w:color="C9B78C"/>
        </w:tblBorders>
        <w:tblCellMar>
          <w:left w:w="10" w:type="dxa"/>
          <w:right w:w="10" w:type="dxa"/>
        </w:tblCellMar>
        <w:tblLook w:val="04A0" w:firstRow="1" w:lastRow="0" w:firstColumn="1" w:lastColumn="0" w:noHBand="0" w:noVBand="1"/>
      </w:tblPr>
      <w:tblGrid>
        <w:gridCol w:w="9726"/>
      </w:tblGrid>
      <w:tr w:rsidR="00B874B0" w14:paraId="06CF1437" w14:textId="77777777">
        <w:tblPrEx>
          <w:tblCellMar>
            <w:top w:w="0" w:type="dxa"/>
            <w:bottom w:w="0" w:type="dxa"/>
          </w:tblCellMar>
        </w:tblPrEx>
        <w:tc>
          <w:tcPr>
            <w:tcW w:w="5000" w:type="pct"/>
            <w:shd w:val="clear" w:color="auto" w:fill="F6F1E8"/>
            <w:tcMar>
              <w:top w:w="160" w:type="dxa"/>
              <w:left w:w="200" w:type="dxa"/>
              <w:bottom w:w="160" w:type="dxa"/>
              <w:right w:w="200" w:type="dxa"/>
            </w:tcMar>
          </w:tcPr>
          <w:p w14:paraId="30F1B621" w14:textId="77777777" w:rsidR="00B874B0" w:rsidRDefault="00000000">
            <w:pPr>
              <w:pStyle w:val="Ttulo3"/>
              <w:spacing w:after="80"/>
            </w:pPr>
            <w:bookmarkStart w:id="54" w:name="_Toc236570108"/>
            <w:r>
              <w:t>Inadimplemento de alimentos compensatórios não autoriza prisão civil</w:t>
            </w:r>
            <w:bookmarkEnd w:id="54"/>
          </w:p>
          <w:p w14:paraId="43E4D692" w14:textId="77777777" w:rsidR="00B874B0" w:rsidRDefault="00000000">
            <w:pPr>
              <w:spacing w:after="40"/>
            </w:pPr>
            <w:r>
              <w:rPr>
                <w:b/>
                <w:bCs/>
                <w:color w:val="555555"/>
                <w:sz w:val="19"/>
                <w:szCs w:val="19"/>
              </w:rPr>
              <w:t>Tribunal: STJ   |   Órgão: 3ª Turma / 4ª Turma</w:t>
            </w:r>
          </w:p>
          <w:p w14:paraId="3D087CED" w14:textId="77777777" w:rsidR="00B874B0" w:rsidRDefault="00000000">
            <w:pPr>
              <w:spacing w:after="40"/>
            </w:pPr>
            <w:r>
              <w:rPr>
                <w:color w:val="555555"/>
                <w:sz w:val="19"/>
                <w:szCs w:val="19"/>
              </w:rPr>
              <w:t>Processo: HC 744.673/SP (principal)   |   Relator: Min. Raul Araújo   |   Data: 13/09/2022 (Info 757) — precedente: RHC 117.996/RS, Rel. Min. Marco Aurélio Bellizze, julgado em 02/06/2020</w:t>
            </w:r>
          </w:p>
          <w:p w14:paraId="09AD5A6E" w14:textId="77777777" w:rsidR="00B874B0" w:rsidRDefault="00000000">
            <w:pPr>
              <w:spacing w:after="100"/>
            </w:pPr>
            <w:r>
              <w:rPr>
                <w:i/>
                <w:iCs/>
                <w:color w:val="555555"/>
                <w:sz w:val="19"/>
                <w:szCs w:val="19"/>
              </w:rPr>
              <w:t>Sistemática: Caso isolado, reiterado por duas Turmas</w:t>
            </w:r>
          </w:p>
          <w:p w14:paraId="5A72E8A1" w14:textId="77777777" w:rsidR="00B874B0" w:rsidRDefault="00000000">
            <w:pPr>
              <w:spacing w:after="100"/>
            </w:pPr>
            <w:r>
              <w:rPr>
                <w:b/>
                <w:bCs/>
              </w:rPr>
              <w:t xml:space="preserve">TESE FIXADA / DECISÃO: </w:t>
            </w:r>
            <w:r>
              <w:t>O inadimplemento de alimentos compensatórios — destinados a manter o padrão de vida do ex-cônjuge após a ruptura da sociedade conjugal — não autoriza execução pelo rito da prisão civil, por terem natureza indenizatória, e não alimentar em sentido estrito.</w:t>
            </w:r>
          </w:p>
          <w:p w14:paraId="05534AF3" w14:textId="77777777" w:rsidR="00B874B0" w:rsidRDefault="00000000">
            <w:pPr>
              <w:spacing w:after="100"/>
            </w:pPr>
            <w:r>
              <w:rPr>
                <w:b/>
                <w:bCs/>
              </w:rPr>
              <w:t xml:space="preserve">RESUMO DO CASO: </w:t>
            </w:r>
            <w:r>
              <w:t>Julgados reiterados do STJ distinguindo "alimentos compensatórios" (natureza indenizatória, ligados ao desequilíbrio econômico da separação, geralmente incidentes sobre partilha de bens) dos alimentos civis/naturais propriamente ditos, afastando a prisão civil como meio coercitivo para os primeiros.</w:t>
            </w:r>
          </w:p>
          <w:p w14:paraId="676EF350" w14:textId="77777777" w:rsidR="00B874B0" w:rsidRDefault="00000000">
            <w:pPr>
              <w:spacing w:after="40"/>
            </w:pPr>
            <w:r>
              <w:rPr>
                <w:b/>
                <w:bCs/>
              </w:rPr>
              <w:t>COMO PODE SER COBRADO EM PROVA:</w:t>
            </w:r>
          </w:p>
          <w:p w14:paraId="26793641" w14:textId="77777777" w:rsidR="00B874B0" w:rsidRDefault="00000000">
            <w:pPr>
              <w:pStyle w:val="PargrafodaLista"/>
              <w:numPr>
                <w:ilvl w:val="0"/>
                <w:numId w:val="2"/>
              </w:numPr>
              <w:spacing w:after="40"/>
            </w:pPr>
            <w:r>
              <w:rPr>
                <w:b/>
                <w:bCs/>
                <w:i/>
                <w:iCs/>
              </w:rPr>
              <w:t xml:space="preserve">Objetiva: </w:t>
            </w:r>
            <w:r>
              <w:t>distinguir "alimentos compensatórios" (indenizatórios, sem prisão) de "alimentos" strictu sensu (coercíveis por prisão) — clássica pegadinha de nomenclatura.</w:t>
            </w:r>
          </w:p>
          <w:p w14:paraId="13232E90" w14:textId="77777777" w:rsidR="00B874B0" w:rsidRDefault="00000000">
            <w:pPr>
              <w:pStyle w:val="PargrafodaLista"/>
              <w:numPr>
                <w:ilvl w:val="0"/>
                <w:numId w:val="2"/>
              </w:numPr>
              <w:spacing w:after="40"/>
            </w:pPr>
            <w:r>
              <w:rPr>
                <w:b/>
                <w:bCs/>
                <w:i/>
                <w:iCs/>
              </w:rPr>
              <w:t xml:space="preserve">Discursiva/Sentença: </w:t>
            </w:r>
            <w:r>
              <w:t>caso de execução de alimentos compensatórios pedindo prisão civil — pedir decisão fundamentada indeferindo a prisão, com base na natureza indenizatória da verba.</w:t>
            </w:r>
          </w:p>
          <w:p w14:paraId="47BE00B6" w14:textId="77777777" w:rsidR="00B874B0" w:rsidRDefault="00000000">
            <w:pPr>
              <w:pStyle w:val="PargrafodaLista"/>
              <w:numPr>
                <w:ilvl w:val="0"/>
                <w:numId w:val="2"/>
              </w:numPr>
              <w:spacing w:after="100"/>
            </w:pPr>
            <w:r>
              <w:rPr>
                <w:b/>
                <w:bCs/>
                <w:i/>
                <w:iCs/>
              </w:rPr>
              <w:t xml:space="preserve">Oral: </w:t>
            </w:r>
            <w:r>
              <w:t>"O que são alimentos compensatórios? Cabe prisão civil pelo seu inadimplemento?"</w:t>
            </w:r>
          </w:p>
          <w:p w14:paraId="5F2E1B02" w14:textId="77777777" w:rsidR="00B874B0" w:rsidRDefault="00000000">
            <w:r>
              <w:rPr>
                <w:b/>
                <w:bCs/>
                <w:color w:val="A9762F"/>
              </w:rPr>
              <w:t xml:space="preserve">CONEXÕES: </w:t>
            </w:r>
            <w:r>
              <w:rPr>
                <w:i/>
                <w:iCs/>
              </w:rPr>
              <w:t>art. 528 CPC (rito da prisão civil, restrito a alimentos "naturais"); Súmula 309-STJ (débito alimentar que autoriza prisão).</w:t>
            </w:r>
          </w:p>
        </w:tc>
      </w:tr>
    </w:tbl>
    <w:p w14:paraId="51473874" w14:textId="77777777" w:rsidR="00B874B0" w:rsidRDefault="00B874B0">
      <w:pPr>
        <w:spacing w:after="160"/>
      </w:pPr>
    </w:p>
    <w:tbl>
      <w:tblPr>
        <w:tblW w:w="5000" w:type="pct"/>
        <w:tblBorders>
          <w:top w:val="single" w:sz="8" w:space="0" w:color="C9B78C"/>
          <w:left w:val="single" w:sz="8" w:space="0" w:color="C9B78C"/>
          <w:bottom w:val="single" w:sz="8" w:space="0" w:color="C9B78C"/>
          <w:right w:val="single" w:sz="8" w:space="0" w:color="C9B78C"/>
        </w:tblBorders>
        <w:tblCellMar>
          <w:left w:w="10" w:type="dxa"/>
          <w:right w:w="10" w:type="dxa"/>
        </w:tblCellMar>
        <w:tblLook w:val="04A0" w:firstRow="1" w:lastRow="0" w:firstColumn="1" w:lastColumn="0" w:noHBand="0" w:noVBand="1"/>
      </w:tblPr>
      <w:tblGrid>
        <w:gridCol w:w="9726"/>
      </w:tblGrid>
      <w:tr w:rsidR="00B874B0" w14:paraId="29517B32" w14:textId="77777777">
        <w:tblPrEx>
          <w:tblCellMar>
            <w:top w:w="0" w:type="dxa"/>
            <w:bottom w:w="0" w:type="dxa"/>
          </w:tblCellMar>
        </w:tblPrEx>
        <w:tc>
          <w:tcPr>
            <w:tcW w:w="5000" w:type="pct"/>
            <w:shd w:val="clear" w:color="auto" w:fill="F6F1E8"/>
            <w:tcMar>
              <w:top w:w="160" w:type="dxa"/>
              <w:left w:w="200" w:type="dxa"/>
              <w:bottom w:w="160" w:type="dxa"/>
              <w:right w:w="200" w:type="dxa"/>
            </w:tcMar>
          </w:tcPr>
          <w:p w14:paraId="344D9601" w14:textId="77777777" w:rsidR="00B874B0" w:rsidRDefault="00000000">
            <w:pPr>
              <w:pStyle w:val="Ttulo3"/>
              <w:spacing w:after="80"/>
            </w:pPr>
            <w:bookmarkStart w:id="55" w:name="_Toc236570109"/>
            <w:r>
              <w:t>Preso não fica automaticamente desobrigado de prestar alimentos</w:t>
            </w:r>
            <w:bookmarkEnd w:id="55"/>
          </w:p>
          <w:p w14:paraId="1F80725E" w14:textId="77777777" w:rsidR="00B874B0" w:rsidRDefault="00000000">
            <w:pPr>
              <w:spacing w:after="40"/>
            </w:pPr>
            <w:r>
              <w:rPr>
                <w:b/>
                <w:bCs/>
                <w:color w:val="555555"/>
                <w:sz w:val="19"/>
                <w:szCs w:val="19"/>
              </w:rPr>
              <w:t>Tribunal: STJ   |   Órgão: 3ª Turma</w:t>
            </w:r>
          </w:p>
          <w:p w14:paraId="1DB03700" w14:textId="77777777" w:rsidR="00B874B0" w:rsidRDefault="00000000">
            <w:pPr>
              <w:spacing w:after="40"/>
            </w:pPr>
            <w:r>
              <w:rPr>
                <w:color w:val="555555"/>
                <w:sz w:val="19"/>
                <w:szCs w:val="19"/>
              </w:rPr>
              <w:t>Processo: REsp 1.882.798-DF   |   Relator: Min. Ricardo Villas Bôas Cueva   |   Data: 10/08/2021</w:t>
            </w:r>
          </w:p>
          <w:p w14:paraId="0C3AACFB" w14:textId="77777777" w:rsidR="00B874B0" w:rsidRDefault="00000000">
            <w:pPr>
              <w:spacing w:after="100"/>
            </w:pPr>
            <w:r>
              <w:rPr>
                <w:i/>
                <w:iCs/>
                <w:color w:val="555555"/>
                <w:sz w:val="19"/>
                <w:szCs w:val="19"/>
              </w:rPr>
              <w:t>Sistemática: Caso isolado</w:t>
            </w:r>
          </w:p>
          <w:p w14:paraId="420AD294" w14:textId="77777777" w:rsidR="00B874B0" w:rsidRDefault="00000000">
            <w:pPr>
              <w:spacing w:after="100"/>
            </w:pPr>
            <w:r>
              <w:rPr>
                <w:b/>
                <w:bCs/>
              </w:rPr>
              <w:t xml:space="preserve">TESE FIXADA / DECISÃO: </w:t>
            </w:r>
            <w:r>
              <w:t>O fato de o devedor de alimentos estar recolhido à prisão pela prática de crime não afasta, por si só, sua obrigação alimentar, tendo em vista a possibilidade de desempenho de atividade remunerada dentro ou fora do estabelecimento prisional, a depender do regime.</w:t>
            </w:r>
          </w:p>
          <w:p w14:paraId="343D56DA" w14:textId="77777777" w:rsidR="00B874B0" w:rsidRDefault="00000000">
            <w:pPr>
              <w:spacing w:after="100"/>
            </w:pPr>
            <w:r>
              <w:rPr>
                <w:b/>
                <w:bCs/>
              </w:rPr>
              <w:t xml:space="preserve">RESUMO DO CASO: </w:t>
            </w:r>
            <w:r>
              <w:t>Julgado que reforça que a impossibilidade de prestar alimentos deve ser comprovada concretamente (binômio necessidade-possibilidade), não bastando a mera alegação de encarceramento.</w:t>
            </w:r>
          </w:p>
          <w:p w14:paraId="3039AFEE" w14:textId="77777777" w:rsidR="00B874B0" w:rsidRDefault="00000000">
            <w:pPr>
              <w:spacing w:after="40"/>
            </w:pPr>
            <w:r>
              <w:rPr>
                <w:b/>
                <w:bCs/>
              </w:rPr>
              <w:t>COMO PODE SER COBRADO EM PROVA:</w:t>
            </w:r>
          </w:p>
          <w:p w14:paraId="301F02EC" w14:textId="77777777" w:rsidR="00B874B0" w:rsidRDefault="00000000">
            <w:pPr>
              <w:pStyle w:val="PargrafodaLista"/>
              <w:numPr>
                <w:ilvl w:val="0"/>
                <w:numId w:val="2"/>
              </w:numPr>
              <w:spacing w:after="40"/>
            </w:pPr>
            <w:r>
              <w:rPr>
                <w:b/>
                <w:bCs/>
                <w:i/>
                <w:iCs/>
              </w:rPr>
              <w:t xml:space="preserve">Objetiva: </w:t>
            </w:r>
            <w:r>
              <w:t>"estar preso automaticamente exonera dos alimentos" — alternativa FALSA clássica.</w:t>
            </w:r>
          </w:p>
          <w:p w14:paraId="30BFD9D3" w14:textId="77777777" w:rsidR="00B874B0" w:rsidRDefault="00000000">
            <w:pPr>
              <w:pStyle w:val="PargrafodaLista"/>
              <w:numPr>
                <w:ilvl w:val="0"/>
                <w:numId w:val="2"/>
              </w:numPr>
              <w:spacing w:after="40"/>
            </w:pPr>
            <w:r>
              <w:rPr>
                <w:b/>
                <w:bCs/>
                <w:i/>
                <w:iCs/>
              </w:rPr>
              <w:t xml:space="preserve">Discursiva/Sentença: </w:t>
            </w:r>
            <w:r>
              <w:t>pedido de exoneração/redução fundado apenas no encarceramento — exige análise da prova da real impossibilidade financeira.</w:t>
            </w:r>
          </w:p>
          <w:p w14:paraId="4B142F12" w14:textId="77777777" w:rsidR="00B874B0" w:rsidRDefault="00000000">
            <w:pPr>
              <w:pStyle w:val="PargrafodaLista"/>
              <w:numPr>
                <w:ilvl w:val="0"/>
                <w:numId w:val="2"/>
              </w:numPr>
              <w:spacing w:after="100"/>
            </w:pPr>
            <w:r>
              <w:rPr>
                <w:b/>
                <w:bCs/>
                <w:i/>
                <w:iCs/>
              </w:rPr>
              <w:t xml:space="preserve">Oral: </w:t>
            </w:r>
            <w:r>
              <w:t>"A prisão do alimentante extingue a obrigação alimentar?"</w:t>
            </w:r>
          </w:p>
          <w:p w14:paraId="605EA0F3" w14:textId="77777777" w:rsidR="00B874B0" w:rsidRDefault="00000000">
            <w:r>
              <w:rPr>
                <w:b/>
                <w:bCs/>
                <w:color w:val="A9762F"/>
              </w:rPr>
              <w:t xml:space="preserve">CONEXÕES: </w:t>
            </w:r>
            <w:r>
              <w:rPr>
                <w:i/>
                <w:iCs/>
              </w:rPr>
              <w:t>art. 1.699 CC (binômio necessidade-possibilidade); art. 1.694 CC.</w:t>
            </w:r>
          </w:p>
        </w:tc>
      </w:tr>
    </w:tbl>
    <w:p w14:paraId="35EFFCBD" w14:textId="77777777" w:rsidR="00B874B0" w:rsidRDefault="00B874B0">
      <w:pPr>
        <w:spacing w:after="160"/>
      </w:pPr>
    </w:p>
    <w:p w14:paraId="52BFB4C0" w14:textId="77777777" w:rsidR="00B874B0" w:rsidRDefault="00000000">
      <w:pPr>
        <w:pStyle w:val="Ttulo2"/>
        <w:spacing w:after="160"/>
      </w:pPr>
      <w:bookmarkStart w:id="56" w:name="_Toc236570110"/>
      <w:r>
        <w:t>GRUPO 2 — Fixação, quantum e prova da capacidade/necessidade</w:t>
      </w:r>
      <w:bookmarkEnd w:id="56"/>
    </w:p>
    <w:tbl>
      <w:tblPr>
        <w:tblW w:w="5000" w:type="pct"/>
        <w:tblBorders>
          <w:top w:val="single" w:sz="8" w:space="0" w:color="C9B78C"/>
          <w:left w:val="single" w:sz="8" w:space="0" w:color="C9B78C"/>
          <w:bottom w:val="single" w:sz="8" w:space="0" w:color="C9B78C"/>
          <w:right w:val="single" w:sz="8" w:space="0" w:color="C9B78C"/>
        </w:tblBorders>
        <w:tblCellMar>
          <w:left w:w="10" w:type="dxa"/>
          <w:right w:w="10" w:type="dxa"/>
        </w:tblCellMar>
        <w:tblLook w:val="04A0" w:firstRow="1" w:lastRow="0" w:firstColumn="1" w:lastColumn="0" w:noHBand="0" w:noVBand="1"/>
      </w:tblPr>
      <w:tblGrid>
        <w:gridCol w:w="9726"/>
      </w:tblGrid>
      <w:tr w:rsidR="00B874B0" w14:paraId="715A2481" w14:textId="77777777">
        <w:tblPrEx>
          <w:tblCellMar>
            <w:top w:w="0" w:type="dxa"/>
            <w:bottom w:w="0" w:type="dxa"/>
          </w:tblCellMar>
        </w:tblPrEx>
        <w:tc>
          <w:tcPr>
            <w:tcW w:w="5000" w:type="pct"/>
            <w:shd w:val="clear" w:color="auto" w:fill="F6F1E8"/>
            <w:tcMar>
              <w:top w:w="160" w:type="dxa"/>
              <w:left w:w="200" w:type="dxa"/>
              <w:bottom w:w="160" w:type="dxa"/>
              <w:right w:w="200" w:type="dxa"/>
            </w:tcMar>
          </w:tcPr>
          <w:p w14:paraId="1F861EA4" w14:textId="77777777" w:rsidR="00B874B0" w:rsidRDefault="00000000">
            <w:pPr>
              <w:pStyle w:val="Ttulo3"/>
              <w:spacing w:after="80"/>
            </w:pPr>
            <w:bookmarkStart w:id="57" w:name="_Toc236570111"/>
            <w:r>
              <w:lastRenderedPageBreak/>
              <w:t>Cabível a quebra de sigilo fiscal e bancário do alimentante quando não houver outro meio idôneo de apurar sua real capacidade econômica</w:t>
            </w:r>
            <w:bookmarkEnd w:id="57"/>
          </w:p>
          <w:p w14:paraId="77523AD6" w14:textId="77777777" w:rsidR="00B874B0" w:rsidRDefault="00000000">
            <w:pPr>
              <w:spacing w:after="40"/>
            </w:pPr>
            <w:r>
              <w:rPr>
                <w:b/>
                <w:bCs/>
                <w:color w:val="555555"/>
                <w:sz w:val="19"/>
                <w:szCs w:val="19"/>
              </w:rPr>
              <w:t>Tribunal: STJ   |   Órgão: 3ª Turma</w:t>
            </w:r>
          </w:p>
          <w:p w14:paraId="28A82BF7" w14:textId="77777777" w:rsidR="00B874B0" w:rsidRDefault="00000000">
            <w:pPr>
              <w:spacing w:after="40"/>
            </w:pPr>
            <w:r>
              <w:rPr>
                <w:color w:val="555555"/>
                <w:sz w:val="19"/>
                <w:szCs w:val="19"/>
              </w:rPr>
              <w:t>Processo: REsp 2.126.879-SP   |   Relator: Min. Moura Ribeiro   |   Data: 18/03/2025</w:t>
            </w:r>
          </w:p>
          <w:p w14:paraId="56AB5EE6" w14:textId="77777777" w:rsidR="00B874B0" w:rsidRDefault="00000000">
            <w:pPr>
              <w:spacing w:after="100"/>
            </w:pPr>
            <w:r>
              <w:rPr>
                <w:i/>
                <w:iCs/>
                <w:color w:val="555555"/>
                <w:sz w:val="19"/>
                <w:szCs w:val="19"/>
              </w:rPr>
              <w:t>Sistemática: Caso isolado (Info Extraordinária 26/2025)</w:t>
            </w:r>
          </w:p>
          <w:p w14:paraId="076471ED" w14:textId="77777777" w:rsidR="00B874B0" w:rsidRDefault="00000000">
            <w:pPr>
              <w:spacing w:after="100"/>
            </w:pPr>
            <w:r>
              <w:rPr>
                <w:b/>
                <w:bCs/>
              </w:rPr>
              <w:t xml:space="preserve">TESE FIXADA / DECISÃO: </w:t>
            </w:r>
            <w:r>
              <w:t>A quebra de sigilo fiscal/bancário, embora medida excepcional, é admissível em ação de alimentos quando houver controvérsia fundada sobre a real capacidade econômica do alimentante e inexistir outro meio eficaz de apuração, prevalecendo o direito à alimentação sobre o sigilo.</w:t>
            </w:r>
          </w:p>
          <w:p w14:paraId="337358CE" w14:textId="77777777" w:rsidR="00B874B0" w:rsidRDefault="00000000">
            <w:pPr>
              <w:spacing w:after="100"/>
            </w:pPr>
            <w:r>
              <w:rPr>
                <w:b/>
                <w:bCs/>
              </w:rPr>
              <w:t xml:space="preserve">RESUMO DO CASO: </w:t>
            </w:r>
            <w:r>
              <w:t>Julgado que reafirma a prevalência do direito fundamental a alimentos sobre o sigilo fiscal/bancário quando há indícios de ocultação patrimonial ou incompatibilidade entre remuneração formal e sinais exteriores de riqueza.</w:t>
            </w:r>
          </w:p>
          <w:p w14:paraId="6B22AA27" w14:textId="77777777" w:rsidR="00B874B0" w:rsidRDefault="00000000">
            <w:pPr>
              <w:spacing w:after="40"/>
            </w:pPr>
            <w:r>
              <w:rPr>
                <w:b/>
                <w:bCs/>
              </w:rPr>
              <w:t>COMO PODE SER COBRADO EM PROVA:</w:t>
            </w:r>
          </w:p>
          <w:p w14:paraId="2BE699C6" w14:textId="77777777" w:rsidR="00B874B0" w:rsidRDefault="00000000">
            <w:pPr>
              <w:pStyle w:val="PargrafodaLista"/>
              <w:numPr>
                <w:ilvl w:val="0"/>
                <w:numId w:val="2"/>
              </w:numPr>
              <w:spacing w:after="40"/>
            </w:pPr>
            <w:r>
              <w:rPr>
                <w:b/>
                <w:bCs/>
                <w:i/>
                <w:iCs/>
              </w:rPr>
              <w:t xml:space="preserve">Objetiva: </w:t>
            </w:r>
            <w:r>
              <w:t>requisitos para a quebra excepcional de sigilo em ação de alimentos (subsidiariedade + controvérsia fundada).</w:t>
            </w:r>
          </w:p>
          <w:p w14:paraId="48A6014B" w14:textId="77777777" w:rsidR="00B874B0" w:rsidRDefault="00000000">
            <w:pPr>
              <w:pStyle w:val="PargrafodaLista"/>
              <w:numPr>
                <w:ilvl w:val="0"/>
                <w:numId w:val="2"/>
              </w:numPr>
              <w:spacing w:after="40"/>
            </w:pPr>
            <w:r>
              <w:rPr>
                <w:b/>
                <w:bCs/>
                <w:i/>
                <w:iCs/>
              </w:rPr>
              <w:t xml:space="preserve">Discursiva/Sentença: </w:t>
            </w:r>
            <w:r>
              <w:t>caso de alimentante que oculta patrimônio/renda — decisão fundamentando o deferimento da quebra de sigilo.</w:t>
            </w:r>
          </w:p>
          <w:p w14:paraId="238C7536" w14:textId="77777777" w:rsidR="00B874B0" w:rsidRDefault="00000000">
            <w:pPr>
              <w:pStyle w:val="PargrafodaLista"/>
              <w:numPr>
                <w:ilvl w:val="0"/>
                <w:numId w:val="2"/>
              </w:numPr>
              <w:spacing w:after="100"/>
            </w:pPr>
            <w:r>
              <w:rPr>
                <w:b/>
                <w:bCs/>
                <w:i/>
                <w:iCs/>
              </w:rPr>
              <w:t xml:space="preserve">Oral: </w:t>
            </w:r>
            <w:r>
              <w:t>"É possível quebrar o sigilo bancário do réu em ação de alimentos? Em que condições?"</w:t>
            </w:r>
          </w:p>
          <w:p w14:paraId="5E795FB9" w14:textId="77777777" w:rsidR="00B874B0" w:rsidRDefault="00000000">
            <w:r>
              <w:rPr>
                <w:b/>
                <w:bCs/>
                <w:color w:val="A9762F"/>
              </w:rPr>
              <w:t xml:space="preserve">CONEXÕES: </w:t>
            </w:r>
            <w:r>
              <w:rPr>
                <w:i/>
                <w:iCs/>
              </w:rPr>
              <w:t>binômio necessidade-possibilidade (art. 1.694, §1º, CC); princípio da dignidade da pessoa humana; art. 1º, X, CF (proporcionalidade entre direitos fundamentais).</w:t>
            </w:r>
          </w:p>
        </w:tc>
      </w:tr>
    </w:tbl>
    <w:p w14:paraId="2A376313" w14:textId="77777777" w:rsidR="00B874B0" w:rsidRDefault="00B874B0">
      <w:pPr>
        <w:spacing w:after="160"/>
      </w:pPr>
    </w:p>
    <w:tbl>
      <w:tblPr>
        <w:tblW w:w="5000" w:type="pct"/>
        <w:tblBorders>
          <w:top w:val="single" w:sz="8" w:space="0" w:color="C9B78C"/>
          <w:left w:val="single" w:sz="8" w:space="0" w:color="C9B78C"/>
          <w:bottom w:val="single" w:sz="8" w:space="0" w:color="C9B78C"/>
          <w:right w:val="single" w:sz="8" w:space="0" w:color="C9B78C"/>
        </w:tblBorders>
        <w:tblCellMar>
          <w:left w:w="10" w:type="dxa"/>
          <w:right w:w="10" w:type="dxa"/>
        </w:tblCellMar>
        <w:tblLook w:val="04A0" w:firstRow="1" w:lastRow="0" w:firstColumn="1" w:lastColumn="0" w:noHBand="0" w:noVBand="1"/>
      </w:tblPr>
      <w:tblGrid>
        <w:gridCol w:w="9726"/>
      </w:tblGrid>
      <w:tr w:rsidR="00B874B0" w14:paraId="7E6F4B23" w14:textId="77777777">
        <w:tblPrEx>
          <w:tblCellMar>
            <w:top w:w="0" w:type="dxa"/>
            <w:bottom w:w="0" w:type="dxa"/>
          </w:tblCellMar>
        </w:tblPrEx>
        <w:tc>
          <w:tcPr>
            <w:tcW w:w="5000" w:type="pct"/>
            <w:shd w:val="clear" w:color="auto" w:fill="F6F1E8"/>
            <w:tcMar>
              <w:top w:w="160" w:type="dxa"/>
              <w:left w:w="200" w:type="dxa"/>
              <w:bottom w:w="160" w:type="dxa"/>
              <w:right w:w="200" w:type="dxa"/>
            </w:tcMar>
          </w:tcPr>
          <w:p w14:paraId="29E08D45" w14:textId="77777777" w:rsidR="00B874B0" w:rsidRDefault="00000000">
            <w:pPr>
              <w:pStyle w:val="Ttulo3"/>
              <w:spacing w:after="80"/>
            </w:pPr>
            <w:bookmarkStart w:id="58" w:name="_Toc236570112"/>
            <w:r>
              <w:t>É possível fixar alimentos em patamar inferior ao pedido na inicial mesmo com revelia do réu</w:t>
            </w:r>
            <w:bookmarkEnd w:id="58"/>
          </w:p>
          <w:p w14:paraId="269860D7" w14:textId="77777777" w:rsidR="00B874B0" w:rsidRDefault="00000000">
            <w:pPr>
              <w:spacing w:after="40"/>
            </w:pPr>
            <w:r>
              <w:rPr>
                <w:b/>
                <w:bCs/>
                <w:color w:val="555555"/>
                <w:sz w:val="19"/>
                <w:szCs w:val="19"/>
              </w:rPr>
              <w:t>Tribunal: STJ   |   Órgão: 3ª Turma</w:t>
            </w:r>
          </w:p>
          <w:p w14:paraId="3EC7EA9A" w14:textId="77777777" w:rsidR="00B874B0" w:rsidRDefault="00000000">
            <w:pPr>
              <w:spacing w:after="40"/>
            </w:pPr>
            <w:r>
              <w:rPr>
                <w:color w:val="555555"/>
                <w:sz w:val="19"/>
                <w:szCs w:val="19"/>
              </w:rPr>
              <w:t>Processo: REsp 1.971.966/SP   |   Relator: Min. Marco Aurélio Bellizze   |   Data: 05/03/2024</w:t>
            </w:r>
          </w:p>
          <w:p w14:paraId="167FEF43" w14:textId="77777777" w:rsidR="00B874B0" w:rsidRDefault="00000000">
            <w:pPr>
              <w:spacing w:after="100"/>
            </w:pPr>
            <w:r>
              <w:rPr>
                <w:i/>
                <w:iCs/>
                <w:color w:val="555555"/>
                <w:sz w:val="19"/>
                <w:szCs w:val="19"/>
              </w:rPr>
              <w:t>Sistemática: Caso isolado (Info Extraordinária 20/2024)</w:t>
            </w:r>
          </w:p>
          <w:p w14:paraId="450AA499" w14:textId="77777777" w:rsidR="00B874B0" w:rsidRDefault="00000000">
            <w:pPr>
              <w:spacing w:after="100"/>
            </w:pPr>
            <w:r>
              <w:rPr>
                <w:b/>
                <w:bCs/>
              </w:rPr>
              <w:t xml:space="preserve">TESE FIXADA / DECISÃO: </w:t>
            </w:r>
            <w:r>
              <w:t>Os efeitos da revelia (presunção de veracidade) são relativos; na ação de alimentos, o magistrado pode arbitrar a verba de acordo com os elementos dos autos e fora dos parâmetros do pedido, observando o binômio necessidade/capacidade — mitigação dos princípios da adstrição/congruência.</w:t>
            </w:r>
          </w:p>
          <w:p w14:paraId="44595175" w14:textId="77777777" w:rsidR="00B874B0" w:rsidRDefault="00000000">
            <w:pPr>
              <w:spacing w:after="100"/>
            </w:pPr>
            <w:r>
              <w:rPr>
                <w:b/>
                <w:bCs/>
              </w:rPr>
              <w:t xml:space="preserve">RESUMO DO CASO: </w:t>
            </w:r>
            <w:r>
              <w:t>Julgado que reforça a natureza especial da ação de alimentos, na qual o juiz não fica estritamente vinculado ao pedido inicial, podendo fixar valor diverso (inclusive inferior) mesmo diante de revelia.</w:t>
            </w:r>
          </w:p>
          <w:p w14:paraId="3196C11C" w14:textId="77777777" w:rsidR="00B874B0" w:rsidRDefault="00000000">
            <w:pPr>
              <w:spacing w:after="40"/>
            </w:pPr>
            <w:r>
              <w:rPr>
                <w:b/>
                <w:bCs/>
              </w:rPr>
              <w:t>COMO PODE SER COBRADO EM PROVA:</w:t>
            </w:r>
          </w:p>
          <w:p w14:paraId="7F7B0D35" w14:textId="77777777" w:rsidR="00B874B0" w:rsidRDefault="00000000">
            <w:pPr>
              <w:pStyle w:val="PargrafodaLista"/>
              <w:numPr>
                <w:ilvl w:val="0"/>
                <w:numId w:val="2"/>
              </w:numPr>
              <w:spacing w:after="40"/>
            </w:pPr>
            <w:r>
              <w:rPr>
                <w:b/>
                <w:bCs/>
                <w:i/>
                <w:iCs/>
              </w:rPr>
              <w:t xml:space="preserve">Objetiva: </w:t>
            </w:r>
            <w:r>
              <w:t>"revelia em ação de alimentos vincula o juiz ao valor pedido" — alternativa FALSA.</w:t>
            </w:r>
          </w:p>
          <w:p w14:paraId="2EB6B9BE" w14:textId="77777777" w:rsidR="00B874B0" w:rsidRDefault="00000000">
            <w:pPr>
              <w:pStyle w:val="PargrafodaLista"/>
              <w:numPr>
                <w:ilvl w:val="0"/>
                <w:numId w:val="2"/>
              </w:numPr>
              <w:spacing w:after="40"/>
            </w:pPr>
            <w:r>
              <w:rPr>
                <w:b/>
                <w:bCs/>
                <w:i/>
                <w:iCs/>
              </w:rPr>
              <w:t xml:space="preserve">Discursiva/Sentença: </w:t>
            </w:r>
            <w:r>
              <w:t>sentença de fixação de alimentos com revelia do réu, mas provas dos autos indicando quantum inferior ao pedido — fundamentar a mitigação da adstrição.</w:t>
            </w:r>
          </w:p>
          <w:p w14:paraId="330081DF" w14:textId="77777777" w:rsidR="00B874B0" w:rsidRDefault="00000000">
            <w:pPr>
              <w:pStyle w:val="PargrafodaLista"/>
              <w:numPr>
                <w:ilvl w:val="0"/>
                <w:numId w:val="2"/>
              </w:numPr>
              <w:spacing w:after="100"/>
            </w:pPr>
            <w:r>
              <w:rPr>
                <w:b/>
                <w:bCs/>
                <w:i/>
                <w:iCs/>
              </w:rPr>
              <w:t xml:space="preserve">Oral: </w:t>
            </w:r>
            <w:r>
              <w:t>"A revelia obriga o juiz a fixar exatamente o valor de alimentos pedido na inicial?"</w:t>
            </w:r>
          </w:p>
          <w:p w14:paraId="3583054E" w14:textId="77777777" w:rsidR="00B874B0" w:rsidRDefault="00000000">
            <w:r>
              <w:rPr>
                <w:b/>
                <w:bCs/>
                <w:color w:val="A9762F"/>
              </w:rPr>
              <w:t xml:space="preserve">CONEXÕES: </w:t>
            </w:r>
            <w:r>
              <w:rPr>
                <w:i/>
                <w:iCs/>
              </w:rPr>
              <w:t>art. 344 e 345 CPC (revelia); princípios da adstrição/congruência; binômio necessidade-possibilidade.</w:t>
            </w:r>
          </w:p>
        </w:tc>
      </w:tr>
    </w:tbl>
    <w:p w14:paraId="0EA27AB3" w14:textId="77777777" w:rsidR="00B874B0" w:rsidRDefault="00B874B0">
      <w:pPr>
        <w:spacing w:after="160"/>
      </w:pPr>
    </w:p>
    <w:p w14:paraId="0A49D79C" w14:textId="77777777" w:rsidR="00B874B0" w:rsidRDefault="00000000">
      <w:pPr>
        <w:pStyle w:val="Ttulo2"/>
        <w:spacing w:after="160"/>
      </w:pPr>
      <w:bookmarkStart w:id="59" w:name="_Toc236570113"/>
      <w:r>
        <w:t>GRUPO 3 — Maioridade, revisão e exoneração de alimentos</w:t>
      </w:r>
      <w:bookmarkEnd w:id="59"/>
    </w:p>
    <w:tbl>
      <w:tblPr>
        <w:tblW w:w="5000" w:type="pct"/>
        <w:tblBorders>
          <w:top w:val="single" w:sz="8" w:space="0" w:color="C9B78C"/>
          <w:left w:val="single" w:sz="8" w:space="0" w:color="C9B78C"/>
          <w:bottom w:val="single" w:sz="8" w:space="0" w:color="C9B78C"/>
          <w:right w:val="single" w:sz="8" w:space="0" w:color="C9B78C"/>
        </w:tblBorders>
        <w:tblCellMar>
          <w:left w:w="10" w:type="dxa"/>
          <w:right w:w="10" w:type="dxa"/>
        </w:tblCellMar>
        <w:tblLook w:val="04A0" w:firstRow="1" w:lastRow="0" w:firstColumn="1" w:lastColumn="0" w:noHBand="0" w:noVBand="1"/>
      </w:tblPr>
      <w:tblGrid>
        <w:gridCol w:w="9726"/>
      </w:tblGrid>
      <w:tr w:rsidR="00B874B0" w14:paraId="4395D0DA" w14:textId="77777777">
        <w:tblPrEx>
          <w:tblCellMar>
            <w:top w:w="0" w:type="dxa"/>
            <w:bottom w:w="0" w:type="dxa"/>
          </w:tblCellMar>
        </w:tblPrEx>
        <w:tc>
          <w:tcPr>
            <w:tcW w:w="5000" w:type="pct"/>
            <w:shd w:val="clear" w:color="auto" w:fill="F6F1E8"/>
            <w:tcMar>
              <w:top w:w="160" w:type="dxa"/>
              <w:left w:w="200" w:type="dxa"/>
              <w:bottom w:w="160" w:type="dxa"/>
              <w:right w:w="200" w:type="dxa"/>
            </w:tcMar>
          </w:tcPr>
          <w:p w14:paraId="4DE12016" w14:textId="77777777" w:rsidR="00B874B0" w:rsidRDefault="00000000">
            <w:pPr>
              <w:pStyle w:val="Ttulo3"/>
              <w:spacing w:after="80"/>
            </w:pPr>
            <w:bookmarkStart w:id="60" w:name="_Toc236570114"/>
            <w:r>
              <w:t>Maioridade civil e capacidade em tese de autossustento não desconstituem, por si só, a obrigação alimentar</w:t>
            </w:r>
            <w:bookmarkEnd w:id="60"/>
          </w:p>
          <w:p w14:paraId="5098D078" w14:textId="77777777" w:rsidR="00B874B0" w:rsidRDefault="00000000">
            <w:pPr>
              <w:spacing w:after="40"/>
            </w:pPr>
            <w:r>
              <w:rPr>
                <w:b/>
                <w:bCs/>
                <w:color w:val="555555"/>
                <w:sz w:val="19"/>
                <w:szCs w:val="19"/>
              </w:rPr>
              <w:t>Tribunal: STJ   |   Órgão: 4ª Turma</w:t>
            </w:r>
          </w:p>
          <w:p w14:paraId="11827BB1" w14:textId="77777777" w:rsidR="00B874B0" w:rsidRDefault="00000000">
            <w:pPr>
              <w:spacing w:after="40"/>
            </w:pPr>
            <w:r>
              <w:rPr>
                <w:color w:val="555555"/>
                <w:sz w:val="19"/>
                <w:szCs w:val="19"/>
              </w:rPr>
              <w:t>Processo: HC 908.346-PR   |   Relator: Min. Raul Araújo, Rel. p/ acórdão Min. Antonio Carlos Ferreira   |   Data: 13/08/2024</w:t>
            </w:r>
          </w:p>
          <w:p w14:paraId="55CFDE96" w14:textId="77777777" w:rsidR="00B874B0" w:rsidRDefault="00000000">
            <w:pPr>
              <w:spacing w:after="100"/>
            </w:pPr>
            <w:r>
              <w:rPr>
                <w:i/>
                <w:iCs/>
                <w:color w:val="555555"/>
                <w:sz w:val="19"/>
                <w:szCs w:val="19"/>
              </w:rPr>
              <w:lastRenderedPageBreak/>
              <w:t>Sistemática: Caso isolado — aplica Súmula 358-STJ</w:t>
            </w:r>
          </w:p>
          <w:p w14:paraId="229AFD8E" w14:textId="77777777" w:rsidR="00B874B0" w:rsidRDefault="00000000">
            <w:pPr>
              <w:spacing w:after="100"/>
            </w:pPr>
            <w:r>
              <w:rPr>
                <w:b/>
                <w:bCs/>
              </w:rPr>
              <w:t xml:space="preserve">TESE FIXADA / DECISÃO: </w:t>
            </w:r>
            <w:r>
              <w:t>A maioridade civil e a capacidade, em tese, de o alimentando promover o próprio sustento não são capazes, por si sós, de desconstituir a obrigação alimentar, exigindo-se prova pré-constituída da desnecessidade da prestação (Súmula 358-STJ: cancelamento de pensão de filho maior depende de decisão judicial em contraditório).</w:t>
            </w:r>
          </w:p>
          <w:p w14:paraId="2EFDFAFE" w14:textId="77777777" w:rsidR="00B874B0" w:rsidRDefault="00000000">
            <w:pPr>
              <w:spacing w:after="100"/>
            </w:pPr>
            <w:r>
              <w:rPr>
                <w:b/>
                <w:bCs/>
              </w:rPr>
              <w:t xml:space="preserve">RESUMO DO CASO: </w:t>
            </w:r>
            <w:r>
              <w:t>Larissa, filha de João, atingiu a maioridade e cursa faculdade com estágio remunerado. João parou de pagar alimentos e foi executado; alegou em HC que a maioridade e o estágio remunerado extinguiriam a obrigação. O STJ negou o HC, exigindo prova pré-constituída da desnecessidade, em respeito ao contraditório.</w:t>
            </w:r>
          </w:p>
          <w:p w14:paraId="6092A3E9" w14:textId="77777777" w:rsidR="00B874B0" w:rsidRDefault="00000000">
            <w:pPr>
              <w:spacing w:after="40"/>
            </w:pPr>
            <w:r>
              <w:rPr>
                <w:b/>
                <w:bCs/>
              </w:rPr>
              <w:t>COMO PODE SER COBRADO EM PROVA:</w:t>
            </w:r>
          </w:p>
          <w:p w14:paraId="74A6FFFA" w14:textId="77777777" w:rsidR="00B874B0" w:rsidRDefault="00000000">
            <w:pPr>
              <w:pStyle w:val="PargrafodaLista"/>
              <w:numPr>
                <w:ilvl w:val="0"/>
                <w:numId w:val="2"/>
              </w:numPr>
              <w:spacing w:after="40"/>
            </w:pPr>
            <w:r>
              <w:rPr>
                <w:b/>
                <w:bCs/>
                <w:i/>
                <w:iCs/>
              </w:rPr>
              <w:t xml:space="preserve">Objetiva: </w:t>
            </w:r>
            <w:r>
              <w:t>aplicação direta da Súmula 358-STJ — tema clássico e recorrente em provas FGV.</w:t>
            </w:r>
          </w:p>
          <w:p w14:paraId="45B70DF6" w14:textId="77777777" w:rsidR="00B874B0" w:rsidRDefault="00000000">
            <w:pPr>
              <w:pStyle w:val="PargrafodaLista"/>
              <w:numPr>
                <w:ilvl w:val="0"/>
                <w:numId w:val="2"/>
              </w:numPr>
              <w:spacing w:after="40"/>
            </w:pPr>
            <w:r>
              <w:rPr>
                <w:b/>
                <w:bCs/>
                <w:i/>
                <w:iCs/>
              </w:rPr>
              <w:t xml:space="preserve">Discursiva/Sentença: </w:t>
            </w:r>
            <w:r>
              <w:t>caso de filho maior universitário com renda de estágio — pedir se cessa automaticamente a obrigação alimentar (resposta: não, exige decisão judicial em contraditório).</w:t>
            </w:r>
          </w:p>
          <w:p w14:paraId="1A9F5ED3" w14:textId="77777777" w:rsidR="00B874B0" w:rsidRDefault="00000000">
            <w:pPr>
              <w:pStyle w:val="PargrafodaLista"/>
              <w:numPr>
                <w:ilvl w:val="0"/>
                <w:numId w:val="2"/>
              </w:numPr>
              <w:spacing w:after="100"/>
            </w:pPr>
            <w:r>
              <w:rPr>
                <w:b/>
                <w:bCs/>
                <w:i/>
                <w:iCs/>
              </w:rPr>
              <w:t xml:space="preserve">Oral: </w:t>
            </w:r>
            <w:r>
              <w:t>"O que diz a Súmula 358 do STJ? A maioridade extingue automaticamente os alimentos?"</w:t>
            </w:r>
          </w:p>
          <w:p w14:paraId="6F0590ED" w14:textId="77777777" w:rsidR="00B874B0" w:rsidRDefault="00000000">
            <w:r>
              <w:rPr>
                <w:b/>
                <w:bCs/>
                <w:color w:val="A9762F"/>
              </w:rPr>
              <w:t xml:space="preserve">CONEXÕES: </w:t>
            </w:r>
            <w:r>
              <w:rPr>
                <w:i/>
                <w:iCs/>
              </w:rPr>
              <w:t>Súmula 358-STJ; HC 875.013/RN (Info 802, 2024) — hipótese em que a prisão civil foi excepcionalmente afastada por ausência de urgência em caso de credora maior e já capacitada profissionalmente (ver ficha seguinte). TEMA JÁ COBRADO PELA FGV.</w:t>
            </w:r>
          </w:p>
        </w:tc>
      </w:tr>
    </w:tbl>
    <w:p w14:paraId="657A25AB" w14:textId="77777777" w:rsidR="00B874B0" w:rsidRDefault="00B874B0">
      <w:pPr>
        <w:spacing w:after="160"/>
      </w:pPr>
    </w:p>
    <w:tbl>
      <w:tblPr>
        <w:tblW w:w="5000" w:type="pct"/>
        <w:tblBorders>
          <w:top w:val="single" w:sz="8" w:space="0" w:color="C9B78C"/>
          <w:left w:val="single" w:sz="8" w:space="0" w:color="C9B78C"/>
          <w:bottom w:val="single" w:sz="8" w:space="0" w:color="C9B78C"/>
          <w:right w:val="single" w:sz="8" w:space="0" w:color="C9B78C"/>
        </w:tblBorders>
        <w:tblCellMar>
          <w:left w:w="10" w:type="dxa"/>
          <w:right w:w="10" w:type="dxa"/>
        </w:tblCellMar>
        <w:tblLook w:val="04A0" w:firstRow="1" w:lastRow="0" w:firstColumn="1" w:lastColumn="0" w:noHBand="0" w:noVBand="1"/>
      </w:tblPr>
      <w:tblGrid>
        <w:gridCol w:w="9726"/>
      </w:tblGrid>
      <w:tr w:rsidR="00B874B0" w14:paraId="5E30E5DC" w14:textId="77777777">
        <w:tblPrEx>
          <w:tblCellMar>
            <w:top w:w="0" w:type="dxa"/>
            <w:bottom w:w="0" w:type="dxa"/>
          </w:tblCellMar>
        </w:tblPrEx>
        <w:tc>
          <w:tcPr>
            <w:tcW w:w="5000" w:type="pct"/>
            <w:shd w:val="clear" w:color="auto" w:fill="F6F1E8"/>
            <w:tcMar>
              <w:top w:w="160" w:type="dxa"/>
              <w:left w:w="200" w:type="dxa"/>
              <w:bottom w:w="160" w:type="dxa"/>
              <w:right w:w="200" w:type="dxa"/>
            </w:tcMar>
          </w:tcPr>
          <w:p w14:paraId="1A03EF3C" w14:textId="77777777" w:rsidR="00B874B0" w:rsidRDefault="00000000">
            <w:pPr>
              <w:pStyle w:val="Ttulo3"/>
              <w:spacing w:after="80"/>
            </w:pPr>
            <w:bookmarkStart w:id="61" w:name="_Toc236570115"/>
            <w:r>
              <w:t>Prisão civil pode ser excepcionalmente afastada quando as particularidades do caso evidenciam ausência de urgência no recebimento dos alimentos executados</w:t>
            </w:r>
            <w:bookmarkEnd w:id="61"/>
          </w:p>
          <w:p w14:paraId="23FD89AB" w14:textId="77777777" w:rsidR="00B874B0" w:rsidRDefault="00000000">
            <w:pPr>
              <w:spacing w:after="40"/>
            </w:pPr>
            <w:r>
              <w:rPr>
                <w:b/>
                <w:bCs/>
                <w:color w:val="555555"/>
                <w:sz w:val="19"/>
                <w:szCs w:val="19"/>
              </w:rPr>
              <w:t>Tribunal: STJ   |   Órgão: 3ª Turma</w:t>
            </w:r>
          </w:p>
          <w:p w14:paraId="509739CA" w14:textId="77777777" w:rsidR="00B874B0" w:rsidRDefault="00000000">
            <w:pPr>
              <w:spacing w:after="40"/>
            </w:pPr>
            <w:r>
              <w:rPr>
                <w:color w:val="555555"/>
                <w:sz w:val="19"/>
                <w:szCs w:val="19"/>
              </w:rPr>
              <w:t>Processo: HC 875.013/RN   |   Relator: Min. Moura Ribeiro   |   Data: 20/02/2024</w:t>
            </w:r>
          </w:p>
          <w:p w14:paraId="5490DDF6" w14:textId="77777777" w:rsidR="00B874B0" w:rsidRDefault="00000000">
            <w:pPr>
              <w:spacing w:after="100"/>
            </w:pPr>
            <w:r>
              <w:rPr>
                <w:i/>
                <w:iCs/>
                <w:color w:val="555555"/>
                <w:sz w:val="19"/>
                <w:szCs w:val="19"/>
              </w:rPr>
              <w:t>Sistemática: Caso isolado</w:t>
            </w:r>
          </w:p>
          <w:p w14:paraId="54A00F91" w14:textId="77777777" w:rsidR="00B874B0" w:rsidRDefault="00000000">
            <w:pPr>
              <w:spacing w:after="100"/>
            </w:pPr>
            <w:r>
              <w:rPr>
                <w:b/>
                <w:bCs/>
              </w:rPr>
              <w:t xml:space="preserve">TESE FIXADA / DECISÃO: </w:t>
            </w:r>
            <w:r>
              <w:t>Ainda que a maioridade e a capacidade de autossustento não extingam automaticamente a obrigação (Súmula 358-STJ), circunstâncias concretas — como credora maior, advogada, associada a escritório — podem afastar a URGÊNCIA que justifica a medida extrema da prisão civil, tornando-a desnecessária/ineficaz.</w:t>
            </w:r>
          </w:p>
          <w:p w14:paraId="1B82086B" w14:textId="77777777" w:rsidR="00B874B0" w:rsidRDefault="00000000">
            <w:pPr>
              <w:spacing w:after="100"/>
            </w:pPr>
            <w:r>
              <w:rPr>
                <w:b/>
                <w:bCs/>
              </w:rPr>
              <w:t xml:space="preserve">RESUMO DO CASO: </w:t>
            </w:r>
            <w:r>
              <w:t>Execução de alimentos ajuizada em 2015; em 2023 novo juiz decretou prisão civil do devedor. A credora, então com 26 anos, advogada atuante, obteve o afastamento da prisão por ausência de risco iminente à sua subsistência — mantendo, porém, a dívida exigível por outros meios.</w:t>
            </w:r>
          </w:p>
          <w:p w14:paraId="6689A312" w14:textId="77777777" w:rsidR="00B874B0" w:rsidRDefault="00000000">
            <w:pPr>
              <w:spacing w:after="40"/>
            </w:pPr>
            <w:r>
              <w:rPr>
                <w:b/>
                <w:bCs/>
              </w:rPr>
              <w:t>COMO PODE SER COBRADO EM PROVA:</w:t>
            </w:r>
          </w:p>
          <w:p w14:paraId="4941DE34" w14:textId="77777777" w:rsidR="00B874B0" w:rsidRDefault="00000000">
            <w:pPr>
              <w:pStyle w:val="PargrafodaLista"/>
              <w:numPr>
                <w:ilvl w:val="0"/>
                <w:numId w:val="2"/>
              </w:numPr>
              <w:spacing w:after="40"/>
            </w:pPr>
            <w:r>
              <w:rPr>
                <w:b/>
                <w:bCs/>
                <w:i/>
                <w:iCs/>
              </w:rPr>
              <w:t xml:space="preserve">Objetiva: </w:t>
            </w:r>
            <w:r>
              <w:t>distinguir "extinção da obrigação alimentar" (não ocorre automaticamente) de "afastamento da prisão civil como meio coercitivo" (pode ocorrer por ausência de urgência) — são coisas diferentes.</w:t>
            </w:r>
          </w:p>
          <w:p w14:paraId="7EF6439C" w14:textId="77777777" w:rsidR="00B874B0" w:rsidRDefault="00000000">
            <w:pPr>
              <w:pStyle w:val="PargrafodaLista"/>
              <w:numPr>
                <w:ilvl w:val="0"/>
                <w:numId w:val="2"/>
              </w:numPr>
              <w:spacing w:after="40"/>
            </w:pPr>
            <w:r>
              <w:rPr>
                <w:b/>
                <w:bCs/>
                <w:i/>
                <w:iCs/>
              </w:rPr>
              <w:t xml:space="preserve">Discursiva/Sentença: </w:t>
            </w:r>
            <w:r>
              <w:t>pedir decisão em HC contra prisão civil de devedor cuja credora já tem capacidade de autossustento — analisar proporcionalidade da medida extrema.</w:t>
            </w:r>
          </w:p>
          <w:p w14:paraId="488CA5E4" w14:textId="77777777" w:rsidR="00B874B0" w:rsidRDefault="00000000">
            <w:pPr>
              <w:pStyle w:val="PargrafodaLista"/>
              <w:numPr>
                <w:ilvl w:val="0"/>
                <w:numId w:val="2"/>
              </w:numPr>
              <w:spacing w:after="100"/>
            </w:pPr>
            <w:r>
              <w:rPr>
                <w:b/>
                <w:bCs/>
                <w:i/>
                <w:iCs/>
              </w:rPr>
              <w:t xml:space="preserve">Oral: </w:t>
            </w:r>
            <w:r>
              <w:t>"É possível afastar a prisão civil sem extinguir a obrigação alimentar? Como se justifica?"</w:t>
            </w:r>
          </w:p>
          <w:p w14:paraId="56C4FD29" w14:textId="77777777" w:rsidR="00B874B0" w:rsidRDefault="00000000">
            <w:r>
              <w:rPr>
                <w:b/>
                <w:bCs/>
                <w:color w:val="A9762F"/>
              </w:rPr>
              <w:t xml:space="preserve">CONEXÕES: </w:t>
            </w:r>
            <w:r>
              <w:rPr>
                <w:i/>
                <w:iCs/>
              </w:rPr>
              <w:t>HC 908.346-PR (Info 822) e Súmula 358-STJ; art. 528 CPC.</w:t>
            </w:r>
          </w:p>
        </w:tc>
      </w:tr>
    </w:tbl>
    <w:p w14:paraId="14EF0C34" w14:textId="77777777" w:rsidR="00B874B0" w:rsidRDefault="00B874B0">
      <w:pPr>
        <w:spacing w:after="160"/>
      </w:pPr>
    </w:p>
    <w:p w14:paraId="31B3F438" w14:textId="77777777" w:rsidR="00B874B0" w:rsidRDefault="00000000">
      <w:pPr>
        <w:pStyle w:val="Ttulo2"/>
        <w:spacing w:after="160"/>
      </w:pPr>
      <w:bookmarkStart w:id="62" w:name="_Toc236570116"/>
      <w:r>
        <w:t>GRUPO 4 — Prisão civil (aspectos processuais e execução coercitiva)</w:t>
      </w:r>
      <w:bookmarkEnd w:id="62"/>
    </w:p>
    <w:tbl>
      <w:tblPr>
        <w:tblW w:w="5000" w:type="pct"/>
        <w:tblBorders>
          <w:top w:val="single" w:sz="8" w:space="0" w:color="C9B78C"/>
          <w:left w:val="single" w:sz="8" w:space="0" w:color="C9B78C"/>
          <w:bottom w:val="single" w:sz="8" w:space="0" w:color="C9B78C"/>
          <w:right w:val="single" w:sz="8" w:space="0" w:color="C9B78C"/>
        </w:tblBorders>
        <w:tblCellMar>
          <w:left w:w="10" w:type="dxa"/>
          <w:right w:w="10" w:type="dxa"/>
        </w:tblCellMar>
        <w:tblLook w:val="04A0" w:firstRow="1" w:lastRow="0" w:firstColumn="1" w:lastColumn="0" w:noHBand="0" w:noVBand="1"/>
      </w:tblPr>
      <w:tblGrid>
        <w:gridCol w:w="9726"/>
      </w:tblGrid>
      <w:tr w:rsidR="00B874B0" w14:paraId="4A417FB3" w14:textId="77777777">
        <w:tblPrEx>
          <w:tblCellMar>
            <w:top w:w="0" w:type="dxa"/>
            <w:bottom w:w="0" w:type="dxa"/>
          </w:tblCellMar>
        </w:tblPrEx>
        <w:tc>
          <w:tcPr>
            <w:tcW w:w="5000" w:type="pct"/>
            <w:shd w:val="clear" w:color="auto" w:fill="F6F1E8"/>
            <w:tcMar>
              <w:top w:w="160" w:type="dxa"/>
              <w:left w:w="200" w:type="dxa"/>
              <w:bottom w:w="160" w:type="dxa"/>
              <w:right w:w="200" w:type="dxa"/>
            </w:tcMar>
          </w:tcPr>
          <w:p w14:paraId="5FACCD34" w14:textId="77777777" w:rsidR="00B874B0" w:rsidRDefault="00000000">
            <w:pPr>
              <w:pStyle w:val="Ttulo3"/>
              <w:spacing w:after="80"/>
            </w:pPr>
            <w:bookmarkStart w:id="63" w:name="_Toc236570117"/>
            <w:r>
              <w:t>Intimação via WhatsApp não tem previsão legal e não pode fundamentar decreto de prisão civil do devedor de alimentos</w:t>
            </w:r>
            <w:bookmarkEnd w:id="63"/>
          </w:p>
          <w:p w14:paraId="03491AF6" w14:textId="77777777" w:rsidR="00B874B0" w:rsidRDefault="00000000">
            <w:pPr>
              <w:spacing w:after="40"/>
            </w:pPr>
            <w:r>
              <w:rPr>
                <w:b/>
                <w:bCs/>
                <w:color w:val="555555"/>
                <w:sz w:val="19"/>
                <w:szCs w:val="19"/>
              </w:rPr>
              <w:t>Tribunal: STJ   |   Órgão: 4ª Turma</w:t>
            </w:r>
          </w:p>
          <w:p w14:paraId="269C0564" w14:textId="77777777" w:rsidR="00B874B0" w:rsidRDefault="00000000">
            <w:pPr>
              <w:spacing w:after="40"/>
            </w:pPr>
            <w:r>
              <w:rPr>
                <w:color w:val="555555"/>
                <w:sz w:val="19"/>
                <w:szCs w:val="19"/>
              </w:rPr>
              <w:t>Processo: RHC 227.145-MG   |   Relator: Min. Raul Araújo   |   Data: 03/03/2026</w:t>
            </w:r>
          </w:p>
          <w:p w14:paraId="4A87A5BF" w14:textId="77777777" w:rsidR="00B874B0" w:rsidRDefault="00000000">
            <w:pPr>
              <w:spacing w:after="100"/>
            </w:pPr>
            <w:r>
              <w:rPr>
                <w:i/>
                <w:iCs/>
                <w:color w:val="555555"/>
                <w:sz w:val="19"/>
                <w:szCs w:val="19"/>
              </w:rPr>
              <w:t>Sistemática: Caso isolado</w:t>
            </w:r>
          </w:p>
          <w:p w14:paraId="50EE67C1" w14:textId="77777777" w:rsidR="00B874B0" w:rsidRDefault="00000000">
            <w:pPr>
              <w:spacing w:after="100"/>
            </w:pPr>
            <w:r>
              <w:rPr>
                <w:b/>
                <w:bCs/>
              </w:rPr>
              <w:lastRenderedPageBreak/>
              <w:t xml:space="preserve">TESE FIXADA / DECISÃO: </w:t>
            </w:r>
            <w:r>
              <w:t>A intimação via WhatsApp não possui previsão legal (apenas resoluções administrativas do CNJ/tribunais), sendo insuficiente para substituir a intimação PESSOAL exigida pelo art. 528 do CPC, dada a gravidade da sanção (prisão civil). A dificuldade de localizar o devedor não autoriza flexibilizar essa exigência.</w:t>
            </w:r>
          </w:p>
          <w:p w14:paraId="650F2902" w14:textId="77777777" w:rsidR="00B874B0" w:rsidRDefault="00000000">
            <w:pPr>
              <w:spacing w:after="100"/>
            </w:pPr>
            <w:r>
              <w:rPr>
                <w:b/>
                <w:bCs/>
              </w:rPr>
              <w:t xml:space="preserve">RESUMO DO CASO: </w:t>
            </w:r>
            <w:r>
              <w:t>Devedora de alimentos não localizada em endereços conhecidos foi intimada por WhatsApp (com confirmação de recebimento e acesso aos autos), mas não pagou nem justificou. O juízo decretou prisão civil por 45 dias, mantida pelo TJ, mas o STJ afastou a prisão por invalidade da forma de intimação.</w:t>
            </w:r>
          </w:p>
          <w:p w14:paraId="11A52006" w14:textId="77777777" w:rsidR="00B874B0" w:rsidRDefault="00000000">
            <w:pPr>
              <w:spacing w:after="40"/>
            </w:pPr>
            <w:r>
              <w:rPr>
                <w:b/>
                <w:bCs/>
              </w:rPr>
              <w:t>COMO PODE SER COBRADO EM PROVA:</w:t>
            </w:r>
          </w:p>
          <w:p w14:paraId="06CA480C" w14:textId="77777777" w:rsidR="00B874B0" w:rsidRDefault="00000000">
            <w:pPr>
              <w:pStyle w:val="PargrafodaLista"/>
              <w:numPr>
                <w:ilvl w:val="0"/>
                <w:numId w:val="2"/>
              </w:numPr>
              <w:spacing w:after="40"/>
            </w:pPr>
            <w:r>
              <w:rPr>
                <w:b/>
                <w:bCs/>
                <w:i/>
                <w:iCs/>
              </w:rPr>
              <w:t xml:space="preserve">Objetiva: </w:t>
            </w:r>
            <w:r>
              <w:t>"intimação por WhatsApp é válida para fins de prisão civil por dívida alimentar, desde que haja confirmação de recebimento" — alternativa FALSA (é julgado bem recente e "pegadinha" de atualidade).</w:t>
            </w:r>
          </w:p>
          <w:p w14:paraId="193A9AE0" w14:textId="77777777" w:rsidR="00B874B0" w:rsidRDefault="00000000">
            <w:pPr>
              <w:pStyle w:val="PargrafodaLista"/>
              <w:numPr>
                <w:ilvl w:val="0"/>
                <w:numId w:val="2"/>
              </w:numPr>
              <w:spacing w:after="40"/>
            </w:pPr>
            <w:r>
              <w:rPr>
                <w:b/>
                <w:bCs/>
                <w:i/>
                <w:iCs/>
              </w:rPr>
              <w:t xml:space="preserve">Discursiva/Sentença: </w:t>
            </w:r>
            <w:r>
              <w:t>caso de decreto de prisão civil fundado em intimação por aplicativo de mensagens — pedir análise da validade à luz do art. 528 CPC x art. 270 CPC.</w:t>
            </w:r>
          </w:p>
          <w:p w14:paraId="785444C9" w14:textId="77777777" w:rsidR="00B874B0" w:rsidRDefault="00000000">
            <w:pPr>
              <w:pStyle w:val="PargrafodaLista"/>
              <w:numPr>
                <w:ilvl w:val="0"/>
                <w:numId w:val="2"/>
              </w:numPr>
              <w:spacing w:after="100"/>
            </w:pPr>
            <w:r>
              <w:rPr>
                <w:b/>
                <w:bCs/>
                <w:i/>
                <w:iCs/>
              </w:rPr>
              <w:t xml:space="preserve">Oral: </w:t>
            </w:r>
            <w:r>
              <w:t>"A intimação eletrônica por aplicativo de mensagens é válida para todos os fins processuais? E para a prisão civil de alimentos?"</w:t>
            </w:r>
          </w:p>
          <w:p w14:paraId="53DFC2D0" w14:textId="77777777" w:rsidR="00B874B0" w:rsidRDefault="00000000">
            <w:r>
              <w:rPr>
                <w:b/>
                <w:bCs/>
                <w:color w:val="A9762F"/>
              </w:rPr>
              <w:t xml:space="preserve">CONEXÕES: </w:t>
            </w:r>
            <w:r>
              <w:rPr>
                <w:i/>
                <w:iCs/>
              </w:rPr>
              <w:t>art. 528 e art. 270, CPC; devido processo legal e restrição à liberdade (prisão civil como medida excepcionalíssima).</w:t>
            </w:r>
          </w:p>
        </w:tc>
      </w:tr>
    </w:tbl>
    <w:p w14:paraId="4DCCE392" w14:textId="77777777" w:rsidR="00B874B0" w:rsidRDefault="00B874B0">
      <w:pPr>
        <w:spacing w:after="160"/>
      </w:pPr>
    </w:p>
    <w:tbl>
      <w:tblPr>
        <w:tblW w:w="5000" w:type="pct"/>
        <w:tblBorders>
          <w:top w:val="single" w:sz="8" w:space="0" w:color="C9B78C"/>
          <w:left w:val="single" w:sz="8" w:space="0" w:color="C9B78C"/>
          <w:bottom w:val="single" w:sz="8" w:space="0" w:color="C9B78C"/>
          <w:right w:val="single" w:sz="8" w:space="0" w:color="C9B78C"/>
        </w:tblBorders>
        <w:tblCellMar>
          <w:left w:w="10" w:type="dxa"/>
          <w:right w:w="10" w:type="dxa"/>
        </w:tblCellMar>
        <w:tblLook w:val="04A0" w:firstRow="1" w:lastRow="0" w:firstColumn="1" w:lastColumn="0" w:noHBand="0" w:noVBand="1"/>
      </w:tblPr>
      <w:tblGrid>
        <w:gridCol w:w="9726"/>
      </w:tblGrid>
      <w:tr w:rsidR="00B874B0" w14:paraId="64E61E32" w14:textId="77777777">
        <w:tblPrEx>
          <w:tblCellMar>
            <w:top w:w="0" w:type="dxa"/>
            <w:bottom w:w="0" w:type="dxa"/>
          </w:tblCellMar>
        </w:tblPrEx>
        <w:tc>
          <w:tcPr>
            <w:tcW w:w="5000" w:type="pct"/>
            <w:shd w:val="clear" w:color="auto" w:fill="F6F1E8"/>
            <w:tcMar>
              <w:top w:w="160" w:type="dxa"/>
              <w:left w:w="200" w:type="dxa"/>
              <w:bottom w:w="160" w:type="dxa"/>
              <w:right w:w="200" w:type="dxa"/>
            </w:tcMar>
          </w:tcPr>
          <w:p w14:paraId="4843474F" w14:textId="77777777" w:rsidR="00B874B0" w:rsidRDefault="00000000">
            <w:pPr>
              <w:pStyle w:val="Ttulo3"/>
              <w:spacing w:after="80"/>
            </w:pPr>
            <w:bookmarkStart w:id="64" w:name="_Toc236570118"/>
            <w:r>
              <w:t>Ausência de vagas no sistema penitenciário, por si só, não justifica substituição do regime fechado pelo aberto na prisão civil</w:t>
            </w:r>
            <w:bookmarkEnd w:id="64"/>
          </w:p>
          <w:p w14:paraId="5813716C" w14:textId="77777777" w:rsidR="00B874B0" w:rsidRDefault="00000000">
            <w:pPr>
              <w:spacing w:after="40"/>
            </w:pPr>
            <w:r>
              <w:rPr>
                <w:b/>
                <w:bCs/>
                <w:color w:val="555555"/>
                <w:sz w:val="19"/>
                <w:szCs w:val="19"/>
              </w:rPr>
              <w:t>Tribunal: STJ   |   Órgão: 3ª Turma</w:t>
            </w:r>
          </w:p>
          <w:p w14:paraId="7CF32043" w14:textId="77777777" w:rsidR="00B874B0" w:rsidRDefault="00000000">
            <w:pPr>
              <w:spacing w:after="40"/>
            </w:pPr>
            <w:r>
              <w:rPr>
                <w:color w:val="555555"/>
                <w:sz w:val="19"/>
                <w:szCs w:val="19"/>
              </w:rPr>
              <w:t>Processo: REsp 2.104.738-RS   |   Relator: Min. Marco Aurélio Bellizze   |   Data: 03/09/2024</w:t>
            </w:r>
          </w:p>
          <w:p w14:paraId="162996FD" w14:textId="77777777" w:rsidR="00B874B0" w:rsidRDefault="00000000">
            <w:pPr>
              <w:spacing w:after="100"/>
            </w:pPr>
            <w:r>
              <w:rPr>
                <w:i/>
                <w:iCs/>
                <w:color w:val="555555"/>
                <w:sz w:val="19"/>
                <w:szCs w:val="19"/>
              </w:rPr>
              <w:t>Sistemática: Caso isolado</w:t>
            </w:r>
          </w:p>
          <w:p w14:paraId="54922A12" w14:textId="77777777" w:rsidR="00B874B0" w:rsidRDefault="00000000">
            <w:pPr>
              <w:spacing w:after="100"/>
            </w:pPr>
            <w:r>
              <w:rPr>
                <w:b/>
                <w:bCs/>
              </w:rPr>
              <w:t xml:space="preserve">TESE FIXADA / DECISÃO: </w:t>
            </w:r>
            <w:r>
              <w:t>A carência de vagas no sistema prisional não justifica a substituição de regime na prisão civil, sob pena de esvaziar o art. 528, §4º, CPC; cabe à autoridade judiciária buscar soluções dialógicas com outros Poderes, preservando a finalidade coercitiva da prisão civil.</w:t>
            </w:r>
          </w:p>
          <w:p w14:paraId="0664DD4B" w14:textId="77777777" w:rsidR="00B874B0" w:rsidRDefault="00000000">
            <w:pPr>
              <w:spacing w:after="100"/>
            </w:pPr>
            <w:r>
              <w:rPr>
                <w:b/>
                <w:bCs/>
              </w:rPr>
              <w:t xml:space="preserve">RESUMO DO CASO: </w:t>
            </w:r>
            <w:r>
              <w:t>Julgado que enfrenta a superlotação do sistema prisional como argumento de defesa contra o cumprimento da prisão civil em regime fechado, rejeitando a equiparação automática com o regime penal comum.</w:t>
            </w:r>
          </w:p>
          <w:p w14:paraId="668A372C" w14:textId="77777777" w:rsidR="00B874B0" w:rsidRDefault="00000000">
            <w:pPr>
              <w:spacing w:after="40"/>
            </w:pPr>
            <w:r>
              <w:rPr>
                <w:b/>
                <w:bCs/>
              </w:rPr>
              <w:t>COMO PODE SER COBRADO EM PROVA:</w:t>
            </w:r>
          </w:p>
          <w:p w14:paraId="5F738446" w14:textId="77777777" w:rsidR="00B874B0" w:rsidRDefault="00000000">
            <w:pPr>
              <w:pStyle w:val="PargrafodaLista"/>
              <w:numPr>
                <w:ilvl w:val="0"/>
                <w:numId w:val="2"/>
              </w:numPr>
              <w:spacing w:after="40"/>
            </w:pPr>
            <w:r>
              <w:rPr>
                <w:b/>
                <w:bCs/>
                <w:i/>
                <w:iCs/>
              </w:rPr>
              <w:t xml:space="preserve">Objetiva: </w:t>
            </w:r>
            <w:r>
              <w:t>"a falta de vagas no sistema prisional autoriza automaticamente a prisão domiciliar do devedor de alimentos" — FALSO.</w:t>
            </w:r>
          </w:p>
          <w:p w14:paraId="6DA663D8" w14:textId="77777777" w:rsidR="00B874B0" w:rsidRDefault="00000000">
            <w:pPr>
              <w:pStyle w:val="PargrafodaLista"/>
              <w:numPr>
                <w:ilvl w:val="0"/>
                <w:numId w:val="2"/>
              </w:numPr>
              <w:spacing w:after="40"/>
            </w:pPr>
            <w:r>
              <w:rPr>
                <w:b/>
                <w:bCs/>
                <w:i/>
                <w:iCs/>
              </w:rPr>
              <w:t xml:space="preserve">Discursiva/Sentença: </w:t>
            </w:r>
            <w:r>
              <w:t>caso de HC alegando superlotação carcerária para conversão de regime — decisão fundamentando a manutenção do regime fechado.</w:t>
            </w:r>
          </w:p>
          <w:p w14:paraId="23513D52" w14:textId="77777777" w:rsidR="00B874B0" w:rsidRDefault="00000000">
            <w:pPr>
              <w:pStyle w:val="PargrafodaLista"/>
              <w:numPr>
                <w:ilvl w:val="0"/>
                <w:numId w:val="2"/>
              </w:numPr>
              <w:spacing w:after="100"/>
            </w:pPr>
            <w:r>
              <w:rPr>
                <w:b/>
                <w:bCs/>
                <w:i/>
                <w:iCs/>
              </w:rPr>
              <w:t xml:space="preserve">Oral: </w:t>
            </w:r>
            <w:r>
              <w:t>"A prisão civil por dívida alimentar segue as mesmas regras de execução penal quanto a vagas no sistema prisional?"</w:t>
            </w:r>
          </w:p>
          <w:p w14:paraId="7EAA4355" w14:textId="77777777" w:rsidR="00B874B0" w:rsidRDefault="00000000">
            <w:r>
              <w:rPr>
                <w:b/>
                <w:bCs/>
                <w:color w:val="A9762F"/>
              </w:rPr>
              <w:t xml:space="preserve">CONEXÕES: </w:t>
            </w:r>
            <w:r>
              <w:rPr>
                <w:i/>
                <w:iCs/>
              </w:rPr>
              <w:t>art. 528, §4º, CPC; distinção entre prisão civil (coercitiva) e prisão penal (punitiva).</w:t>
            </w:r>
          </w:p>
        </w:tc>
      </w:tr>
    </w:tbl>
    <w:p w14:paraId="6B2149FD" w14:textId="77777777" w:rsidR="00B874B0" w:rsidRDefault="00B874B0">
      <w:pPr>
        <w:spacing w:after="160"/>
      </w:pPr>
    </w:p>
    <w:tbl>
      <w:tblPr>
        <w:tblW w:w="5000" w:type="pct"/>
        <w:tblBorders>
          <w:top w:val="single" w:sz="8" w:space="0" w:color="C9B78C"/>
          <w:left w:val="single" w:sz="8" w:space="0" w:color="C9B78C"/>
          <w:bottom w:val="single" w:sz="8" w:space="0" w:color="C9B78C"/>
          <w:right w:val="single" w:sz="8" w:space="0" w:color="C9B78C"/>
        </w:tblBorders>
        <w:tblCellMar>
          <w:left w:w="10" w:type="dxa"/>
          <w:right w:w="10" w:type="dxa"/>
        </w:tblCellMar>
        <w:tblLook w:val="04A0" w:firstRow="1" w:lastRow="0" w:firstColumn="1" w:lastColumn="0" w:noHBand="0" w:noVBand="1"/>
      </w:tblPr>
      <w:tblGrid>
        <w:gridCol w:w="9726"/>
      </w:tblGrid>
      <w:tr w:rsidR="00B874B0" w14:paraId="6E6731D1" w14:textId="77777777">
        <w:tblPrEx>
          <w:tblCellMar>
            <w:top w:w="0" w:type="dxa"/>
            <w:bottom w:w="0" w:type="dxa"/>
          </w:tblCellMar>
        </w:tblPrEx>
        <w:tc>
          <w:tcPr>
            <w:tcW w:w="5000" w:type="pct"/>
            <w:shd w:val="clear" w:color="auto" w:fill="F6F1E8"/>
            <w:tcMar>
              <w:top w:w="160" w:type="dxa"/>
              <w:left w:w="200" w:type="dxa"/>
              <w:bottom w:w="160" w:type="dxa"/>
              <w:right w:w="200" w:type="dxa"/>
            </w:tcMar>
          </w:tcPr>
          <w:p w14:paraId="77206957" w14:textId="77777777" w:rsidR="00B874B0" w:rsidRDefault="00000000">
            <w:pPr>
              <w:pStyle w:val="Ttulo3"/>
              <w:spacing w:after="80"/>
            </w:pPr>
            <w:bookmarkStart w:id="65" w:name="_Toc236570119"/>
            <w:r>
              <w:t>Decisão que decreta prisão civil deve ser fundamentada quanto à dosimetria do prazo de encarceramento (1 a 3 meses)</w:t>
            </w:r>
            <w:bookmarkEnd w:id="65"/>
          </w:p>
          <w:p w14:paraId="31762751" w14:textId="77777777" w:rsidR="00B874B0" w:rsidRDefault="00000000">
            <w:pPr>
              <w:spacing w:after="40"/>
            </w:pPr>
            <w:r>
              <w:rPr>
                <w:b/>
                <w:bCs/>
                <w:color w:val="555555"/>
                <w:sz w:val="19"/>
                <w:szCs w:val="19"/>
              </w:rPr>
              <w:t>Tribunal: STJ   |   Órgão: 4ª Turma</w:t>
            </w:r>
          </w:p>
          <w:p w14:paraId="1CCF19E2" w14:textId="77777777" w:rsidR="00B874B0" w:rsidRDefault="00000000">
            <w:pPr>
              <w:spacing w:after="40"/>
            </w:pPr>
            <w:r>
              <w:rPr>
                <w:color w:val="555555"/>
                <w:sz w:val="19"/>
                <w:szCs w:val="19"/>
              </w:rPr>
              <w:t>Processo: RHC 188.811/GO   |   Relator: Min. Raul Araújo   |   Data: 12/03/2024</w:t>
            </w:r>
          </w:p>
          <w:p w14:paraId="5020A334" w14:textId="77777777" w:rsidR="00B874B0" w:rsidRDefault="00000000">
            <w:pPr>
              <w:spacing w:after="100"/>
            </w:pPr>
            <w:r>
              <w:rPr>
                <w:i/>
                <w:iCs/>
                <w:color w:val="555555"/>
                <w:sz w:val="19"/>
                <w:szCs w:val="19"/>
              </w:rPr>
              <w:t>Sistemática: Caso isolado</w:t>
            </w:r>
          </w:p>
          <w:p w14:paraId="0F21F343" w14:textId="77777777" w:rsidR="00B874B0" w:rsidRDefault="00000000">
            <w:pPr>
              <w:spacing w:after="100"/>
            </w:pPr>
            <w:r>
              <w:rPr>
                <w:b/>
                <w:bCs/>
              </w:rPr>
              <w:lastRenderedPageBreak/>
              <w:t xml:space="preserve">TESE FIXADA / DECISÃO: </w:t>
            </w:r>
            <w:r>
              <w:t>Quando o magistrado fixar prazo de prisão civil superior ao mínimo legal, deve fundamentar de forma individualizada, proporcional e razoável, considerando capacidade econômica do devedor, valor da dívida, comportamento do devedor e consequências da inadimplência.</w:t>
            </w:r>
          </w:p>
          <w:p w14:paraId="247DFE00" w14:textId="77777777" w:rsidR="00B874B0" w:rsidRDefault="00000000">
            <w:pPr>
              <w:spacing w:after="100"/>
            </w:pPr>
            <w:r>
              <w:rPr>
                <w:b/>
                <w:bCs/>
              </w:rPr>
              <w:t xml:space="preserve">RESUMO DO CASO: </w:t>
            </w:r>
            <w:r>
              <w:t>Julgado sobre os critérios objetivos que o juiz deve observar ao dosar o prazo de prisão civil dentro da margem legal (1 a 3 meses), exigindo fundamentação concreta e não aplicação automática do prazo máximo.</w:t>
            </w:r>
          </w:p>
          <w:p w14:paraId="1086035F" w14:textId="77777777" w:rsidR="00B874B0" w:rsidRDefault="00000000">
            <w:pPr>
              <w:spacing w:after="40"/>
            </w:pPr>
            <w:r>
              <w:rPr>
                <w:b/>
                <w:bCs/>
              </w:rPr>
              <w:t>COMO PODE SER COBRADO EM PROVA:</w:t>
            </w:r>
          </w:p>
          <w:p w14:paraId="003BFDED" w14:textId="77777777" w:rsidR="00B874B0" w:rsidRDefault="00000000">
            <w:pPr>
              <w:pStyle w:val="PargrafodaLista"/>
              <w:numPr>
                <w:ilvl w:val="0"/>
                <w:numId w:val="2"/>
              </w:numPr>
              <w:spacing w:after="40"/>
            </w:pPr>
            <w:r>
              <w:rPr>
                <w:b/>
                <w:bCs/>
                <w:i/>
                <w:iCs/>
              </w:rPr>
              <w:t xml:space="preserve">Objetiva: </w:t>
            </w:r>
            <w:r>
              <w:t>prazo legal da prisão civil por alimentos (1 a 3 meses) e exigência de motivação da dosimetria.</w:t>
            </w:r>
          </w:p>
          <w:p w14:paraId="1889193C" w14:textId="77777777" w:rsidR="00B874B0" w:rsidRDefault="00000000">
            <w:pPr>
              <w:pStyle w:val="PargrafodaLista"/>
              <w:numPr>
                <w:ilvl w:val="0"/>
                <w:numId w:val="2"/>
              </w:numPr>
              <w:spacing w:after="40"/>
            </w:pPr>
            <w:r>
              <w:rPr>
                <w:b/>
                <w:bCs/>
                <w:i/>
                <w:iCs/>
              </w:rPr>
              <w:t xml:space="preserve">Discursiva/Sentença: </w:t>
            </w:r>
            <w:r>
              <w:t>sentença/decisão decretando prisão civil por prazo de 3 meses (máximo) — exigir fundamentação individualizada dos critérios de dosimetria.</w:t>
            </w:r>
          </w:p>
          <w:p w14:paraId="5E99C5BF" w14:textId="77777777" w:rsidR="00B874B0" w:rsidRDefault="00000000">
            <w:pPr>
              <w:pStyle w:val="PargrafodaLista"/>
              <w:numPr>
                <w:ilvl w:val="0"/>
                <w:numId w:val="2"/>
              </w:numPr>
              <w:spacing w:after="100"/>
            </w:pPr>
            <w:r>
              <w:rPr>
                <w:b/>
                <w:bCs/>
                <w:i/>
                <w:iCs/>
              </w:rPr>
              <w:t xml:space="preserve">Oral: </w:t>
            </w:r>
            <w:r>
              <w:t>"Qual o prazo da prisão civil por dívida alimentar? O prazo máximo pode ser aplicado automaticamente?"</w:t>
            </w:r>
          </w:p>
          <w:p w14:paraId="4C442C60" w14:textId="77777777" w:rsidR="00B874B0" w:rsidRDefault="00000000">
            <w:r>
              <w:rPr>
                <w:b/>
                <w:bCs/>
                <w:color w:val="A9762F"/>
              </w:rPr>
              <w:t xml:space="preserve">CONEXÕES: </w:t>
            </w:r>
            <w:r>
              <w:rPr>
                <w:i/>
                <w:iCs/>
              </w:rPr>
              <w:t>art. 528, §3º, CPC (prazo de 1 a 3 meses); princípio da proporcionalidade.</w:t>
            </w:r>
          </w:p>
        </w:tc>
      </w:tr>
    </w:tbl>
    <w:p w14:paraId="07EF220E" w14:textId="77777777" w:rsidR="00B874B0" w:rsidRDefault="00B874B0">
      <w:pPr>
        <w:spacing w:after="160"/>
      </w:pPr>
    </w:p>
    <w:tbl>
      <w:tblPr>
        <w:tblW w:w="5000" w:type="pct"/>
        <w:tblBorders>
          <w:top w:val="single" w:sz="8" w:space="0" w:color="C9B78C"/>
          <w:left w:val="single" w:sz="8" w:space="0" w:color="C9B78C"/>
          <w:bottom w:val="single" w:sz="8" w:space="0" w:color="C9B78C"/>
          <w:right w:val="single" w:sz="8" w:space="0" w:color="C9B78C"/>
        </w:tblBorders>
        <w:tblCellMar>
          <w:left w:w="10" w:type="dxa"/>
          <w:right w:w="10" w:type="dxa"/>
        </w:tblCellMar>
        <w:tblLook w:val="04A0" w:firstRow="1" w:lastRow="0" w:firstColumn="1" w:lastColumn="0" w:noHBand="0" w:noVBand="1"/>
      </w:tblPr>
      <w:tblGrid>
        <w:gridCol w:w="9726"/>
      </w:tblGrid>
      <w:tr w:rsidR="00B874B0" w14:paraId="19895AD0" w14:textId="77777777">
        <w:tblPrEx>
          <w:tblCellMar>
            <w:top w:w="0" w:type="dxa"/>
            <w:bottom w:w="0" w:type="dxa"/>
          </w:tblCellMar>
        </w:tblPrEx>
        <w:tc>
          <w:tcPr>
            <w:tcW w:w="5000" w:type="pct"/>
            <w:shd w:val="clear" w:color="auto" w:fill="F6F1E8"/>
            <w:tcMar>
              <w:top w:w="160" w:type="dxa"/>
              <w:left w:w="200" w:type="dxa"/>
              <w:bottom w:w="160" w:type="dxa"/>
              <w:right w:w="200" w:type="dxa"/>
            </w:tcMar>
          </w:tcPr>
          <w:p w14:paraId="7BFA21C3" w14:textId="77777777" w:rsidR="00B874B0" w:rsidRDefault="00000000">
            <w:pPr>
              <w:pStyle w:val="Ttulo3"/>
              <w:spacing w:after="80"/>
            </w:pPr>
            <w:bookmarkStart w:id="66" w:name="_Toc236570120"/>
            <w:r>
              <w:t>Prerrogativa de sala de Estado-Maior (art. 7º, V, Estatuto da OAB) não se aplica à prisão civil do advogado devedor de alimentos</w:t>
            </w:r>
            <w:bookmarkEnd w:id="66"/>
          </w:p>
          <w:p w14:paraId="45EE3C43" w14:textId="77777777" w:rsidR="00B874B0" w:rsidRDefault="00000000">
            <w:pPr>
              <w:spacing w:after="40"/>
            </w:pPr>
            <w:r>
              <w:rPr>
                <w:b/>
                <w:bCs/>
                <w:color w:val="555555"/>
                <w:sz w:val="19"/>
                <w:szCs w:val="19"/>
              </w:rPr>
              <w:t>Tribunal: STJ   |   Órgão: 2ª Seção</w:t>
            </w:r>
          </w:p>
          <w:p w14:paraId="5F8AAB15" w14:textId="77777777" w:rsidR="00B874B0" w:rsidRDefault="00000000">
            <w:pPr>
              <w:spacing w:after="40"/>
            </w:pPr>
            <w:r>
              <w:rPr>
                <w:color w:val="555555"/>
                <w:sz w:val="19"/>
                <w:szCs w:val="19"/>
              </w:rPr>
              <w:t>Processo: HC 740.531-SP   |   Relator: Min. Luis Felipe Salomão   |   Data: 26/10/2022</w:t>
            </w:r>
          </w:p>
          <w:p w14:paraId="65D22F2D" w14:textId="77777777" w:rsidR="00B874B0" w:rsidRDefault="00000000">
            <w:pPr>
              <w:spacing w:after="100"/>
            </w:pPr>
            <w:r>
              <w:rPr>
                <w:i/>
                <w:iCs/>
                <w:color w:val="555555"/>
                <w:sz w:val="19"/>
                <w:szCs w:val="19"/>
              </w:rPr>
              <w:t>Sistemática: Caso isolado julgado por Órgão Colegiado Especial (2ª Seção — uniformização entre Turmas de Direito Privado)</w:t>
            </w:r>
          </w:p>
          <w:p w14:paraId="4B68B66D" w14:textId="77777777" w:rsidR="00B874B0" w:rsidRDefault="00000000">
            <w:pPr>
              <w:spacing w:after="100"/>
            </w:pPr>
            <w:r>
              <w:rPr>
                <w:b/>
                <w:bCs/>
              </w:rPr>
              <w:t xml:space="preserve">TESE FIXADA / DECISÃO: </w:t>
            </w:r>
            <w:r>
              <w:t>A prerrogativa de recolhimento em sala de Estado-Maior não incide na prisão civil do advogado devedor de alimentos, desde que lhe seja garantido local apropriado, separado de presos comuns (cela especial supre a exigência).</w:t>
            </w:r>
          </w:p>
          <w:p w14:paraId="0B2B4EB7" w14:textId="77777777" w:rsidR="00B874B0" w:rsidRDefault="00000000">
            <w:pPr>
              <w:spacing w:after="100"/>
            </w:pPr>
            <w:r>
              <w:rPr>
                <w:b/>
                <w:bCs/>
              </w:rPr>
              <w:t xml:space="preserve">RESUMO DO CASO: </w:t>
            </w:r>
            <w:r>
              <w:t>Julgado pela 2ª Seção (uniformizando divergência entre 3ª e 4ª Turmas) definindo que a prerrogativa profissional do art. 7º, V, do Estatuto da OAB não se estende à prisão civil por dívida alimentar, que tem natureza e finalidade distintas da prisão penal.</w:t>
            </w:r>
          </w:p>
          <w:p w14:paraId="1777712A" w14:textId="77777777" w:rsidR="00B874B0" w:rsidRDefault="00000000">
            <w:pPr>
              <w:spacing w:after="40"/>
            </w:pPr>
            <w:r>
              <w:rPr>
                <w:b/>
                <w:bCs/>
              </w:rPr>
              <w:t>COMO PODE SER COBRADO EM PROVA:</w:t>
            </w:r>
          </w:p>
          <w:p w14:paraId="5C3D11F4" w14:textId="77777777" w:rsidR="00B874B0" w:rsidRDefault="00000000">
            <w:pPr>
              <w:pStyle w:val="PargrafodaLista"/>
              <w:numPr>
                <w:ilvl w:val="0"/>
                <w:numId w:val="2"/>
              </w:numPr>
              <w:spacing w:after="40"/>
            </w:pPr>
            <w:r>
              <w:rPr>
                <w:b/>
                <w:bCs/>
                <w:i/>
                <w:iCs/>
              </w:rPr>
              <w:t xml:space="preserve">Objetiva: </w:t>
            </w:r>
            <w:r>
              <w:t>"advogado preso civilmente por dívida de alimentos tem direito a sala de Estado-Maior" — FALSO; direito a cela especial separada de presos comuns.</w:t>
            </w:r>
          </w:p>
          <w:p w14:paraId="2DE6923C" w14:textId="77777777" w:rsidR="00B874B0" w:rsidRDefault="00000000">
            <w:pPr>
              <w:pStyle w:val="PargrafodaLista"/>
              <w:numPr>
                <w:ilvl w:val="0"/>
                <w:numId w:val="2"/>
              </w:numPr>
              <w:spacing w:after="40"/>
            </w:pPr>
            <w:r>
              <w:rPr>
                <w:b/>
                <w:bCs/>
                <w:i/>
                <w:iCs/>
              </w:rPr>
              <w:t xml:space="preserve">Discursiva/Sentença: </w:t>
            </w:r>
            <w:r>
              <w:t>caso de advogado devedor de alimentos requerendo sala de Estado-Maior no HC — fundamentar o indeferimento com base na distinção entre prisão civil e penal.</w:t>
            </w:r>
          </w:p>
          <w:p w14:paraId="0184E46A" w14:textId="77777777" w:rsidR="00B874B0" w:rsidRDefault="00000000">
            <w:pPr>
              <w:pStyle w:val="PargrafodaLista"/>
              <w:numPr>
                <w:ilvl w:val="0"/>
                <w:numId w:val="2"/>
              </w:numPr>
              <w:spacing w:after="100"/>
            </w:pPr>
            <w:r>
              <w:rPr>
                <w:b/>
                <w:bCs/>
                <w:i/>
                <w:iCs/>
              </w:rPr>
              <w:t xml:space="preserve">Oral: </w:t>
            </w:r>
            <w:r>
              <w:t>"A prerrogativa de sala de Estado-Maior do advogado se aplica a toda e qualquer prisão?"</w:t>
            </w:r>
          </w:p>
          <w:p w14:paraId="623B571A" w14:textId="77777777" w:rsidR="00B874B0" w:rsidRDefault="00000000">
            <w:r>
              <w:rPr>
                <w:b/>
                <w:bCs/>
                <w:color w:val="A9762F"/>
              </w:rPr>
              <w:t xml:space="preserve">CONEXÕES: </w:t>
            </w:r>
            <w:r>
              <w:rPr>
                <w:i/>
                <w:iCs/>
              </w:rPr>
              <w:t>art. 7º, V, Lei 8.906/94 (Estatuto da OAB); julgado por órgão uniformizador (2ª Seção) — reforça segurança da tese.</w:t>
            </w:r>
          </w:p>
        </w:tc>
      </w:tr>
    </w:tbl>
    <w:p w14:paraId="456D9EC0" w14:textId="77777777" w:rsidR="00B874B0" w:rsidRDefault="00B874B0">
      <w:pPr>
        <w:spacing w:after="160"/>
      </w:pPr>
    </w:p>
    <w:tbl>
      <w:tblPr>
        <w:tblW w:w="5000" w:type="pct"/>
        <w:tblBorders>
          <w:top w:val="single" w:sz="8" w:space="0" w:color="C9B78C"/>
          <w:left w:val="single" w:sz="8" w:space="0" w:color="C9B78C"/>
          <w:bottom w:val="single" w:sz="8" w:space="0" w:color="C9B78C"/>
          <w:right w:val="single" w:sz="8" w:space="0" w:color="C9B78C"/>
        </w:tblBorders>
        <w:tblCellMar>
          <w:left w:w="10" w:type="dxa"/>
          <w:right w:w="10" w:type="dxa"/>
        </w:tblCellMar>
        <w:tblLook w:val="04A0" w:firstRow="1" w:lastRow="0" w:firstColumn="1" w:lastColumn="0" w:noHBand="0" w:noVBand="1"/>
      </w:tblPr>
      <w:tblGrid>
        <w:gridCol w:w="9726"/>
      </w:tblGrid>
      <w:tr w:rsidR="00B874B0" w14:paraId="7E9B8251" w14:textId="77777777">
        <w:tblPrEx>
          <w:tblCellMar>
            <w:top w:w="0" w:type="dxa"/>
            <w:bottom w:w="0" w:type="dxa"/>
          </w:tblCellMar>
        </w:tblPrEx>
        <w:tc>
          <w:tcPr>
            <w:tcW w:w="5000" w:type="pct"/>
            <w:shd w:val="clear" w:color="auto" w:fill="F6F1E8"/>
            <w:tcMar>
              <w:top w:w="160" w:type="dxa"/>
              <w:left w:w="200" w:type="dxa"/>
              <w:bottom w:w="160" w:type="dxa"/>
              <w:right w:w="200" w:type="dxa"/>
            </w:tcMar>
          </w:tcPr>
          <w:p w14:paraId="197006A4" w14:textId="77777777" w:rsidR="00B874B0" w:rsidRDefault="00000000">
            <w:pPr>
              <w:pStyle w:val="Ttulo3"/>
              <w:spacing w:after="80"/>
            </w:pPr>
            <w:bookmarkStart w:id="67" w:name="_Toc236570121"/>
            <w:r>
              <w:t>Prisão civil de devedora de alimentos pode ser convertida em domiciliar quando ela tem filho de até 12 anos (analogia ao art. 318, V, CPP)</w:t>
            </w:r>
            <w:bookmarkEnd w:id="67"/>
          </w:p>
          <w:p w14:paraId="79BB81B7" w14:textId="77777777" w:rsidR="00B874B0" w:rsidRDefault="00000000">
            <w:pPr>
              <w:spacing w:after="40"/>
            </w:pPr>
            <w:r>
              <w:rPr>
                <w:b/>
                <w:bCs/>
                <w:color w:val="555555"/>
                <w:sz w:val="19"/>
                <w:szCs w:val="19"/>
              </w:rPr>
              <w:t>Tribunal: STJ   |   Órgão: 3ª Turma</w:t>
            </w:r>
          </w:p>
          <w:p w14:paraId="296C35E7" w14:textId="77777777" w:rsidR="00B874B0" w:rsidRDefault="00000000">
            <w:pPr>
              <w:spacing w:after="40"/>
            </w:pPr>
            <w:r>
              <w:rPr>
                <w:color w:val="555555"/>
                <w:sz w:val="19"/>
                <w:szCs w:val="19"/>
              </w:rPr>
              <w:t>Processo: HC 770.015/SP   |   Relator: Min. Nancy Andrighi   |   Data: 07/02/2023</w:t>
            </w:r>
          </w:p>
          <w:p w14:paraId="375CB277" w14:textId="77777777" w:rsidR="00B874B0" w:rsidRDefault="00000000">
            <w:pPr>
              <w:spacing w:after="100"/>
            </w:pPr>
            <w:r>
              <w:rPr>
                <w:i/>
                <w:iCs/>
                <w:color w:val="555555"/>
                <w:sz w:val="19"/>
                <w:szCs w:val="19"/>
              </w:rPr>
              <w:t>Sistemática: Caso isolado (aplicação analógica de norma penal ao processo civil)</w:t>
            </w:r>
          </w:p>
          <w:p w14:paraId="7A374702" w14:textId="77777777" w:rsidR="00B874B0" w:rsidRDefault="00000000">
            <w:pPr>
              <w:spacing w:after="100"/>
            </w:pPr>
            <w:r>
              <w:rPr>
                <w:b/>
                <w:bCs/>
              </w:rPr>
              <w:t xml:space="preserve">TESE FIXADA / DECISÃO: </w:t>
            </w:r>
            <w:r>
              <w:t>Aplica-se por analogia à execução de alimentos o art. 318, V, do CPP (substituição da prisão preventiva pela domiciliar para mulher com filho de até 12 anos incompletos), tendo em vista a finalidade de proteção integral da criança (política pública de primeira infância — Lei 13.257/2016).</w:t>
            </w:r>
          </w:p>
          <w:p w14:paraId="35AC1861" w14:textId="77777777" w:rsidR="00B874B0" w:rsidRDefault="00000000">
            <w:pPr>
              <w:spacing w:after="100"/>
            </w:pPr>
            <w:r>
              <w:rPr>
                <w:b/>
                <w:bCs/>
              </w:rPr>
              <w:lastRenderedPageBreak/>
              <w:t xml:space="preserve">RESUMO DO CASO: </w:t>
            </w:r>
            <w:r>
              <w:t>Mãe presa civilmente por dívida alimentar obteve conversão para prisão domiciliar por analogia à regra penal de proteção à mãe de criança pequena, evitando prejuízo ao desenvolvimento infantil.</w:t>
            </w:r>
          </w:p>
          <w:p w14:paraId="2630166F" w14:textId="77777777" w:rsidR="00B874B0" w:rsidRDefault="00000000">
            <w:pPr>
              <w:spacing w:after="40"/>
            </w:pPr>
            <w:r>
              <w:rPr>
                <w:b/>
                <w:bCs/>
              </w:rPr>
              <w:t>COMO PODE SER COBRADO EM PROVA:</w:t>
            </w:r>
          </w:p>
          <w:p w14:paraId="1DD967F5" w14:textId="77777777" w:rsidR="00B874B0" w:rsidRDefault="00000000">
            <w:pPr>
              <w:pStyle w:val="PargrafodaLista"/>
              <w:numPr>
                <w:ilvl w:val="0"/>
                <w:numId w:val="2"/>
              </w:numPr>
              <w:spacing w:after="40"/>
            </w:pPr>
            <w:r>
              <w:rPr>
                <w:b/>
                <w:bCs/>
                <w:i/>
                <w:iCs/>
              </w:rPr>
              <w:t xml:space="preserve">Objetiva: </w:t>
            </w:r>
            <w:r>
              <w:t>aplicação analógica de regra do CPP (proteção à primeira infância) ao processo civil — tema de interdisciplinaridade Civil/Processo Penal, gosto da FGV por conexões entre disciplinas.</w:t>
            </w:r>
          </w:p>
          <w:p w14:paraId="3875EE5B" w14:textId="77777777" w:rsidR="00B874B0" w:rsidRDefault="00000000">
            <w:pPr>
              <w:pStyle w:val="PargrafodaLista"/>
              <w:numPr>
                <w:ilvl w:val="0"/>
                <w:numId w:val="2"/>
              </w:numPr>
              <w:spacing w:after="40"/>
            </w:pPr>
            <w:r>
              <w:rPr>
                <w:b/>
                <w:bCs/>
                <w:i/>
                <w:iCs/>
              </w:rPr>
              <w:t xml:space="preserve">Discursiva/Sentença: </w:t>
            </w:r>
            <w:r>
              <w:t>caso de mãe presa civilmente com filho de 8 anos — fundamentar a conversão para prisão domiciliar por analogia.</w:t>
            </w:r>
          </w:p>
          <w:p w14:paraId="1F45F66C" w14:textId="77777777" w:rsidR="00B874B0" w:rsidRDefault="00000000">
            <w:pPr>
              <w:pStyle w:val="PargrafodaLista"/>
              <w:numPr>
                <w:ilvl w:val="0"/>
                <w:numId w:val="2"/>
              </w:numPr>
              <w:spacing w:after="100"/>
            </w:pPr>
            <w:r>
              <w:rPr>
                <w:b/>
                <w:bCs/>
                <w:i/>
                <w:iCs/>
              </w:rPr>
              <w:t xml:space="preserve">Oral: </w:t>
            </w:r>
            <w:r>
              <w:t>"É possível aplicar regras do processo penal à prisão civil por alimentos? Dê um exemplo."</w:t>
            </w:r>
          </w:p>
          <w:p w14:paraId="5A0B4D26" w14:textId="77777777" w:rsidR="00B874B0" w:rsidRDefault="00000000">
            <w:r>
              <w:rPr>
                <w:b/>
                <w:bCs/>
                <w:color w:val="A9762F"/>
              </w:rPr>
              <w:t xml:space="preserve">CONEXÕES: </w:t>
            </w:r>
            <w:r>
              <w:rPr>
                <w:i/>
                <w:iCs/>
              </w:rPr>
              <w:t>art. 318, V, CPP; Lei 13.257/2016 (Marco Legal da Primeira Infância); princípio do melhor interesse da criança.</w:t>
            </w:r>
          </w:p>
        </w:tc>
      </w:tr>
    </w:tbl>
    <w:p w14:paraId="2EE363A0" w14:textId="77777777" w:rsidR="00B874B0" w:rsidRDefault="00B874B0">
      <w:pPr>
        <w:spacing w:after="160"/>
      </w:pPr>
    </w:p>
    <w:p w14:paraId="6471B0E3" w14:textId="77777777" w:rsidR="00B874B0" w:rsidRDefault="00000000">
      <w:pPr>
        <w:pStyle w:val="Ttulo2"/>
        <w:spacing w:after="160"/>
      </w:pPr>
      <w:bookmarkStart w:id="68" w:name="_Toc236570122"/>
      <w:r>
        <w:t>GRUPO 5 — Execução de alimentos</w:t>
      </w:r>
      <w:bookmarkEnd w:id="68"/>
    </w:p>
    <w:tbl>
      <w:tblPr>
        <w:tblW w:w="5000" w:type="pct"/>
        <w:tblBorders>
          <w:top w:val="single" w:sz="8" w:space="0" w:color="C9B78C"/>
          <w:left w:val="single" w:sz="8" w:space="0" w:color="C9B78C"/>
          <w:bottom w:val="single" w:sz="8" w:space="0" w:color="C9B78C"/>
          <w:right w:val="single" w:sz="8" w:space="0" w:color="C9B78C"/>
        </w:tblBorders>
        <w:tblCellMar>
          <w:left w:w="10" w:type="dxa"/>
          <w:right w:w="10" w:type="dxa"/>
        </w:tblCellMar>
        <w:tblLook w:val="04A0" w:firstRow="1" w:lastRow="0" w:firstColumn="1" w:lastColumn="0" w:noHBand="0" w:noVBand="1"/>
      </w:tblPr>
      <w:tblGrid>
        <w:gridCol w:w="9726"/>
      </w:tblGrid>
      <w:tr w:rsidR="00B874B0" w14:paraId="6EDA8F6F" w14:textId="77777777">
        <w:tblPrEx>
          <w:tblCellMar>
            <w:top w:w="0" w:type="dxa"/>
            <w:bottom w:w="0" w:type="dxa"/>
          </w:tblCellMar>
        </w:tblPrEx>
        <w:tc>
          <w:tcPr>
            <w:tcW w:w="5000" w:type="pct"/>
            <w:shd w:val="clear" w:color="auto" w:fill="F6F1E8"/>
            <w:tcMar>
              <w:top w:w="160" w:type="dxa"/>
              <w:left w:w="200" w:type="dxa"/>
              <w:bottom w:w="160" w:type="dxa"/>
              <w:right w:w="200" w:type="dxa"/>
            </w:tcMar>
          </w:tcPr>
          <w:p w14:paraId="789BE468" w14:textId="77777777" w:rsidR="00B874B0" w:rsidRDefault="00000000">
            <w:pPr>
              <w:pStyle w:val="Ttulo3"/>
              <w:spacing w:after="80"/>
            </w:pPr>
            <w:bookmarkStart w:id="69" w:name="_Toc236570123"/>
            <w:r>
              <w:t>É possível a cumulação de prisão civil (coerção pessoal) e penhora (coerção patrimonial) na mesma execução de alimentos</w:t>
            </w:r>
            <w:bookmarkEnd w:id="69"/>
          </w:p>
          <w:p w14:paraId="0F9651DC" w14:textId="77777777" w:rsidR="00B874B0" w:rsidRDefault="00000000">
            <w:pPr>
              <w:spacing w:after="40"/>
            </w:pPr>
            <w:r>
              <w:rPr>
                <w:b/>
                <w:bCs/>
                <w:color w:val="555555"/>
                <w:sz w:val="19"/>
                <w:szCs w:val="19"/>
              </w:rPr>
              <w:t>Tribunal: STJ   |   Órgão: 4ª Turma / 3ª Turma</w:t>
            </w:r>
          </w:p>
          <w:p w14:paraId="14CF23F1" w14:textId="77777777" w:rsidR="00B874B0" w:rsidRDefault="00000000">
            <w:pPr>
              <w:spacing w:after="40"/>
            </w:pPr>
            <w:r>
              <w:rPr>
                <w:color w:val="555555"/>
                <w:sz w:val="19"/>
                <w:szCs w:val="19"/>
              </w:rPr>
              <w:t>Processo: REsp 1.930.593/MG (líder da posição inovadora)   |   Relator: Min. Luis Felipe Salomão   |   Data: 09/08/2022 (Info 744) — confirmado por REsp 2.004.516/RO, Rel. Min. Nancy Andrighi, julgado em 18/10/2022 (Info 756)</w:t>
            </w:r>
          </w:p>
          <w:p w14:paraId="69A27ECF" w14:textId="77777777" w:rsidR="00B874B0" w:rsidRDefault="00000000">
            <w:pPr>
              <w:spacing w:after="100"/>
            </w:pPr>
            <w:r>
              <w:rPr>
                <w:i/>
                <w:iCs/>
                <w:color w:val="555555"/>
                <w:sz w:val="19"/>
                <w:szCs w:val="19"/>
              </w:rPr>
              <w:t>Sistemática: Caso isolado, mas com "mudança de entendimento" expressamente sinalizada pelo site como superação da posição tradicional</w:t>
            </w:r>
          </w:p>
          <w:p w14:paraId="19E7B620" w14:textId="77777777" w:rsidR="00B874B0" w:rsidRDefault="00000000">
            <w:pPr>
              <w:spacing w:after="100"/>
            </w:pPr>
            <w:r>
              <w:rPr>
                <w:b/>
                <w:bCs/>
              </w:rPr>
              <w:t xml:space="preserve">TESE FIXADA / DECISÃO: </w:t>
            </w:r>
            <w:r>
              <w:t>Superando a posição tradicional (ritos excludentes entre si — art. 528, §8º, CPC), é cabível a cumulação, no mesmo procedimento executivo, das técnicas de coerção pessoal (prisão) e patrimonial (penhora), desde que não haja prejuízo ao devedor nem tumulto processual.</w:t>
            </w:r>
          </w:p>
          <w:p w14:paraId="6942A4D1" w14:textId="77777777" w:rsidR="00B874B0" w:rsidRDefault="00000000">
            <w:pPr>
              <w:spacing w:after="100"/>
            </w:pPr>
            <w:r>
              <w:rPr>
                <w:b/>
                <w:bCs/>
              </w:rPr>
              <w:t xml:space="preserve">RESUMO DO CASO: </w:t>
            </w:r>
            <w:r>
              <w:t>Mudança jurisprudencial relevante: tradicionalmente, a escolha do rito da prisão excluía a penhora (e vice-versa). A 4ª Turma inaugurou entendimento permitindo a cumulação em um único processo, depois confirmado pela 3ª Turma, inclusive para cumular alimentos atuais (prisão) e pretéritos (penhora).</w:t>
            </w:r>
          </w:p>
          <w:p w14:paraId="3CB9D2CC" w14:textId="77777777" w:rsidR="00B874B0" w:rsidRDefault="00000000">
            <w:pPr>
              <w:spacing w:after="40"/>
            </w:pPr>
            <w:r>
              <w:rPr>
                <w:b/>
                <w:bCs/>
              </w:rPr>
              <w:t>COMO PODE SER COBRADO EM PROVA:</w:t>
            </w:r>
          </w:p>
          <w:p w14:paraId="3FD8B307" w14:textId="77777777" w:rsidR="00B874B0" w:rsidRDefault="00000000">
            <w:pPr>
              <w:pStyle w:val="PargrafodaLista"/>
              <w:numPr>
                <w:ilvl w:val="0"/>
                <w:numId w:val="2"/>
              </w:numPr>
              <w:spacing w:after="40"/>
            </w:pPr>
            <w:r>
              <w:rPr>
                <w:b/>
                <w:bCs/>
                <w:i/>
                <w:iCs/>
              </w:rPr>
              <w:t xml:space="preserve">Objetiva: </w:t>
            </w:r>
            <w:r>
              <w:t>"os ritos da prisão e da penhora na execução de alimentos são sempre excludentes entre si" — hoje é FALSO (mudança de entendimento); atenção a provas com data de referência anterior a 2022.</w:t>
            </w:r>
          </w:p>
          <w:p w14:paraId="7758E1FD" w14:textId="77777777" w:rsidR="00B874B0" w:rsidRDefault="00000000">
            <w:pPr>
              <w:pStyle w:val="PargrafodaLista"/>
              <w:numPr>
                <w:ilvl w:val="0"/>
                <w:numId w:val="2"/>
              </w:numPr>
              <w:spacing w:after="40"/>
            </w:pPr>
            <w:r>
              <w:rPr>
                <w:b/>
                <w:bCs/>
                <w:i/>
                <w:iCs/>
              </w:rPr>
              <w:t xml:space="preserve">Discursiva/Sentença: </w:t>
            </w:r>
            <w:r>
              <w:t>caso de credor pedindo cumulação de prisão (alimentos atuais) e penhora (pretéritos) no mesmo processo — fundamentar o deferimento com a evolução jurisprudencial.</w:t>
            </w:r>
          </w:p>
          <w:p w14:paraId="27E2ADEF" w14:textId="77777777" w:rsidR="00B874B0" w:rsidRDefault="00000000">
            <w:pPr>
              <w:pStyle w:val="PargrafodaLista"/>
              <w:numPr>
                <w:ilvl w:val="0"/>
                <w:numId w:val="2"/>
              </w:numPr>
              <w:spacing w:after="100"/>
            </w:pPr>
            <w:r>
              <w:rPr>
                <w:b/>
                <w:bCs/>
                <w:i/>
                <w:iCs/>
              </w:rPr>
              <w:t xml:space="preserve">Oral: </w:t>
            </w:r>
            <w:r>
              <w:t>"É possível pedir prisão e penhora na mesma execução de alimentos? Sempre foi assim?"</w:t>
            </w:r>
          </w:p>
          <w:p w14:paraId="3E376997" w14:textId="77777777" w:rsidR="00B874B0" w:rsidRDefault="00000000">
            <w:r>
              <w:rPr>
                <w:b/>
                <w:bCs/>
                <w:color w:val="A9762F"/>
              </w:rPr>
              <w:t xml:space="preserve">CONEXÕES: </w:t>
            </w:r>
            <w:r>
              <w:rPr>
                <w:i/>
                <w:iCs/>
              </w:rPr>
              <w:t>art. 528, §8º, CPC; REsp 1.914.052-DF (Info 702, 2021) — precedente da pandemia que já flexibilizou a exclusividade dos ritos.</w:t>
            </w:r>
          </w:p>
        </w:tc>
      </w:tr>
    </w:tbl>
    <w:p w14:paraId="51BD7D66" w14:textId="77777777" w:rsidR="00B874B0" w:rsidRDefault="00B874B0">
      <w:pPr>
        <w:spacing w:after="160"/>
      </w:pPr>
    </w:p>
    <w:tbl>
      <w:tblPr>
        <w:tblW w:w="5000" w:type="pct"/>
        <w:tblBorders>
          <w:top w:val="single" w:sz="8" w:space="0" w:color="C9B78C"/>
          <w:left w:val="single" w:sz="8" w:space="0" w:color="C9B78C"/>
          <w:bottom w:val="single" w:sz="8" w:space="0" w:color="C9B78C"/>
          <w:right w:val="single" w:sz="8" w:space="0" w:color="C9B78C"/>
        </w:tblBorders>
        <w:tblCellMar>
          <w:left w:w="10" w:type="dxa"/>
          <w:right w:w="10" w:type="dxa"/>
        </w:tblCellMar>
        <w:tblLook w:val="04A0" w:firstRow="1" w:lastRow="0" w:firstColumn="1" w:lastColumn="0" w:noHBand="0" w:noVBand="1"/>
      </w:tblPr>
      <w:tblGrid>
        <w:gridCol w:w="9726"/>
      </w:tblGrid>
      <w:tr w:rsidR="00B874B0" w14:paraId="43BC8B90" w14:textId="77777777">
        <w:tblPrEx>
          <w:tblCellMar>
            <w:top w:w="0" w:type="dxa"/>
            <w:bottom w:w="0" w:type="dxa"/>
          </w:tblCellMar>
        </w:tblPrEx>
        <w:tc>
          <w:tcPr>
            <w:tcW w:w="5000" w:type="pct"/>
            <w:shd w:val="clear" w:color="auto" w:fill="F6F1E8"/>
            <w:tcMar>
              <w:top w:w="160" w:type="dxa"/>
              <w:left w:w="200" w:type="dxa"/>
              <w:bottom w:w="160" w:type="dxa"/>
              <w:right w:w="200" w:type="dxa"/>
            </w:tcMar>
          </w:tcPr>
          <w:p w14:paraId="6D80976E" w14:textId="77777777" w:rsidR="00B874B0" w:rsidRDefault="00000000">
            <w:pPr>
              <w:pStyle w:val="Ttulo3"/>
              <w:spacing w:after="80"/>
            </w:pPr>
            <w:bookmarkStart w:id="70" w:name="_Toc236570124"/>
            <w:r>
              <w:t>Execução de alimentos pelo rito da penhora permite a inclusão de prestações vencidas no curso do processo</w:t>
            </w:r>
            <w:bookmarkEnd w:id="70"/>
          </w:p>
          <w:p w14:paraId="793E4DF2" w14:textId="77777777" w:rsidR="00B874B0" w:rsidRDefault="00000000">
            <w:pPr>
              <w:spacing w:after="40"/>
            </w:pPr>
            <w:r>
              <w:rPr>
                <w:b/>
                <w:bCs/>
                <w:color w:val="555555"/>
                <w:sz w:val="19"/>
                <w:szCs w:val="19"/>
              </w:rPr>
              <w:t>Tribunal: STJ   |   Órgão: 4ª Turma</w:t>
            </w:r>
          </w:p>
          <w:p w14:paraId="664127D6" w14:textId="77777777" w:rsidR="00B874B0" w:rsidRDefault="00000000">
            <w:pPr>
              <w:spacing w:after="40"/>
            </w:pPr>
            <w:r>
              <w:rPr>
                <w:color w:val="555555"/>
                <w:sz w:val="19"/>
                <w:szCs w:val="19"/>
              </w:rPr>
              <w:t>Processo: REsp 1.846.966/SP   |   Relator: Min. Antonio Carlos Ferreira   |   Data: 12/09/2023</w:t>
            </w:r>
          </w:p>
          <w:p w14:paraId="6CA21E5F" w14:textId="77777777" w:rsidR="00B874B0" w:rsidRDefault="00000000">
            <w:pPr>
              <w:spacing w:after="100"/>
            </w:pPr>
            <w:r>
              <w:rPr>
                <w:i/>
                <w:iCs/>
                <w:color w:val="555555"/>
                <w:sz w:val="19"/>
                <w:szCs w:val="19"/>
              </w:rPr>
              <w:t>Sistemática: Caso isolado</w:t>
            </w:r>
          </w:p>
          <w:p w14:paraId="2274165A" w14:textId="77777777" w:rsidR="00B874B0" w:rsidRDefault="00000000">
            <w:pPr>
              <w:spacing w:after="100"/>
            </w:pPr>
            <w:r>
              <w:rPr>
                <w:b/>
                <w:bCs/>
              </w:rPr>
              <w:t xml:space="preserve">TESE FIXADA / DECISÃO: </w:t>
            </w:r>
            <w:r>
              <w:t>Apesar de o art. 528, §8º, CPC não prever expressamente (diferente do §7º, que trata do rito da prisão), a inclusão das prestações vencidas no curso da execução também é possível no rito da penhora/expropriação, por interpretação lógico-sistemática, evitando induzir o credor a optar sempre pelo rito mais gravoso (prisão).</w:t>
            </w:r>
          </w:p>
          <w:p w14:paraId="5A8A4DA4" w14:textId="77777777" w:rsidR="00B874B0" w:rsidRDefault="00000000">
            <w:pPr>
              <w:spacing w:after="100"/>
            </w:pPr>
            <w:r>
              <w:rPr>
                <w:b/>
                <w:bCs/>
              </w:rPr>
              <w:lastRenderedPageBreak/>
              <w:t xml:space="preserve">RESUMO DO CASO: </w:t>
            </w:r>
            <w:r>
              <w:t>Julgado que estende, por interpretação sistemática, a regra de inclusão automática de prestações supervenientes (prevista literalmente só para o rito da prisão) também ao rito da penhora, em nome da efetividade, celeridade e economia processual.</w:t>
            </w:r>
          </w:p>
          <w:p w14:paraId="06D16958" w14:textId="77777777" w:rsidR="00B874B0" w:rsidRDefault="00000000">
            <w:pPr>
              <w:spacing w:after="40"/>
            </w:pPr>
            <w:r>
              <w:rPr>
                <w:b/>
                <w:bCs/>
              </w:rPr>
              <w:t>COMO PODE SER COBRADO EM PROVA:</w:t>
            </w:r>
          </w:p>
          <w:p w14:paraId="2AC30380" w14:textId="77777777" w:rsidR="00B874B0" w:rsidRDefault="00000000">
            <w:pPr>
              <w:pStyle w:val="PargrafodaLista"/>
              <w:numPr>
                <w:ilvl w:val="0"/>
                <w:numId w:val="2"/>
              </w:numPr>
              <w:spacing w:after="40"/>
            </w:pPr>
            <w:r>
              <w:rPr>
                <w:b/>
                <w:bCs/>
                <w:i/>
                <w:iCs/>
              </w:rPr>
              <w:t xml:space="preserve">Objetiva: </w:t>
            </w:r>
            <w:r>
              <w:t>"só o rito da prisão permite incluir prestações vencidas no curso do processo" — FALSO após este julgado.</w:t>
            </w:r>
          </w:p>
          <w:p w14:paraId="166A17A0" w14:textId="77777777" w:rsidR="00B874B0" w:rsidRDefault="00000000">
            <w:pPr>
              <w:pStyle w:val="PargrafodaLista"/>
              <w:numPr>
                <w:ilvl w:val="0"/>
                <w:numId w:val="2"/>
              </w:numPr>
              <w:spacing w:after="40"/>
            </w:pPr>
            <w:r>
              <w:rPr>
                <w:b/>
                <w:bCs/>
                <w:i/>
                <w:iCs/>
              </w:rPr>
              <w:t xml:space="preserve">Discursiva/Sentença: </w:t>
            </w:r>
            <w:r>
              <w:t>caso de execução por penhora com parcelas vencendo durante o processo — fundamentar a inclusão automática sem necessidade de nova ação.</w:t>
            </w:r>
          </w:p>
          <w:p w14:paraId="7F190B98" w14:textId="77777777" w:rsidR="00B874B0" w:rsidRDefault="00000000">
            <w:pPr>
              <w:pStyle w:val="PargrafodaLista"/>
              <w:numPr>
                <w:ilvl w:val="0"/>
                <w:numId w:val="2"/>
              </w:numPr>
              <w:spacing w:after="100"/>
            </w:pPr>
            <w:r>
              <w:rPr>
                <w:b/>
                <w:bCs/>
                <w:i/>
                <w:iCs/>
              </w:rPr>
              <w:t xml:space="preserve">Oral: </w:t>
            </w:r>
            <w:r>
              <w:t>"As prestações que vencem durante a execução de alimentos precisam de nova ação? Isso vale para todos os ritos?"</w:t>
            </w:r>
          </w:p>
          <w:p w14:paraId="7EDEC871" w14:textId="77777777" w:rsidR="00B874B0" w:rsidRDefault="00000000">
            <w:r>
              <w:rPr>
                <w:b/>
                <w:bCs/>
                <w:color w:val="A9762F"/>
              </w:rPr>
              <w:t xml:space="preserve">CONEXÕES: </w:t>
            </w:r>
            <w:r>
              <w:rPr>
                <w:i/>
                <w:iCs/>
              </w:rPr>
              <w:t>art. 528, §§7º e 8º, CPC; princípios da efetividade, celeridade e economia processual; ver também cumulação de ritos (REsp 1.930.593/MG).</w:t>
            </w:r>
          </w:p>
        </w:tc>
      </w:tr>
    </w:tbl>
    <w:p w14:paraId="3342FE89" w14:textId="77777777" w:rsidR="00B874B0" w:rsidRDefault="00B874B0">
      <w:pPr>
        <w:spacing w:after="160"/>
      </w:pPr>
    </w:p>
    <w:p w14:paraId="2C2BA4D6" w14:textId="77777777" w:rsidR="00B874B0" w:rsidRDefault="00000000">
      <w:pPr>
        <w:pStyle w:val="Ttulo2"/>
        <w:spacing w:after="160"/>
      </w:pPr>
      <w:bookmarkStart w:id="71" w:name="_Toc236570125"/>
      <w:r>
        <w:t>GRUPO 6 — Aspectos processuais gerais da ação de alimentos</w:t>
      </w:r>
      <w:bookmarkEnd w:id="71"/>
    </w:p>
    <w:tbl>
      <w:tblPr>
        <w:tblW w:w="5000" w:type="pct"/>
        <w:tblBorders>
          <w:top w:val="single" w:sz="8" w:space="0" w:color="C9B78C"/>
          <w:left w:val="single" w:sz="8" w:space="0" w:color="C9B78C"/>
          <w:bottom w:val="single" w:sz="8" w:space="0" w:color="C9B78C"/>
          <w:right w:val="single" w:sz="8" w:space="0" w:color="C9B78C"/>
        </w:tblBorders>
        <w:tblCellMar>
          <w:left w:w="10" w:type="dxa"/>
          <w:right w:w="10" w:type="dxa"/>
        </w:tblCellMar>
        <w:tblLook w:val="04A0" w:firstRow="1" w:lastRow="0" w:firstColumn="1" w:lastColumn="0" w:noHBand="0" w:noVBand="1"/>
      </w:tblPr>
      <w:tblGrid>
        <w:gridCol w:w="9726"/>
      </w:tblGrid>
      <w:tr w:rsidR="00B874B0" w14:paraId="59CE4FAC" w14:textId="77777777">
        <w:tblPrEx>
          <w:tblCellMar>
            <w:top w:w="0" w:type="dxa"/>
            <w:bottom w:w="0" w:type="dxa"/>
          </w:tblCellMar>
        </w:tblPrEx>
        <w:tc>
          <w:tcPr>
            <w:tcW w:w="5000" w:type="pct"/>
            <w:shd w:val="clear" w:color="auto" w:fill="F6F1E8"/>
            <w:tcMar>
              <w:top w:w="160" w:type="dxa"/>
              <w:left w:w="200" w:type="dxa"/>
              <w:bottom w:w="160" w:type="dxa"/>
              <w:right w:w="200" w:type="dxa"/>
            </w:tcMar>
          </w:tcPr>
          <w:p w14:paraId="215F8222" w14:textId="77777777" w:rsidR="00B874B0" w:rsidRDefault="00000000">
            <w:pPr>
              <w:pStyle w:val="Ttulo3"/>
              <w:spacing w:after="80"/>
            </w:pPr>
            <w:bookmarkStart w:id="72" w:name="_Toc236570126"/>
            <w:r>
              <w:t>É compatível com a CF/88 a dispensa de advogado na audiência inicial do rito especial da ação de alimentos (Lei 5.478/68)</w:t>
            </w:r>
            <w:bookmarkEnd w:id="72"/>
          </w:p>
          <w:p w14:paraId="68100467" w14:textId="77777777" w:rsidR="00B874B0" w:rsidRDefault="00000000">
            <w:pPr>
              <w:spacing w:after="40"/>
            </w:pPr>
            <w:r>
              <w:rPr>
                <w:b/>
                <w:bCs/>
                <w:color w:val="555555"/>
                <w:sz w:val="19"/>
                <w:szCs w:val="19"/>
              </w:rPr>
              <w:t>Tribunal: STF   |   Órgão: Plenário</w:t>
            </w:r>
          </w:p>
          <w:p w14:paraId="4985CA25" w14:textId="77777777" w:rsidR="00B874B0" w:rsidRDefault="00000000">
            <w:pPr>
              <w:spacing w:after="40"/>
            </w:pPr>
            <w:r>
              <w:rPr>
                <w:color w:val="555555"/>
                <w:sz w:val="19"/>
                <w:szCs w:val="19"/>
              </w:rPr>
              <w:t>Processo: ADPF 591/DF   |   Relator: Min. Cristiano Zanin   |   Data: 19/08/2024</w:t>
            </w:r>
          </w:p>
          <w:p w14:paraId="2CA8C868" w14:textId="77777777" w:rsidR="00B874B0" w:rsidRDefault="00000000">
            <w:pPr>
              <w:spacing w:after="100"/>
            </w:pPr>
            <w:r>
              <w:rPr>
                <w:i/>
                <w:iCs/>
                <w:color w:val="555555"/>
                <w:sz w:val="19"/>
                <w:szCs w:val="19"/>
              </w:rPr>
              <w:t>Sistemática: Controle concentrado (ADPF), julgado pelo Plenário do STF</w:t>
            </w:r>
          </w:p>
          <w:p w14:paraId="621D04E3" w14:textId="77777777" w:rsidR="00B874B0" w:rsidRDefault="00000000">
            <w:pPr>
              <w:spacing w:after="100"/>
            </w:pPr>
            <w:r>
              <w:rPr>
                <w:b/>
                <w:bCs/>
              </w:rPr>
              <w:t xml:space="preserve">TESE FIXADA / DECISÃO: </w:t>
            </w:r>
            <w:r>
              <w:t>A norma da Lei 5.478/1968 (Lei de Alimentos) que dispensa a assistência de advogado na audiência inicial do rito especial da ação de alimentos é compatível com a CF/88, por conta do acesso à Justiça e da celeridade em procedimentos de menor complexidade, ligados à dignidade da pessoa humana. Nas fases subsequentes, o advogado é obrigatório.</w:t>
            </w:r>
          </w:p>
          <w:p w14:paraId="0E5160C5" w14:textId="77777777" w:rsidR="00B874B0" w:rsidRDefault="00000000">
            <w:pPr>
              <w:spacing w:after="100"/>
            </w:pPr>
            <w:r>
              <w:rPr>
                <w:b/>
                <w:bCs/>
              </w:rPr>
              <w:t xml:space="preserve">RESUMO DO CASO: </w:t>
            </w:r>
            <w:r>
              <w:t>ADPF questionava a constitucionalidade da possibilidade de o credor de alimentos comparecer pessoalmente, sem advogado, à audiência inicial da ação de alimentos (arts. 2º e 3º da Lei 5.478/68, preservados mesmo após o CPC/2015). O STF julgou improcedente, validando a norma como exceção legítima à indispensabilidade do advogado (art. 133, CF).</w:t>
            </w:r>
          </w:p>
          <w:p w14:paraId="62FA130C" w14:textId="77777777" w:rsidR="00B874B0" w:rsidRDefault="00000000">
            <w:pPr>
              <w:spacing w:after="40"/>
            </w:pPr>
            <w:r>
              <w:rPr>
                <w:b/>
                <w:bCs/>
              </w:rPr>
              <w:t>COMO PODE SER COBRADO EM PROVA:</w:t>
            </w:r>
          </w:p>
          <w:p w14:paraId="2EB99704" w14:textId="77777777" w:rsidR="00B874B0" w:rsidRDefault="00000000">
            <w:pPr>
              <w:pStyle w:val="PargrafodaLista"/>
              <w:numPr>
                <w:ilvl w:val="0"/>
                <w:numId w:val="2"/>
              </w:numPr>
              <w:spacing w:after="40"/>
            </w:pPr>
            <w:r>
              <w:rPr>
                <w:b/>
                <w:bCs/>
                <w:i/>
                <w:iCs/>
              </w:rPr>
              <w:t xml:space="preserve">Objetiva: </w:t>
            </w:r>
            <w:r>
              <w:t>julgado de controle concentrado (ADPF) — alta probabilidade de cobrança literal da tese; atenção à exceção à indispensabilidade do advogado (art. 133 CF).</w:t>
            </w:r>
          </w:p>
          <w:p w14:paraId="20E33E42" w14:textId="77777777" w:rsidR="00B874B0" w:rsidRDefault="00000000">
            <w:pPr>
              <w:pStyle w:val="PargrafodaLista"/>
              <w:numPr>
                <w:ilvl w:val="0"/>
                <w:numId w:val="2"/>
              </w:numPr>
              <w:spacing w:after="40"/>
            </w:pPr>
            <w:r>
              <w:rPr>
                <w:b/>
                <w:bCs/>
                <w:i/>
                <w:iCs/>
              </w:rPr>
              <w:t xml:space="preserve">Discursiva/Sentença: </w:t>
            </w:r>
            <w:r>
              <w:t>questionamento sobre a constitucionalidade da Lei de Alimentos permitir comparecimento pessoal sem advogado — pedir fundamentação da compatibilidade com a CF.</w:t>
            </w:r>
          </w:p>
          <w:p w14:paraId="48D84098" w14:textId="77777777" w:rsidR="00B874B0" w:rsidRDefault="00000000">
            <w:pPr>
              <w:pStyle w:val="PargrafodaLista"/>
              <w:numPr>
                <w:ilvl w:val="0"/>
                <w:numId w:val="2"/>
              </w:numPr>
              <w:spacing w:after="100"/>
            </w:pPr>
            <w:r>
              <w:rPr>
                <w:b/>
                <w:bCs/>
                <w:i/>
                <w:iCs/>
              </w:rPr>
              <w:t xml:space="preserve">Oral: </w:t>
            </w:r>
            <w:r>
              <w:t>"A assistência de advogado é sempre indispensável no processo civil? Dê exemplo de exceção validada pelo STF."</w:t>
            </w:r>
          </w:p>
          <w:p w14:paraId="2B32E029" w14:textId="77777777" w:rsidR="00B874B0" w:rsidRDefault="00000000">
            <w:r>
              <w:rPr>
                <w:b/>
                <w:bCs/>
                <w:color w:val="A9762F"/>
              </w:rPr>
              <w:t xml:space="preserve">CONEXÕES: </w:t>
            </w:r>
            <w:r>
              <w:rPr>
                <w:i/>
                <w:iCs/>
              </w:rPr>
              <w:t>art. 133 e art. 5º, LV, CF/88; arts. 2º e 3º, Lei 5.478/68 (Lei de Alimentos); rito especial da ação de alimentos.</w:t>
            </w:r>
          </w:p>
        </w:tc>
      </w:tr>
    </w:tbl>
    <w:p w14:paraId="5AD35DF6" w14:textId="77777777" w:rsidR="00B874B0" w:rsidRDefault="00B874B0">
      <w:pPr>
        <w:spacing w:after="160"/>
      </w:pPr>
    </w:p>
    <w:tbl>
      <w:tblPr>
        <w:tblW w:w="5000" w:type="pct"/>
        <w:tblBorders>
          <w:top w:val="single" w:sz="8" w:space="0" w:color="C9B78C"/>
          <w:left w:val="single" w:sz="8" w:space="0" w:color="C9B78C"/>
          <w:bottom w:val="single" w:sz="8" w:space="0" w:color="C9B78C"/>
          <w:right w:val="single" w:sz="8" w:space="0" w:color="C9B78C"/>
        </w:tblBorders>
        <w:tblCellMar>
          <w:left w:w="10" w:type="dxa"/>
          <w:right w:w="10" w:type="dxa"/>
        </w:tblCellMar>
        <w:tblLook w:val="04A0" w:firstRow="1" w:lastRow="0" w:firstColumn="1" w:lastColumn="0" w:noHBand="0" w:noVBand="1"/>
      </w:tblPr>
      <w:tblGrid>
        <w:gridCol w:w="9726"/>
      </w:tblGrid>
      <w:tr w:rsidR="00B874B0" w14:paraId="1D5D1508" w14:textId="77777777">
        <w:tblPrEx>
          <w:tblCellMar>
            <w:top w:w="0" w:type="dxa"/>
            <w:bottom w:w="0" w:type="dxa"/>
          </w:tblCellMar>
        </w:tblPrEx>
        <w:tc>
          <w:tcPr>
            <w:tcW w:w="5000" w:type="pct"/>
            <w:shd w:val="clear" w:color="auto" w:fill="F6F1E8"/>
            <w:tcMar>
              <w:top w:w="160" w:type="dxa"/>
              <w:left w:w="200" w:type="dxa"/>
              <w:bottom w:w="160" w:type="dxa"/>
              <w:right w:w="200" w:type="dxa"/>
            </w:tcMar>
          </w:tcPr>
          <w:p w14:paraId="79C89675" w14:textId="77777777" w:rsidR="00B874B0" w:rsidRDefault="00000000">
            <w:pPr>
              <w:pStyle w:val="Ttulo3"/>
              <w:spacing w:after="80"/>
            </w:pPr>
            <w:bookmarkStart w:id="73" w:name="_Toc236570127"/>
            <w:r>
              <w:t>Abandono de ação de alimentos pelo representante legal configura conflito de interesses e autoriza nomeação da Defensoria Pública como curadora especial</w:t>
            </w:r>
            <w:bookmarkEnd w:id="73"/>
          </w:p>
          <w:p w14:paraId="1F40FC85" w14:textId="77777777" w:rsidR="00B874B0" w:rsidRDefault="00000000">
            <w:pPr>
              <w:spacing w:after="40"/>
            </w:pPr>
            <w:r>
              <w:rPr>
                <w:b/>
                <w:bCs/>
                <w:color w:val="555555"/>
                <w:sz w:val="19"/>
                <w:szCs w:val="19"/>
              </w:rPr>
              <w:t>Tribunal: STJ   |   Órgão: 3ª Turma</w:t>
            </w:r>
          </w:p>
          <w:p w14:paraId="1B243117" w14:textId="77777777" w:rsidR="00B874B0" w:rsidRDefault="00000000">
            <w:pPr>
              <w:spacing w:after="40"/>
            </w:pPr>
            <w:r>
              <w:rPr>
                <w:color w:val="555555"/>
                <w:sz w:val="19"/>
                <w:szCs w:val="19"/>
              </w:rPr>
              <w:t>Processo: REsp 2.190.079-RJ   |   Relator: Min. Nancy Andrighi   |   Data: 07/10/2025</w:t>
            </w:r>
          </w:p>
          <w:p w14:paraId="567C10BA" w14:textId="77777777" w:rsidR="00B874B0" w:rsidRDefault="00000000">
            <w:pPr>
              <w:spacing w:after="100"/>
            </w:pPr>
            <w:r>
              <w:rPr>
                <w:i/>
                <w:iCs/>
                <w:color w:val="555555"/>
                <w:sz w:val="19"/>
                <w:szCs w:val="19"/>
              </w:rPr>
              <w:t>Sistemática: Caso isolado</w:t>
            </w:r>
          </w:p>
          <w:p w14:paraId="709A9372" w14:textId="77777777" w:rsidR="00B874B0" w:rsidRDefault="00000000">
            <w:pPr>
              <w:spacing w:after="100"/>
            </w:pPr>
            <w:r>
              <w:rPr>
                <w:b/>
                <w:bCs/>
              </w:rPr>
              <w:t xml:space="preserve">TESE FIXADA / DECISÃO: </w:t>
            </w:r>
            <w:r>
              <w:t xml:space="preserve">O abandono da ação de alimentos por representante legal de criança/adolescente configura conflito de interesses (art. 72, I, CPC c/c art. 142, parágrafo único, ECA), autorizando a nomeação </w:t>
            </w:r>
            <w:r>
              <w:lastRenderedPageBreak/>
              <w:t>de curador especial (Defensoria Pública), afastando a extinção automática por abandono da causa (art. 485, III, CPC).</w:t>
            </w:r>
          </w:p>
          <w:p w14:paraId="7517817C" w14:textId="77777777" w:rsidR="00B874B0" w:rsidRDefault="00000000">
            <w:pPr>
              <w:spacing w:after="100"/>
            </w:pPr>
            <w:r>
              <w:rPr>
                <w:b/>
                <w:bCs/>
              </w:rPr>
              <w:t xml:space="preserve">RESUMO DO CASO: </w:t>
            </w:r>
            <w:r>
              <w:t>Mãe ajuizou ação de alimentos em nome do filho, obteve alimentos provisórios e depois abandonou o processo. O juiz extinguiu por abandono; a Defensoria Pública recorreu pedindo nomeação como curadora especial, o que foi acolhido pelo STJ com base no melhor interesse da criança.</w:t>
            </w:r>
          </w:p>
          <w:p w14:paraId="21CF62AB" w14:textId="77777777" w:rsidR="00B874B0" w:rsidRDefault="00000000">
            <w:pPr>
              <w:spacing w:after="40"/>
            </w:pPr>
            <w:r>
              <w:rPr>
                <w:b/>
                <w:bCs/>
              </w:rPr>
              <w:t>COMO PODE SER COBRADO EM PROVA:</w:t>
            </w:r>
          </w:p>
          <w:p w14:paraId="2C08EDE6" w14:textId="77777777" w:rsidR="00B874B0" w:rsidRDefault="00000000">
            <w:pPr>
              <w:pStyle w:val="PargrafodaLista"/>
              <w:numPr>
                <w:ilvl w:val="0"/>
                <w:numId w:val="2"/>
              </w:numPr>
              <w:spacing w:after="40"/>
            </w:pPr>
            <w:r>
              <w:rPr>
                <w:b/>
                <w:bCs/>
                <w:i/>
                <w:iCs/>
              </w:rPr>
              <w:t xml:space="preserve">Objetiva: </w:t>
            </w:r>
            <w:r>
              <w:t>"o abandono da causa pelo representante legal sempre gera extinção do processo sem análise de mérito" — FALSO em ações de alimentos de incapazes.</w:t>
            </w:r>
          </w:p>
          <w:p w14:paraId="6D9B57BC" w14:textId="77777777" w:rsidR="00B874B0" w:rsidRDefault="00000000">
            <w:pPr>
              <w:pStyle w:val="PargrafodaLista"/>
              <w:numPr>
                <w:ilvl w:val="0"/>
                <w:numId w:val="2"/>
              </w:numPr>
              <w:spacing w:after="40"/>
            </w:pPr>
            <w:r>
              <w:rPr>
                <w:b/>
                <w:bCs/>
                <w:i/>
                <w:iCs/>
              </w:rPr>
              <w:t xml:space="preserve">Discursiva/Sentença: </w:t>
            </w:r>
            <w:r>
              <w:t>caso de extinção por abandono de ação de alimentos de criança — pedir decisão reformando a extinção e nomeando curador especial.</w:t>
            </w:r>
          </w:p>
          <w:p w14:paraId="7B81B690" w14:textId="77777777" w:rsidR="00B874B0" w:rsidRDefault="00000000">
            <w:pPr>
              <w:pStyle w:val="PargrafodaLista"/>
              <w:numPr>
                <w:ilvl w:val="0"/>
                <w:numId w:val="2"/>
              </w:numPr>
              <w:spacing w:after="100"/>
            </w:pPr>
            <w:r>
              <w:rPr>
                <w:b/>
                <w:bCs/>
                <w:i/>
                <w:iCs/>
              </w:rPr>
              <w:t xml:space="preserve">Oral: </w:t>
            </w:r>
            <w:r>
              <w:t>"O que fazer quando o representante legal de uma criança abandona a ação de alimentos que ajuizou em seu nome?"</w:t>
            </w:r>
          </w:p>
          <w:p w14:paraId="3A45A87A" w14:textId="77777777" w:rsidR="00B874B0" w:rsidRDefault="00000000">
            <w:r>
              <w:rPr>
                <w:b/>
                <w:bCs/>
                <w:color w:val="A9762F"/>
              </w:rPr>
              <w:t xml:space="preserve">CONEXÕES: </w:t>
            </w:r>
            <w:r>
              <w:rPr>
                <w:i/>
                <w:iCs/>
              </w:rPr>
              <w:t>art. 72, I, CPC; art. 142, parágrafo único, ECA; art. 485, III, CPC; princípio do melhor interesse da criança.</w:t>
            </w:r>
          </w:p>
        </w:tc>
      </w:tr>
    </w:tbl>
    <w:p w14:paraId="16FC9D0A" w14:textId="77777777" w:rsidR="00B874B0" w:rsidRDefault="00B874B0">
      <w:pPr>
        <w:spacing w:after="160"/>
      </w:pPr>
    </w:p>
    <w:tbl>
      <w:tblPr>
        <w:tblW w:w="5000" w:type="pct"/>
        <w:tblBorders>
          <w:top w:val="single" w:sz="8" w:space="0" w:color="C9B78C"/>
          <w:left w:val="single" w:sz="8" w:space="0" w:color="C9B78C"/>
          <w:bottom w:val="single" w:sz="8" w:space="0" w:color="C9B78C"/>
          <w:right w:val="single" w:sz="8" w:space="0" w:color="C9B78C"/>
        </w:tblBorders>
        <w:tblCellMar>
          <w:left w:w="10" w:type="dxa"/>
          <w:right w:w="10" w:type="dxa"/>
        </w:tblCellMar>
        <w:tblLook w:val="04A0" w:firstRow="1" w:lastRow="0" w:firstColumn="1" w:lastColumn="0" w:noHBand="0" w:noVBand="1"/>
      </w:tblPr>
      <w:tblGrid>
        <w:gridCol w:w="9726"/>
      </w:tblGrid>
      <w:tr w:rsidR="00B874B0" w14:paraId="408E7641" w14:textId="77777777">
        <w:tblPrEx>
          <w:tblCellMar>
            <w:top w:w="0" w:type="dxa"/>
            <w:bottom w:w="0" w:type="dxa"/>
          </w:tblCellMar>
        </w:tblPrEx>
        <w:tc>
          <w:tcPr>
            <w:tcW w:w="5000" w:type="pct"/>
            <w:shd w:val="clear" w:color="auto" w:fill="F6F1E8"/>
            <w:tcMar>
              <w:top w:w="160" w:type="dxa"/>
              <w:left w:w="200" w:type="dxa"/>
              <w:bottom w:w="160" w:type="dxa"/>
              <w:right w:w="200" w:type="dxa"/>
            </w:tcMar>
          </w:tcPr>
          <w:p w14:paraId="742146E5" w14:textId="77777777" w:rsidR="00B874B0" w:rsidRDefault="00000000">
            <w:pPr>
              <w:pStyle w:val="Ttulo3"/>
              <w:spacing w:after="80"/>
            </w:pPr>
            <w:bookmarkStart w:id="74" w:name="_Toc236570128"/>
            <w:r>
              <w:t>O autor não pode desistir de ação de alimentos, mesmo antes da contestação, se isso prejudicar interesses de pessoa com deficiência beneficiada</w:t>
            </w:r>
            <w:bookmarkEnd w:id="74"/>
          </w:p>
          <w:p w14:paraId="3BA9BD39" w14:textId="77777777" w:rsidR="00B874B0" w:rsidRDefault="00000000">
            <w:pPr>
              <w:spacing w:after="40"/>
            </w:pPr>
            <w:r>
              <w:rPr>
                <w:b/>
                <w:bCs/>
                <w:color w:val="555555"/>
                <w:sz w:val="19"/>
                <w:szCs w:val="19"/>
              </w:rPr>
              <w:t>Tribunal: STJ   |   Órgão: 3ª Turma</w:t>
            </w:r>
          </w:p>
          <w:p w14:paraId="79CCFB43" w14:textId="77777777" w:rsidR="00B874B0" w:rsidRDefault="00000000">
            <w:pPr>
              <w:spacing w:after="40"/>
            </w:pPr>
            <w:r>
              <w:rPr>
                <w:color w:val="555555"/>
                <w:sz w:val="19"/>
                <w:szCs w:val="19"/>
              </w:rPr>
              <w:t>Processo: REsp 2.167.135-RJ   |   Relator: Min. Moura Ribeiro   |   Data: 10/12/2024</w:t>
            </w:r>
          </w:p>
          <w:p w14:paraId="47D02516" w14:textId="77777777" w:rsidR="00B874B0" w:rsidRDefault="00000000">
            <w:pPr>
              <w:spacing w:after="100"/>
            </w:pPr>
            <w:r>
              <w:rPr>
                <w:i/>
                <w:iCs/>
                <w:color w:val="555555"/>
                <w:sz w:val="19"/>
                <w:szCs w:val="19"/>
              </w:rPr>
              <w:t>Sistemática: Caso isolado</w:t>
            </w:r>
          </w:p>
          <w:p w14:paraId="172B9EA0" w14:textId="77777777" w:rsidR="00B874B0" w:rsidRDefault="00000000">
            <w:pPr>
              <w:spacing w:after="100"/>
            </w:pPr>
            <w:r>
              <w:rPr>
                <w:b/>
                <w:bCs/>
              </w:rPr>
              <w:t xml:space="preserve">TESE FIXADA / DECISÃO: </w:t>
            </w:r>
            <w:r>
              <w:t>O direito processual de desistir da ação (art. 485, §4º, CPC — dispensa de anuência da parte contrária antes da contestação) não pode se sobrepor aos interesses de pessoa com deficiência protegidos pelo Estatuto da Pessoa com Deficiência, quando a desistência prejudicar tais interesses.</w:t>
            </w:r>
          </w:p>
          <w:p w14:paraId="7F712D99" w14:textId="77777777" w:rsidR="00B874B0" w:rsidRDefault="00000000">
            <w:pPr>
              <w:spacing w:after="100"/>
            </w:pPr>
            <w:r>
              <w:rPr>
                <w:b/>
                <w:bCs/>
              </w:rPr>
              <w:t xml:space="preserve">RESUMO DO CASO: </w:t>
            </w:r>
            <w:r>
              <w:t>Pai ajuizou ação de oferecimento de alimentos em favor da filha com Síndrome de Down e tentou desistir antes da contestação, por motivos alheios ao mérito (litígio patrimonial com a ex-esposa). O STJ negou a desistência, reconhecendo má-fé e priorizando os interesses da pessoa com deficiência.</w:t>
            </w:r>
          </w:p>
          <w:p w14:paraId="33EF3FBE" w14:textId="77777777" w:rsidR="00B874B0" w:rsidRDefault="00000000">
            <w:pPr>
              <w:spacing w:after="40"/>
            </w:pPr>
            <w:r>
              <w:rPr>
                <w:b/>
                <w:bCs/>
              </w:rPr>
              <w:t>COMO PODE SER COBRADO EM PROVA:</w:t>
            </w:r>
          </w:p>
          <w:p w14:paraId="7C6D2AEB" w14:textId="77777777" w:rsidR="00B874B0" w:rsidRDefault="00000000">
            <w:pPr>
              <w:pStyle w:val="PargrafodaLista"/>
              <w:numPr>
                <w:ilvl w:val="0"/>
                <w:numId w:val="2"/>
              </w:numPr>
              <w:spacing w:after="40"/>
            </w:pPr>
            <w:r>
              <w:rPr>
                <w:b/>
                <w:bCs/>
                <w:i/>
                <w:iCs/>
              </w:rPr>
              <w:t xml:space="preserve">Objetiva: </w:t>
            </w:r>
            <w:r>
              <w:t>exceção à regra do art. 485, §4º, CPC (desistência livre antes da contestação) quando há interesse de pessoa vulnerável em jogo.</w:t>
            </w:r>
          </w:p>
          <w:p w14:paraId="031483D8" w14:textId="77777777" w:rsidR="00B874B0" w:rsidRDefault="00000000">
            <w:pPr>
              <w:pStyle w:val="PargrafodaLista"/>
              <w:numPr>
                <w:ilvl w:val="0"/>
                <w:numId w:val="2"/>
              </w:numPr>
              <w:spacing w:after="40"/>
            </w:pPr>
            <w:r>
              <w:rPr>
                <w:b/>
                <w:bCs/>
                <w:i/>
                <w:iCs/>
              </w:rPr>
              <w:t xml:space="preserve">Discursiva/Sentença: </w:t>
            </w:r>
            <w:r>
              <w:t>caso de tentativa de desistência de ação de alimentos em prejuízo de beneficiário vulnerável — fundamentar o indeferimento.</w:t>
            </w:r>
          </w:p>
          <w:p w14:paraId="45129C5B" w14:textId="77777777" w:rsidR="00B874B0" w:rsidRDefault="00000000">
            <w:pPr>
              <w:pStyle w:val="PargrafodaLista"/>
              <w:numPr>
                <w:ilvl w:val="0"/>
                <w:numId w:val="2"/>
              </w:numPr>
              <w:spacing w:after="100"/>
            </w:pPr>
            <w:r>
              <w:rPr>
                <w:b/>
                <w:bCs/>
                <w:i/>
                <w:iCs/>
              </w:rPr>
              <w:t xml:space="preserve">Oral: </w:t>
            </w:r>
            <w:r>
              <w:t>"A desistência da ação antes da contestação é sempre livre? Há exceções envolvendo vulneráveis?"</w:t>
            </w:r>
          </w:p>
          <w:p w14:paraId="76053350" w14:textId="77777777" w:rsidR="00B874B0" w:rsidRDefault="00000000">
            <w:r>
              <w:rPr>
                <w:b/>
                <w:bCs/>
                <w:color w:val="A9762F"/>
              </w:rPr>
              <w:t xml:space="preserve">CONEXÕES: </w:t>
            </w:r>
            <w:r>
              <w:rPr>
                <w:i/>
                <w:iCs/>
              </w:rPr>
              <w:t>art. 485, §4º, CPC; Estatuto da Pessoa com Deficiência (Lei 13.146/2015); interesse de vulneráveis como limite a atos de disposição processual.</w:t>
            </w:r>
          </w:p>
        </w:tc>
      </w:tr>
    </w:tbl>
    <w:p w14:paraId="345B6E8F" w14:textId="77777777" w:rsidR="00B874B0" w:rsidRDefault="00B874B0">
      <w:pPr>
        <w:spacing w:after="160"/>
      </w:pPr>
    </w:p>
    <w:tbl>
      <w:tblPr>
        <w:tblW w:w="5000" w:type="pct"/>
        <w:tblBorders>
          <w:top w:val="single" w:sz="8" w:space="0" w:color="C9B78C"/>
          <w:left w:val="single" w:sz="8" w:space="0" w:color="C9B78C"/>
          <w:bottom w:val="single" w:sz="8" w:space="0" w:color="C9B78C"/>
          <w:right w:val="single" w:sz="8" w:space="0" w:color="C9B78C"/>
        </w:tblBorders>
        <w:tblCellMar>
          <w:left w:w="10" w:type="dxa"/>
          <w:right w:w="10" w:type="dxa"/>
        </w:tblCellMar>
        <w:tblLook w:val="04A0" w:firstRow="1" w:lastRow="0" w:firstColumn="1" w:lastColumn="0" w:noHBand="0" w:noVBand="1"/>
      </w:tblPr>
      <w:tblGrid>
        <w:gridCol w:w="9726"/>
      </w:tblGrid>
      <w:tr w:rsidR="00B874B0" w14:paraId="727342EB" w14:textId="77777777">
        <w:tblPrEx>
          <w:tblCellMar>
            <w:top w:w="0" w:type="dxa"/>
            <w:bottom w:w="0" w:type="dxa"/>
          </w:tblCellMar>
        </w:tblPrEx>
        <w:tc>
          <w:tcPr>
            <w:tcW w:w="5000" w:type="pct"/>
            <w:shd w:val="clear" w:color="auto" w:fill="F6F1E8"/>
            <w:tcMar>
              <w:top w:w="160" w:type="dxa"/>
              <w:left w:w="200" w:type="dxa"/>
              <w:bottom w:w="160" w:type="dxa"/>
              <w:right w:w="200" w:type="dxa"/>
            </w:tcMar>
          </w:tcPr>
          <w:p w14:paraId="32AD40B6" w14:textId="77777777" w:rsidR="00B874B0" w:rsidRDefault="00000000">
            <w:pPr>
              <w:pStyle w:val="Ttulo3"/>
              <w:spacing w:after="80"/>
            </w:pPr>
            <w:bookmarkStart w:id="75" w:name="_Toc236570129"/>
            <w:r>
              <w:t>Ação de exigir contas do alimentante contra a guardiã do alimentando: divergência entre a 3ª e a 4ª Turma do STJ</w:t>
            </w:r>
            <w:bookmarkEnd w:id="75"/>
          </w:p>
          <w:p w14:paraId="3B985B03" w14:textId="77777777" w:rsidR="00B874B0" w:rsidRDefault="00000000">
            <w:pPr>
              <w:spacing w:after="40"/>
            </w:pPr>
            <w:r>
              <w:rPr>
                <w:b/>
                <w:bCs/>
                <w:color w:val="555555"/>
                <w:sz w:val="19"/>
                <w:szCs w:val="19"/>
              </w:rPr>
              <w:t>Tribunal: STJ   |   Órgão: 4ª Turma (SIM) x 3ª Turma (NÃO)</w:t>
            </w:r>
          </w:p>
          <w:p w14:paraId="5EE85436" w14:textId="77777777" w:rsidR="00B874B0" w:rsidRDefault="00000000">
            <w:pPr>
              <w:spacing w:after="40"/>
            </w:pPr>
            <w:r>
              <w:rPr>
                <w:color w:val="555555"/>
                <w:sz w:val="19"/>
                <w:szCs w:val="19"/>
              </w:rPr>
              <w:t>Processo: REsp 1.911.030-PR, Rel. Min. Luis Felipe Salomão, julgado em 01/06/2021 (Info 699) x REsp 1.767.456-MG, Rel. Min. Ricardo Villas Bôas Cueva, julgado em 25/11/2021 (Info 720)</w:t>
            </w:r>
          </w:p>
          <w:p w14:paraId="11F37875" w14:textId="77777777" w:rsidR="00B874B0" w:rsidRDefault="00000000">
            <w:pPr>
              <w:spacing w:after="100"/>
            </w:pPr>
            <w:r>
              <w:rPr>
                <w:i/>
                <w:iCs/>
                <w:color w:val="555555"/>
                <w:sz w:val="19"/>
                <w:szCs w:val="19"/>
              </w:rPr>
              <w:t>Sistemática: Divergência entre Turmas (caso isolado em cada colegiado)</w:t>
            </w:r>
          </w:p>
          <w:p w14:paraId="4460D601" w14:textId="77777777" w:rsidR="00B874B0" w:rsidRDefault="00000000">
            <w:pPr>
              <w:spacing w:after="100"/>
            </w:pPr>
            <w:r>
              <w:rPr>
                <w:b/>
                <w:bCs/>
              </w:rPr>
              <w:t xml:space="preserve">TESE FIXADA / DECISÃO: </w:t>
            </w:r>
            <w:r>
              <w:t>4ª Turma: o alimentante TEM interesse processual em propor ação de prestação de contas contra o guardião, com base no poder-dever fiscalizatório do art. 1.589 CC. 3ª Turma: o alimentante NÃO tem interesse processual, pois a ação de prestação de contas pressupõe apuração de crédito/débito, inexistente nos alimentos (irrepetíveis).</w:t>
            </w:r>
          </w:p>
          <w:p w14:paraId="51FEB25D" w14:textId="77777777" w:rsidR="00B874B0" w:rsidRDefault="00000000">
            <w:pPr>
              <w:spacing w:after="100"/>
            </w:pPr>
            <w:r>
              <w:rPr>
                <w:b/>
                <w:bCs/>
              </w:rPr>
              <w:lastRenderedPageBreak/>
              <w:t xml:space="preserve">RESUMO DO CASO: </w:t>
            </w:r>
            <w:r>
              <w:t>Duas Turmas do STJ divergiram, em julgados próximos, sobre se o genitor pagador de pensão pode exigir contas do genitor guardião quanto à destinação dos valores — uma reconhece o interesse fiscalizatório (art. 1.589 CC), a outra nega por ausência de utilidade jurídica (alimentos não geram crédito em favor de quem paga).</w:t>
            </w:r>
          </w:p>
          <w:p w14:paraId="330D76FF" w14:textId="77777777" w:rsidR="00B874B0" w:rsidRDefault="00000000">
            <w:pPr>
              <w:spacing w:after="40"/>
            </w:pPr>
            <w:r>
              <w:rPr>
                <w:b/>
                <w:bCs/>
              </w:rPr>
              <w:t>COMO PODE SER COBRADO EM PROVA:</w:t>
            </w:r>
          </w:p>
          <w:p w14:paraId="269AECFB" w14:textId="77777777" w:rsidR="00B874B0" w:rsidRDefault="00000000">
            <w:pPr>
              <w:pStyle w:val="PargrafodaLista"/>
              <w:numPr>
                <w:ilvl w:val="0"/>
                <w:numId w:val="2"/>
              </w:numPr>
              <w:spacing w:after="40"/>
            </w:pPr>
            <w:r>
              <w:rPr>
                <w:b/>
                <w:bCs/>
                <w:i/>
                <w:iCs/>
              </w:rPr>
              <w:t xml:space="preserve">Objetiva: </w:t>
            </w:r>
            <w:r>
              <w:t>excelente questão de "pegadinha de banca" ao expor as duas posições e perguntar qual prevaleceu ou qual o fundamento de cada uma.</w:t>
            </w:r>
          </w:p>
          <w:p w14:paraId="20821295" w14:textId="77777777" w:rsidR="00B874B0" w:rsidRDefault="00000000">
            <w:pPr>
              <w:pStyle w:val="PargrafodaLista"/>
              <w:numPr>
                <w:ilvl w:val="0"/>
                <w:numId w:val="2"/>
              </w:numPr>
              <w:spacing w:after="40"/>
            </w:pPr>
            <w:r>
              <w:rPr>
                <w:b/>
                <w:bCs/>
                <w:i/>
                <w:iCs/>
              </w:rPr>
              <w:t xml:space="preserve">Discursiva/Sentença: </w:t>
            </w:r>
            <w:r>
              <w:t>pedir ao candidato que discuta as duas correntes e adote fundamentadamente uma posição.</w:t>
            </w:r>
          </w:p>
          <w:p w14:paraId="390F96DA" w14:textId="77777777" w:rsidR="00B874B0" w:rsidRDefault="00000000">
            <w:pPr>
              <w:pStyle w:val="PargrafodaLista"/>
              <w:numPr>
                <w:ilvl w:val="0"/>
                <w:numId w:val="2"/>
              </w:numPr>
              <w:spacing w:after="100"/>
            </w:pPr>
            <w:r>
              <w:rPr>
                <w:b/>
                <w:bCs/>
                <w:i/>
                <w:iCs/>
              </w:rPr>
              <w:t xml:space="preserve">Oral: </w:t>
            </w:r>
            <w:r>
              <w:t>"O alimentante pode exigir contas de quem administra a pensão paga ao filho? Há unanimidade no STJ?"</w:t>
            </w:r>
          </w:p>
          <w:p w14:paraId="261AEFEE" w14:textId="77777777" w:rsidR="00B874B0" w:rsidRDefault="00000000">
            <w:r>
              <w:rPr>
                <w:b/>
                <w:bCs/>
                <w:color w:val="A9762F"/>
              </w:rPr>
              <w:t xml:space="preserve">CONEXÕES: </w:t>
            </w:r>
            <w:r>
              <w:rPr>
                <w:i/>
                <w:iCs/>
              </w:rPr>
              <w:t>art. 1.589 CC (poder-dever fiscalizatório); art. 1.703 CC; instituto da prestação de contas (arts. 550 e ss. CPC). [VERIFICAR se há julgado mais recente pacificando a divergência]</w:t>
            </w:r>
          </w:p>
        </w:tc>
      </w:tr>
    </w:tbl>
    <w:p w14:paraId="4ADB19D2" w14:textId="77777777" w:rsidR="00B874B0" w:rsidRDefault="00B874B0">
      <w:pPr>
        <w:spacing w:after="160"/>
      </w:pPr>
    </w:p>
    <w:tbl>
      <w:tblPr>
        <w:tblW w:w="5000" w:type="pct"/>
        <w:tblBorders>
          <w:top w:val="single" w:sz="8" w:space="0" w:color="C9B78C"/>
          <w:left w:val="single" w:sz="8" w:space="0" w:color="C9B78C"/>
          <w:bottom w:val="single" w:sz="8" w:space="0" w:color="C9B78C"/>
          <w:right w:val="single" w:sz="8" w:space="0" w:color="C9B78C"/>
        </w:tblBorders>
        <w:tblCellMar>
          <w:left w:w="10" w:type="dxa"/>
          <w:right w:w="10" w:type="dxa"/>
        </w:tblCellMar>
        <w:tblLook w:val="04A0" w:firstRow="1" w:lastRow="0" w:firstColumn="1" w:lastColumn="0" w:noHBand="0" w:noVBand="1"/>
      </w:tblPr>
      <w:tblGrid>
        <w:gridCol w:w="9726"/>
      </w:tblGrid>
      <w:tr w:rsidR="00B874B0" w14:paraId="62CC6C62" w14:textId="77777777">
        <w:tblPrEx>
          <w:tblCellMar>
            <w:top w:w="0" w:type="dxa"/>
            <w:bottom w:w="0" w:type="dxa"/>
          </w:tblCellMar>
        </w:tblPrEx>
        <w:tc>
          <w:tcPr>
            <w:tcW w:w="5000" w:type="pct"/>
            <w:shd w:val="clear" w:color="auto" w:fill="F6F1E8"/>
            <w:tcMar>
              <w:top w:w="160" w:type="dxa"/>
              <w:left w:w="200" w:type="dxa"/>
              <w:bottom w:w="160" w:type="dxa"/>
              <w:right w:w="200" w:type="dxa"/>
            </w:tcMar>
          </w:tcPr>
          <w:p w14:paraId="527A6F38" w14:textId="77777777" w:rsidR="00B874B0" w:rsidRDefault="00000000">
            <w:pPr>
              <w:pStyle w:val="Ttulo3"/>
              <w:spacing w:after="80"/>
            </w:pPr>
            <w:bookmarkStart w:id="76" w:name="_Toc236570130"/>
            <w:r>
              <w:t>Mesmo após a homologação de sentença estrangeira sobre alimentos, o devedor pode ajuizar ação revisional do valor da pensão</w:t>
            </w:r>
            <w:bookmarkEnd w:id="76"/>
          </w:p>
          <w:p w14:paraId="3E09A0B2" w14:textId="77777777" w:rsidR="00B874B0" w:rsidRDefault="00000000">
            <w:pPr>
              <w:spacing w:after="40"/>
            </w:pPr>
            <w:r>
              <w:rPr>
                <w:b/>
                <w:bCs/>
                <w:color w:val="555555"/>
                <w:sz w:val="19"/>
                <w:szCs w:val="19"/>
              </w:rPr>
              <w:t>Tribunal: STJ   |   Órgão: Corte Especial</w:t>
            </w:r>
          </w:p>
          <w:p w14:paraId="12668EFB" w14:textId="77777777" w:rsidR="00B874B0" w:rsidRDefault="00000000">
            <w:pPr>
              <w:spacing w:after="40"/>
            </w:pPr>
            <w:r>
              <w:rPr>
                <w:color w:val="555555"/>
                <w:sz w:val="19"/>
                <w:szCs w:val="19"/>
              </w:rPr>
              <w:t>Processo: HDE 4.289-EX   |   Relator: Min. Raul Araújo   |   Data: 18/08/2021</w:t>
            </w:r>
          </w:p>
          <w:p w14:paraId="0387DD26" w14:textId="77777777" w:rsidR="00B874B0" w:rsidRDefault="00000000">
            <w:pPr>
              <w:spacing w:after="100"/>
            </w:pPr>
            <w:r>
              <w:rPr>
                <w:i/>
                <w:iCs/>
                <w:color w:val="555555"/>
                <w:sz w:val="19"/>
                <w:szCs w:val="19"/>
              </w:rPr>
              <w:t>Sistemática: Julgado por Corte Especial (órgão colegiado máximo do STJ para homologação de decisão estrangeira)</w:t>
            </w:r>
          </w:p>
          <w:p w14:paraId="0E3BA37E" w14:textId="77777777" w:rsidR="00B874B0" w:rsidRDefault="00000000">
            <w:pPr>
              <w:spacing w:after="100"/>
            </w:pPr>
            <w:r>
              <w:rPr>
                <w:b/>
                <w:bCs/>
              </w:rPr>
              <w:t xml:space="preserve">TESE FIXADA / DECISÃO: </w:t>
            </w:r>
            <w:r>
              <w:t>A homologação de sentença estrangeira sobre alimentos é ato meramente formal (juízo de delibação), sem análise de mérito; mesmo após homologada, o devedor pode ajuizar ação revisional do valor da pensão perante a Justiça brasileira.</w:t>
            </w:r>
          </w:p>
          <w:p w14:paraId="20FBE474" w14:textId="77777777" w:rsidR="00B874B0" w:rsidRDefault="00000000">
            <w:pPr>
              <w:spacing w:after="100"/>
            </w:pPr>
            <w:r>
              <w:rPr>
                <w:b/>
                <w:bCs/>
              </w:rPr>
              <w:t xml:space="preserve">RESUMO DO CASO: </w:t>
            </w:r>
            <w:r>
              <w:t>Sentença estrangeira fixou pensão de 290 euros/mês; o pai se mudou para o Brasil e seu salário era inferior ao valor fixado. O STJ homologou formalmente a sentença (sem entrar no mérito da capacidade financeira), ressalvando ao devedor a via da ação revisional autônoma no Brasil.</w:t>
            </w:r>
          </w:p>
          <w:p w14:paraId="7A77FB25" w14:textId="77777777" w:rsidR="00B874B0" w:rsidRDefault="00000000">
            <w:pPr>
              <w:spacing w:after="40"/>
            </w:pPr>
            <w:r>
              <w:rPr>
                <w:b/>
                <w:bCs/>
              </w:rPr>
              <w:t>COMO PODE SER COBRADO EM PROVA:</w:t>
            </w:r>
          </w:p>
          <w:p w14:paraId="67EAC5CE" w14:textId="77777777" w:rsidR="00B874B0" w:rsidRDefault="00000000">
            <w:pPr>
              <w:pStyle w:val="PargrafodaLista"/>
              <w:numPr>
                <w:ilvl w:val="0"/>
                <w:numId w:val="2"/>
              </w:numPr>
              <w:spacing w:after="40"/>
            </w:pPr>
            <w:r>
              <w:rPr>
                <w:b/>
                <w:bCs/>
                <w:i/>
                <w:iCs/>
              </w:rPr>
              <w:t xml:space="preserve">Objetiva: </w:t>
            </w:r>
            <w:r>
              <w:t>natureza do juízo de delibação (formal, sem mérito) e possibilidade de ação revisional autônoma após homologação — combina Direito Internacional Privado com Alimentos, tema interdisciplinar típico de FGV.</w:t>
            </w:r>
          </w:p>
          <w:p w14:paraId="34B36A58" w14:textId="77777777" w:rsidR="00B874B0" w:rsidRDefault="00000000">
            <w:pPr>
              <w:pStyle w:val="PargrafodaLista"/>
              <w:numPr>
                <w:ilvl w:val="0"/>
                <w:numId w:val="2"/>
              </w:numPr>
              <w:spacing w:after="40"/>
            </w:pPr>
            <w:r>
              <w:rPr>
                <w:b/>
                <w:bCs/>
                <w:i/>
                <w:iCs/>
              </w:rPr>
              <w:t xml:space="preserve">Discursiva/Sentença: </w:t>
            </w:r>
            <w:r>
              <w:t>caso de homologação de sentença estrangeira de alimentos incompatível com a real capacidade financeira do devedor no Brasil — orientar sobre a via adequada (ação revisional).</w:t>
            </w:r>
          </w:p>
          <w:p w14:paraId="62038B22" w14:textId="77777777" w:rsidR="00B874B0" w:rsidRDefault="00000000">
            <w:pPr>
              <w:pStyle w:val="PargrafodaLista"/>
              <w:numPr>
                <w:ilvl w:val="0"/>
                <w:numId w:val="2"/>
              </w:numPr>
              <w:spacing w:after="100"/>
            </w:pPr>
            <w:r>
              <w:rPr>
                <w:b/>
                <w:bCs/>
                <w:i/>
                <w:iCs/>
              </w:rPr>
              <w:t xml:space="preserve">Oral: </w:t>
            </w:r>
            <w:r>
              <w:t>"O STJ pode negar a homologação de sentença estrangeira de alimentos por ser o valor incompatível com a renda do devedor no Brasil?"</w:t>
            </w:r>
          </w:p>
          <w:p w14:paraId="3CFD7709" w14:textId="77777777" w:rsidR="00B874B0" w:rsidRDefault="00000000">
            <w:r>
              <w:rPr>
                <w:b/>
                <w:bCs/>
                <w:color w:val="A9762F"/>
              </w:rPr>
              <w:t xml:space="preserve">CONEXÕES: </w:t>
            </w:r>
            <w:r>
              <w:rPr>
                <w:i/>
                <w:iCs/>
              </w:rPr>
              <w:t>juízo de delibação; Lei de Introdução às Normas do Direito Brasileiro; Convenção de Nova York sobre alimentos no estrangeiro [VERIFICAR aplicabilidade ao caso concreto]; art. 1.699 CC (ação revisional).</w:t>
            </w:r>
          </w:p>
        </w:tc>
      </w:tr>
    </w:tbl>
    <w:p w14:paraId="5766DCD1" w14:textId="77777777" w:rsidR="00B874B0" w:rsidRDefault="00B874B0">
      <w:pPr>
        <w:spacing w:after="160"/>
      </w:pPr>
    </w:p>
    <w:p w14:paraId="20322960" w14:textId="77777777" w:rsidR="00B874B0" w:rsidRDefault="00000000">
      <w:pPr>
        <w:pStyle w:val="Ttulo1"/>
        <w:pageBreakBefore/>
        <w:spacing w:after="200"/>
      </w:pPr>
      <w:bookmarkStart w:id="77" w:name="_Toc236570131"/>
      <w:r>
        <w:lastRenderedPageBreak/>
        <w:t>IV. BEM DE FAMÍLIA</w:t>
      </w:r>
      <w:bookmarkEnd w:id="77"/>
    </w:p>
    <w:p w14:paraId="3F6A0D7C" w14:textId="77777777" w:rsidR="00B874B0" w:rsidRDefault="00000000">
      <w:pPr>
        <w:spacing w:after="300"/>
      </w:pPr>
      <w:r>
        <w:rPr>
          <w:i/>
          <w:iCs/>
          <w:color w:val="555555"/>
        </w:rPr>
        <w:t>CC arts. 1.711 a 1.722 c/c Lei 8.009/90</w:t>
      </w:r>
    </w:p>
    <w:p w14:paraId="62941E12" w14:textId="77777777" w:rsidR="00B874B0" w:rsidRDefault="00000000">
      <w:pPr>
        <w:pStyle w:val="Ttulo2"/>
        <w:spacing w:after="160"/>
      </w:pPr>
      <w:bookmarkStart w:id="78" w:name="_Toc236570132"/>
      <w:r>
        <w:t>1. Conceito e abrangência do bem de família (legal x voluntário)</w:t>
      </w:r>
      <w:bookmarkEnd w:id="78"/>
    </w:p>
    <w:tbl>
      <w:tblPr>
        <w:tblW w:w="5000" w:type="pct"/>
        <w:tblBorders>
          <w:top w:val="single" w:sz="8" w:space="0" w:color="C9B78C"/>
          <w:left w:val="single" w:sz="8" w:space="0" w:color="C9B78C"/>
          <w:bottom w:val="single" w:sz="8" w:space="0" w:color="C9B78C"/>
          <w:right w:val="single" w:sz="8" w:space="0" w:color="C9B78C"/>
        </w:tblBorders>
        <w:tblCellMar>
          <w:left w:w="10" w:type="dxa"/>
          <w:right w:w="10" w:type="dxa"/>
        </w:tblCellMar>
        <w:tblLook w:val="04A0" w:firstRow="1" w:lastRow="0" w:firstColumn="1" w:lastColumn="0" w:noHBand="0" w:noVBand="1"/>
      </w:tblPr>
      <w:tblGrid>
        <w:gridCol w:w="9726"/>
      </w:tblGrid>
      <w:tr w:rsidR="00B874B0" w14:paraId="1FB8391A" w14:textId="77777777">
        <w:tblPrEx>
          <w:tblCellMar>
            <w:top w:w="0" w:type="dxa"/>
            <w:bottom w:w="0" w:type="dxa"/>
          </w:tblCellMar>
        </w:tblPrEx>
        <w:tc>
          <w:tcPr>
            <w:tcW w:w="5000" w:type="pct"/>
            <w:shd w:val="clear" w:color="auto" w:fill="F6F1E8"/>
            <w:tcMar>
              <w:top w:w="160" w:type="dxa"/>
              <w:left w:w="200" w:type="dxa"/>
              <w:bottom w:w="160" w:type="dxa"/>
              <w:right w:w="200" w:type="dxa"/>
            </w:tcMar>
          </w:tcPr>
          <w:p w14:paraId="67527214" w14:textId="77777777" w:rsidR="00B874B0" w:rsidRDefault="00000000">
            <w:pPr>
              <w:pStyle w:val="Ttulo3"/>
              <w:spacing w:after="80"/>
            </w:pPr>
            <w:bookmarkStart w:id="79" w:name="_Toc236570133"/>
            <w:r>
              <w:t>Coexistência entre bem de família voluntário (CC) e bem de família legal (Lei 8.009/90)</w:t>
            </w:r>
            <w:bookmarkEnd w:id="79"/>
          </w:p>
          <w:p w14:paraId="60EF456D" w14:textId="77777777" w:rsidR="00B874B0" w:rsidRDefault="00000000">
            <w:pPr>
              <w:spacing w:after="40"/>
            </w:pPr>
            <w:r>
              <w:rPr>
                <w:b/>
                <w:bCs/>
                <w:color w:val="555555"/>
                <w:sz w:val="19"/>
                <w:szCs w:val="19"/>
              </w:rPr>
              <w:t>Tribunal: STJ   |   Órgão: 1ª Turma</w:t>
            </w:r>
          </w:p>
          <w:p w14:paraId="56475078" w14:textId="77777777" w:rsidR="00B874B0" w:rsidRDefault="00000000">
            <w:pPr>
              <w:spacing w:after="40"/>
            </w:pPr>
            <w:r>
              <w:rPr>
                <w:color w:val="555555"/>
                <w:sz w:val="19"/>
                <w:szCs w:val="19"/>
              </w:rPr>
              <w:t>Processo: REsp 2.133.984-RJ   |   Relator: Min. Paulo Sérgio Domingues   |   Data: 22/10/2024</w:t>
            </w:r>
          </w:p>
          <w:p w14:paraId="08E6FEB0" w14:textId="77777777" w:rsidR="00B874B0" w:rsidRDefault="00000000">
            <w:pPr>
              <w:spacing w:after="100"/>
            </w:pPr>
            <w:r>
              <w:rPr>
                <w:i/>
                <w:iCs/>
                <w:color w:val="555555"/>
                <w:sz w:val="19"/>
                <w:szCs w:val="19"/>
              </w:rPr>
              <w:t>Sistemática: Caso isolado</w:t>
            </w:r>
          </w:p>
          <w:p w14:paraId="20C5596A" w14:textId="77777777" w:rsidR="00B874B0" w:rsidRDefault="00000000">
            <w:pPr>
              <w:spacing w:after="100"/>
            </w:pPr>
            <w:r>
              <w:rPr>
                <w:b/>
                <w:bCs/>
              </w:rPr>
              <w:t xml:space="preserve">TESE FIXADA / DECISÃO: </w:t>
            </w:r>
            <w:r>
              <w:t>O bem de família legal (Lei nº 8.009/90) e o bem de família voluntário (art. 1.711 do CC e art. 833, I, do CPC) coexistem no ordenamento — a Lei 8.009/90 não foi tacitamente revogada pelo CPC/2015. O devedor, mesmo sendo proprietário de mais de um imóvel residencial, pode gozar da impenhorabilidade legal, recaindo a proteção sobre o de menor valor quando houver múltiplos imóveis.</w:t>
            </w:r>
          </w:p>
          <w:p w14:paraId="4E04092E" w14:textId="77777777" w:rsidR="00B874B0" w:rsidRDefault="00000000">
            <w:pPr>
              <w:spacing w:after="100"/>
            </w:pPr>
            <w:r>
              <w:rPr>
                <w:b/>
                <w:bCs/>
              </w:rPr>
              <w:t xml:space="preserve">RESUMO DO CASO: </w:t>
            </w:r>
            <w:r>
              <w:t>Fazenda Nacional executou João e penhorou o apartamento em que ele residia, alegando (i) que ele possuía outro imóvel, (ii) que o bem penhorado não estava registrado como bem de família e (iii) que a Lei 8.009/90 teria sido revogada pelo CPC/2015. O STJ rejeitou os três argumentos: a lei não foi revogada, coexiste com o regime voluntário do CPC/CC, e a titularidade de mais de um imóvel não afasta a proteção — apenas desloca a impenhorabilidade para o bem de menor valor.</w:t>
            </w:r>
          </w:p>
          <w:p w14:paraId="0BE1031B" w14:textId="77777777" w:rsidR="00B874B0" w:rsidRDefault="00000000">
            <w:pPr>
              <w:spacing w:after="40"/>
            </w:pPr>
            <w:r>
              <w:rPr>
                <w:b/>
                <w:bCs/>
              </w:rPr>
              <w:t>COMO PODE SER COBRADO EM PROVA:</w:t>
            </w:r>
          </w:p>
          <w:p w14:paraId="5240CAAB" w14:textId="77777777" w:rsidR="00B874B0" w:rsidRDefault="00000000">
            <w:pPr>
              <w:pStyle w:val="PargrafodaLista"/>
              <w:numPr>
                <w:ilvl w:val="0"/>
                <w:numId w:val="2"/>
              </w:numPr>
              <w:spacing w:after="40"/>
            </w:pPr>
            <w:r>
              <w:rPr>
                <w:b/>
                <w:bCs/>
                <w:i/>
                <w:iCs/>
              </w:rPr>
              <w:t xml:space="preserve">Objetiva: </w:t>
            </w:r>
            <w:r>
              <w:t>assertiva testando se a Lei 8.009/90 foi revogada pelo CPC/2015 (falso) ou se a existência de bem registrado como bem de família voluntário exclui a proteção legal (falso — coexistem).</w:t>
            </w:r>
          </w:p>
          <w:p w14:paraId="1AABF43D" w14:textId="77777777" w:rsidR="00B874B0" w:rsidRDefault="00000000">
            <w:pPr>
              <w:pStyle w:val="PargrafodaLista"/>
              <w:numPr>
                <w:ilvl w:val="0"/>
                <w:numId w:val="2"/>
              </w:numPr>
              <w:spacing w:after="40"/>
            </w:pPr>
            <w:r>
              <w:rPr>
                <w:b/>
                <w:bCs/>
                <w:i/>
                <w:iCs/>
              </w:rPr>
              <w:t xml:space="preserve">Discursiva/Sentença: </w:t>
            </w:r>
            <w:r>
              <w:t>sentença/parecer em execução fiscal em que o executado possui dois imóveis residenciais — discutir qual deles é protegido e por qual regime.</w:t>
            </w:r>
          </w:p>
          <w:p w14:paraId="51C59423" w14:textId="77777777" w:rsidR="00B874B0" w:rsidRDefault="00000000">
            <w:pPr>
              <w:pStyle w:val="PargrafodaLista"/>
              <w:numPr>
                <w:ilvl w:val="0"/>
                <w:numId w:val="2"/>
              </w:numPr>
              <w:spacing w:after="100"/>
            </w:pPr>
            <w:r>
              <w:rPr>
                <w:b/>
                <w:bCs/>
                <w:i/>
                <w:iCs/>
              </w:rPr>
              <w:t xml:space="preserve">Oral: </w:t>
            </w:r>
            <w:r>
              <w:t>"Bem de família legal e bem de família voluntário são institutos excludentes? Qual prevalece e sobre qual imóvel recai a impenhorabilidade quando há pluralidade de bens?"</w:t>
            </w:r>
          </w:p>
          <w:p w14:paraId="23D0E399" w14:textId="77777777" w:rsidR="00B874B0" w:rsidRDefault="00000000">
            <w:r>
              <w:rPr>
                <w:b/>
                <w:bCs/>
                <w:color w:val="A9762F"/>
              </w:rPr>
              <w:t xml:space="preserve">CONEXÕES: </w:t>
            </w:r>
            <w:r>
              <w:rPr>
                <w:i/>
                <w:iCs/>
              </w:rPr>
              <w:t>Súmula 364-STJ (impenhorabilidade também da pessoa solteira/separada); arts. 1.711-1.722 CC; art. 833, I, CPC; Lei 8.009/90 arts. 1º e 5º.</w:t>
            </w:r>
          </w:p>
        </w:tc>
      </w:tr>
    </w:tbl>
    <w:p w14:paraId="79737016" w14:textId="77777777" w:rsidR="00B874B0" w:rsidRDefault="00B874B0">
      <w:pPr>
        <w:spacing w:after="160"/>
      </w:pPr>
    </w:p>
    <w:tbl>
      <w:tblPr>
        <w:tblW w:w="5000" w:type="pct"/>
        <w:tblBorders>
          <w:top w:val="single" w:sz="8" w:space="0" w:color="C9B78C"/>
          <w:left w:val="single" w:sz="8" w:space="0" w:color="C9B78C"/>
          <w:bottom w:val="single" w:sz="8" w:space="0" w:color="C9B78C"/>
          <w:right w:val="single" w:sz="8" w:space="0" w:color="C9B78C"/>
        </w:tblBorders>
        <w:tblCellMar>
          <w:left w:w="10" w:type="dxa"/>
          <w:right w:w="10" w:type="dxa"/>
        </w:tblCellMar>
        <w:tblLook w:val="04A0" w:firstRow="1" w:lastRow="0" w:firstColumn="1" w:lastColumn="0" w:noHBand="0" w:noVBand="1"/>
      </w:tblPr>
      <w:tblGrid>
        <w:gridCol w:w="9726"/>
      </w:tblGrid>
      <w:tr w:rsidR="00B874B0" w14:paraId="5D02339B" w14:textId="77777777">
        <w:tblPrEx>
          <w:tblCellMar>
            <w:top w:w="0" w:type="dxa"/>
            <w:bottom w:w="0" w:type="dxa"/>
          </w:tblCellMar>
        </w:tblPrEx>
        <w:tc>
          <w:tcPr>
            <w:tcW w:w="5000" w:type="pct"/>
            <w:shd w:val="clear" w:color="auto" w:fill="F6F1E8"/>
            <w:tcMar>
              <w:top w:w="160" w:type="dxa"/>
              <w:left w:w="200" w:type="dxa"/>
              <w:bottom w:w="160" w:type="dxa"/>
              <w:right w:w="200" w:type="dxa"/>
            </w:tcMar>
          </w:tcPr>
          <w:p w14:paraId="5C9FED6F" w14:textId="77777777" w:rsidR="00B874B0" w:rsidRDefault="00000000">
            <w:pPr>
              <w:pStyle w:val="Ttulo3"/>
              <w:spacing w:after="80"/>
            </w:pPr>
            <w:bookmarkStart w:id="80" w:name="_Toc236570134"/>
            <w:r>
              <w:t>Impenhorabilidade do imóvel indivisível em sua integralidade, mesmo quando apenas um coproprietário nele reside</w:t>
            </w:r>
            <w:bookmarkEnd w:id="80"/>
          </w:p>
          <w:p w14:paraId="7E649576" w14:textId="77777777" w:rsidR="00B874B0" w:rsidRDefault="00000000">
            <w:pPr>
              <w:spacing w:after="40"/>
            </w:pPr>
            <w:r>
              <w:rPr>
                <w:b/>
                <w:bCs/>
                <w:color w:val="555555"/>
                <w:sz w:val="19"/>
                <w:szCs w:val="19"/>
              </w:rPr>
              <w:t>Tribunal: STJ   |   Órgão: 1ª Turma</w:t>
            </w:r>
          </w:p>
          <w:p w14:paraId="73C6BD69" w14:textId="77777777" w:rsidR="00B874B0" w:rsidRDefault="00000000">
            <w:pPr>
              <w:spacing w:after="40"/>
            </w:pPr>
            <w:r>
              <w:rPr>
                <w:color w:val="555555"/>
                <w:sz w:val="19"/>
                <w:szCs w:val="19"/>
              </w:rPr>
              <w:t>Processo: REsp 1.861.107-RS   |   Relator: Min. Paulo Sérgio Domingues   |   Data: 10/12/2024 (Info 22 — Edição Extraordinária)</w:t>
            </w:r>
          </w:p>
          <w:p w14:paraId="2A5D5491" w14:textId="77777777" w:rsidR="00B874B0" w:rsidRDefault="00000000">
            <w:pPr>
              <w:spacing w:after="100"/>
            </w:pPr>
            <w:r>
              <w:rPr>
                <w:i/>
                <w:iCs/>
                <w:color w:val="555555"/>
                <w:sz w:val="19"/>
                <w:szCs w:val="19"/>
              </w:rPr>
              <w:t>Sistemática: Caso isolado</w:t>
            </w:r>
          </w:p>
          <w:p w14:paraId="5981F60C" w14:textId="77777777" w:rsidR="00B874B0" w:rsidRDefault="00000000">
            <w:pPr>
              <w:spacing w:after="100"/>
            </w:pPr>
            <w:r>
              <w:rPr>
                <w:b/>
                <w:bCs/>
              </w:rPr>
              <w:t xml:space="preserve">TESE FIXADA / DECISÃO: </w:t>
            </w:r>
            <w:r>
              <w:t>O imóvel residencial caracterizado como bem de família é impenhorável em sua integralidade, mesmo que apenas uma fração (de um dos coproprietários/herdeiros) sirva de residência, salvo se o imóvel for divisível — aplica-se a proteção mesmo à fração de quem não mais reside no local.</w:t>
            </w:r>
          </w:p>
          <w:p w14:paraId="69C90D1D" w14:textId="77777777" w:rsidR="00B874B0" w:rsidRDefault="00000000">
            <w:pPr>
              <w:spacing w:after="100"/>
            </w:pPr>
            <w:r>
              <w:rPr>
                <w:b/>
                <w:bCs/>
              </w:rPr>
              <w:t xml:space="preserve">RESUMO DO CASO: </w:t>
            </w:r>
            <w:r>
              <w:t>Após a morte da mãe, o imóvel único da família foi parcialmente herdado por três filhos. Falecido o pai (com dívidas tributárias), o Estado penhorou o imóvel no inventário. O TJ reconheceu a impenhorabilidade apenas para a fração da filha que ainda residia no imóvel, permitindo a penhora das frações dos demais herdeiros que não mais viviam lá. O STJ reformou, afirmando que a proteção (Lei 8.009/90 c/c art. 843, CPC/2015) abrange o bem como um todo, indivisivelmente, impedindo a alienação em hasta pública salvo se o imóvel for divisível.</w:t>
            </w:r>
          </w:p>
          <w:p w14:paraId="6108FACF" w14:textId="77777777" w:rsidR="00B874B0" w:rsidRDefault="00000000">
            <w:pPr>
              <w:spacing w:after="40"/>
            </w:pPr>
            <w:r>
              <w:rPr>
                <w:b/>
                <w:bCs/>
              </w:rPr>
              <w:t>COMO PODE SER COBRADO EM PROVA:</w:t>
            </w:r>
          </w:p>
          <w:p w14:paraId="308AB8E8" w14:textId="77777777" w:rsidR="00B874B0" w:rsidRDefault="00000000">
            <w:pPr>
              <w:pStyle w:val="PargrafodaLista"/>
              <w:numPr>
                <w:ilvl w:val="0"/>
                <w:numId w:val="2"/>
              </w:numPr>
              <w:spacing w:after="40"/>
            </w:pPr>
            <w:r>
              <w:rPr>
                <w:b/>
                <w:bCs/>
                <w:i/>
                <w:iCs/>
              </w:rPr>
              <w:t xml:space="preserve">Objetiva: </w:t>
            </w:r>
            <w:r>
              <w:t>pegadinha clássica — "é possível penhorar a fração ideal do coproprietário que não reside no imóvel" (falso, se indivisível).</w:t>
            </w:r>
          </w:p>
          <w:p w14:paraId="54E470B9" w14:textId="77777777" w:rsidR="00B874B0" w:rsidRDefault="00000000">
            <w:pPr>
              <w:pStyle w:val="PargrafodaLista"/>
              <w:numPr>
                <w:ilvl w:val="0"/>
                <w:numId w:val="2"/>
              </w:numPr>
              <w:spacing w:after="40"/>
            </w:pPr>
            <w:r>
              <w:rPr>
                <w:b/>
                <w:bCs/>
                <w:i/>
                <w:iCs/>
              </w:rPr>
              <w:lastRenderedPageBreak/>
              <w:t xml:space="preserve">Discursiva/Sentença: </w:t>
            </w:r>
            <w:r>
              <w:t>caso de imóvel em condomínio hereditário com múltiplos herdeiros, apenas um residindo — redigir decisão sobre extensão da impenhorabilidade.</w:t>
            </w:r>
          </w:p>
          <w:p w14:paraId="5AC55E3E" w14:textId="77777777" w:rsidR="00B874B0" w:rsidRDefault="00000000">
            <w:pPr>
              <w:pStyle w:val="PargrafodaLista"/>
              <w:numPr>
                <w:ilvl w:val="0"/>
                <w:numId w:val="2"/>
              </w:numPr>
              <w:spacing w:after="100"/>
            </w:pPr>
            <w:r>
              <w:rPr>
                <w:b/>
                <w:bCs/>
                <w:i/>
                <w:iCs/>
              </w:rPr>
              <w:t xml:space="preserve">Oral: </w:t>
            </w:r>
            <w:r>
              <w:t>"A impenhorabilidade do bem de família alcança a fração de coproprietário que não reside no imóvel? Há exceção?"</w:t>
            </w:r>
          </w:p>
          <w:p w14:paraId="60BD6616" w14:textId="77777777" w:rsidR="00B874B0" w:rsidRDefault="00000000">
            <w:r>
              <w:rPr>
                <w:b/>
                <w:bCs/>
                <w:color w:val="A9762F"/>
              </w:rPr>
              <w:t xml:space="preserve">CONEXÕES: </w:t>
            </w:r>
            <w:r>
              <w:rPr>
                <w:i/>
                <w:iCs/>
              </w:rPr>
              <w:t>art. 843, CPC/2015; tema conectado ao REsp 2.111.839-RS (Info 850) e AgInt REsp 2.168.820-RS (Info 861), sobre bem de família em inventário/espólio.</w:t>
            </w:r>
          </w:p>
        </w:tc>
      </w:tr>
    </w:tbl>
    <w:p w14:paraId="3882A471" w14:textId="77777777" w:rsidR="00B874B0" w:rsidRDefault="00B874B0">
      <w:pPr>
        <w:spacing w:after="160"/>
      </w:pPr>
    </w:p>
    <w:p w14:paraId="06EB4272" w14:textId="77777777" w:rsidR="00B874B0" w:rsidRDefault="00000000">
      <w:pPr>
        <w:pStyle w:val="Ttulo2"/>
        <w:spacing w:after="160"/>
      </w:pPr>
      <w:bookmarkStart w:id="81" w:name="_Toc236570135"/>
      <w:r>
        <w:t>2. Exceções à impenhorabilidade — fiança e caução em contrato de locação (tema mais cobrado em concursos)</w:t>
      </w:r>
      <w:bookmarkEnd w:id="81"/>
    </w:p>
    <w:tbl>
      <w:tblPr>
        <w:tblW w:w="5000" w:type="pct"/>
        <w:tblBorders>
          <w:top w:val="single" w:sz="8" w:space="0" w:color="C9B78C"/>
          <w:left w:val="single" w:sz="8" w:space="0" w:color="C9B78C"/>
          <w:bottom w:val="single" w:sz="8" w:space="0" w:color="C9B78C"/>
          <w:right w:val="single" w:sz="8" w:space="0" w:color="C9B78C"/>
        </w:tblBorders>
        <w:tblCellMar>
          <w:left w:w="10" w:type="dxa"/>
          <w:right w:w="10" w:type="dxa"/>
        </w:tblCellMar>
        <w:tblLook w:val="04A0" w:firstRow="1" w:lastRow="0" w:firstColumn="1" w:lastColumn="0" w:noHBand="0" w:noVBand="1"/>
      </w:tblPr>
      <w:tblGrid>
        <w:gridCol w:w="9726"/>
      </w:tblGrid>
      <w:tr w:rsidR="00B874B0" w14:paraId="0F9626CE" w14:textId="77777777">
        <w:tblPrEx>
          <w:tblCellMar>
            <w:top w:w="0" w:type="dxa"/>
            <w:bottom w:w="0" w:type="dxa"/>
          </w:tblCellMar>
        </w:tblPrEx>
        <w:tc>
          <w:tcPr>
            <w:tcW w:w="5000" w:type="pct"/>
            <w:shd w:val="clear" w:color="auto" w:fill="F6F1E8"/>
            <w:tcMar>
              <w:top w:w="160" w:type="dxa"/>
              <w:left w:w="200" w:type="dxa"/>
              <w:bottom w:w="160" w:type="dxa"/>
              <w:right w:w="200" w:type="dxa"/>
            </w:tcMar>
          </w:tcPr>
          <w:p w14:paraId="0A60B628" w14:textId="77777777" w:rsidR="00B874B0" w:rsidRDefault="00000000">
            <w:pPr>
              <w:pStyle w:val="Ttulo3"/>
              <w:spacing w:after="80"/>
            </w:pPr>
            <w:bookmarkStart w:id="82" w:name="_Toc236570136"/>
            <w:r>
              <w:t>Penhorabilidade do bem de família do fiador — locação residencial e comercial (constitucionalidade)</w:t>
            </w:r>
            <w:bookmarkEnd w:id="82"/>
          </w:p>
          <w:p w14:paraId="3B38CC7C" w14:textId="77777777" w:rsidR="00B874B0" w:rsidRDefault="00000000">
            <w:pPr>
              <w:spacing w:after="40"/>
            </w:pPr>
            <w:r>
              <w:rPr>
                <w:b/>
                <w:bCs/>
                <w:color w:val="555555"/>
                <w:sz w:val="19"/>
                <w:szCs w:val="19"/>
              </w:rPr>
              <w:t>Tribunal: STF e STJ   |   Órgão: STF Plenário / STJ 2ª Seção</w:t>
            </w:r>
          </w:p>
          <w:p w14:paraId="0D09947B" w14:textId="77777777" w:rsidR="00B874B0" w:rsidRDefault="00000000">
            <w:pPr>
              <w:spacing w:after="40"/>
            </w:pPr>
            <w:r>
              <w:rPr>
                <w:color w:val="555555"/>
                <w:sz w:val="19"/>
                <w:szCs w:val="19"/>
              </w:rPr>
              <w:t>Processo: STF: RE 1.307.334/SP, Rel. Min. Alexandre de Moraes, julgado em 08/03/2022 (Repercussão Geral — Tema 1127) (Info 1046)   |   Relator: STJ: REsp 1.822.040-PR, Rel. Min. Luis Felipe Salomão, julgado em 08/06/2022 (Recurso Repetitivo — Tema 1091) (Info 740)</w:t>
            </w:r>
          </w:p>
          <w:p w14:paraId="4391E795" w14:textId="77777777" w:rsidR="00B874B0" w:rsidRDefault="00000000">
            <w:pPr>
              <w:spacing w:after="100"/>
            </w:pPr>
            <w:r>
              <w:rPr>
                <w:i/>
                <w:iCs/>
                <w:color w:val="555555"/>
                <w:sz w:val="19"/>
                <w:szCs w:val="19"/>
              </w:rPr>
              <w:t>Sistemática: Repercussão Geral (STF) + Recurso Repetitivo (STJ)</w:t>
            </w:r>
          </w:p>
          <w:p w14:paraId="4F6E221C" w14:textId="77777777" w:rsidR="00B874B0" w:rsidRDefault="00000000">
            <w:pPr>
              <w:spacing w:after="100"/>
            </w:pPr>
            <w:r>
              <w:rPr>
                <w:b/>
                <w:bCs/>
              </w:rPr>
              <w:t xml:space="preserve">TESE FIXADA / DECISÃO: </w:t>
            </w:r>
            <w:r>
              <w:t>É constitucional a penhora de bem de família pertencente a fiador de contrato de locação, seja residencial, seja comercial (Tema 1127-STF). O STJ acompanhou: é válida a penhora do bem de família do fiador em contrato de locação, residencial ou comercial, nos termos do art. 3º, VII, da Lei nº 8.009/90 (Tema 1091-STJ).</w:t>
            </w:r>
          </w:p>
          <w:p w14:paraId="4F1F63FD" w14:textId="77777777" w:rsidR="00B874B0" w:rsidRDefault="00000000">
            <w:pPr>
              <w:spacing w:after="100"/>
            </w:pPr>
            <w:r>
              <w:rPr>
                <w:b/>
                <w:bCs/>
              </w:rPr>
              <w:t xml:space="preserve">RESUMO DO CASO: </w:t>
            </w:r>
            <w:r>
              <w:t>Consolidação, em rito de repercussão geral e de recurso repetitivo, do entendimento que já vinha sendo aplicado desde a Súmula/jurisprudência anterior (RE 612.360 e RE 407.688), agora estendendo expressamente a exceção também às locações comerciais, e não apenas às residenciais. Tema estrutural do regime de exceções do art. 3º da Lei 8.009/90.</w:t>
            </w:r>
          </w:p>
          <w:p w14:paraId="024BB642" w14:textId="77777777" w:rsidR="00B874B0" w:rsidRDefault="00000000">
            <w:pPr>
              <w:spacing w:after="40"/>
            </w:pPr>
            <w:r>
              <w:rPr>
                <w:b/>
                <w:bCs/>
              </w:rPr>
              <w:t>COMO PODE SER COBRADO EM PROVA:</w:t>
            </w:r>
          </w:p>
          <w:p w14:paraId="2D9BB12F" w14:textId="77777777" w:rsidR="00B874B0" w:rsidRDefault="00000000">
            <w:pPr>
              <w:pStyle w:val="PargrafodaLista"/>
              <w:numPr>
                <w:ilvl w:val="0"/>
                <w:numId w:val="2"/>
              </w:numPr>
              <w:spacing w:after="40"/>
            </w:pPr>
            <w:r>
              <w:rPr>
                <w:b/>
                <w:bCs/>
                <w:i/>
                <w:iCs/>
              </w:rPr>
              <w:t xml:space="preserve">Objetiva: </w:t>
            </w:r>
            <w:r>
              <w:t>distinguir fiador (penhorável) de devedor solidário (não penhorável) e de locação comercial x residencial (ambas penhoráveis quanto ao fiador).</w:t>
            </w:r>
          </w:p>
          <w:p w14:paraId="48E91C30" w14:textId="77777777" w:rsidR="00B874B0" w:rsidRDefault="00000000">
            <w:pPr>
              <w:pStyle w:val="PargrafodaLista"/>
              <w:numPr>
                <w:ilvl w:val="0"/>
                <w:numId w:val="2"/>
              </w:numPr>
              <w:spacing w:after="40"/>
            </w:pPr>
            <w:r>
              <w:rPr>
                <w:b/>
                <w:bCs/>
                <w:i/>
                <w:iCs/>
              </w:rPr>
              <w:t xml:space="preserve">Discursiva/Sentença: </w:t>
            </w:r>
            <w:r>
              <w:t>elaborar sentença em embargos de terceiro de fiador de locação comercial alegando impenhorabilidade — julgar improcedente com base no Tema 1127/1091.</w:t>
            </w:r>
          </w:p>
          <w:p w14:paraId="31EB2C30" w14:textId="77777777" w:rsidR="00B874B0" w:rsidRDefault="00000000">
            <w:pPr>
              <w:pStyle w:val="PargrafodaLista"/>
              <w:numPr>
                <w:ilvl w:val="0"/>
                <w:numId w:val="2"/>
              </w:numPr>
              <w:spacing w:after="100"/>
            </w:pPr>
            <w:r>
              <w:rPr>
                <w:b/>
                <w:bCs/>
                <w:i/>
                <w:iCs/>
              </w:rPr>
              <w:t xml:space="preserve">Oral: </w:t>
            </w:r>
            <w:r>
              <w:t>"É constitucional a penhora do bem de família do fiador? Essa exceção se estende à locação comercial? Fundamente com a tese de repercussão geral."</w:t>
            </w:r>
          </w:p>
          <w:p w14:paraId="260B039B" w14:textId="77777777" w:rsidR="00B874B0" w:rsidRDefault="00000000">
            <w:r>
              <w:rPr>
                <w:b/>
                <w:bCs/>
                <w:color w:val="A9762F"/>
              </w:rPr>
              <w:t xml:space="preserve">CONEXÕES: </w:t>
            </w:r>
            <w:r>
              <w:rPr>
                <w:i/>
                <w:iCs/>
              </w:rPr>
              <w:t>art. 3º, VII, Lei 8.009/90; Súmulas antigas do STF sobre fiança (RE 407.688/RE 612.360); contraponto: AgInt AREsp 2.118.730-PR (devedor solidário não se equipara a fiador); REsp 1.789.505-SP (caução não é exceção).</w:t>
            </w:r>
          </w:p>
        </w:tc>
      </w:tr>
    </w:tbl>
    <w:p w14:paraId="0E5B69FB" w14:textId="77777777" w:rsidR="00B874B0" w:rsidRDefault="00B874B0">
      <w:pPr>
        <w:spacing w:after="160"/>
      </w:pPr>
    </w:p>
    <w:tbl>
      <w:tblPr>
        <w:tblW w:w="5000" w:type="pct"/>
        <w:tblBorders>
          <w:top w:val="single" w:sz="8" w:space="0" w:color="C9B78C"/>
          <w:left w:val="single" w:sz="8" w:space="0" w:color="C9B78C"/>
          <w:bottom w:val="single" w:sz="8" w:space="0" w:color="C9B78C"/>
          <w:right w:val="single" w:sz="8" w:space="0" w:color="C9B78C"/>
        </w:tblBorders>
        <w:tblCellMar>
          <w:left w:w="10" w:type="dxa"/>
          <w:right w:w="10" w:type="dxa"/>
        </w:tblCellMar>
        <w:tblLook w:val="04A0" w:firstRow="1" w:lastRow="0" w:firstColumn="1" w:lastColumn="0" w:noHBand="0" w:noVBand="1"/>
      </w:tblPr>
      <w:tblGrid>
        <w:gridCol w:w="9726"/>
      </w:tblGrid>
      <w:tr w:rsidR="00B874B0" w14:paraId="33A89F76" w14:textId="77777777">
        <w:tblPrEx>
          <w:tblCellMar>
            <w:top w:w="0" w:type="dxa"/>
            <w:bottom w:w="0" w:type="dxa"/>
          </w:tblCellMar>
        </w:tblPrEx>
        <w:tc>
          <w:tcPr>
            <w:tcW w:w="5000" w:type="pct"/>
            <w:shd w:val="clear" w:color="auto" w:fill="F6F1E8"/>
            <w:tcMar>
              <w:top w:w="160" w:type="dxa"/>
              <w:left w:w="200" w:type="dxa"/>
              <w:bottom w:w="160" w:type="dxa"/>
              <w:right w:w="200" w:type="dxa"/>
            </w:tcMar>
          </w:tcPr>
          <w:p w14:paraId="63FD7E0D" w14:textId="77777777" w:rsidR="00B874B0" w:rsidRDefault="00000000">
            <w:pPr>
              <w:pStyle w:val="Ttulo3"/>
              <w:spacing w:after="80"/>
            </w:pPr>
            <w:bookmarkStart w:id="83" w:name="_Toc236570137"/>
            <w:r>
              <w:t>Devedor solidário de locação não se equipara a fiador — impenhorabilidade mantida</w:t>
            </w:r>
            <w:bookmarkEnd w:id="83"/>
          </w:p>
          <w:p w14:paraId="0ED99796" w14:textId="77777777" w:rsidR="00B874B0" w:rsidRDefault="00000000">
            <w:pPr>
              <w:spacing w:after="40"/>
            </w:pPr>
            <w:r>
              <w:rPr>
                <w:b/>
                <w:bCs/>
                <w:color w:val="555555"/>
                <w:sz w:val="19"/>
                <w:szCs w:val="19"/>
              </w:rPr>
              <w:t>Tribunal: STJ   |   Órgão: 4ª Turma</w:t>
            </w:r>
          </w:p>
          <w:p w14:paraId="4C990752" w14:textId="77777777" w:rsidR="00B874B0" w:rsidRDefault="00000000">
            <w:pPr>
              <w:spacing w:after="40"/>
            </w:pPr>
            <w:r>
              <w:rPr>
                <w:color w:val="555555"/>
                <w:sz w:val="19"/>
                <w:szCs w:val="19"/>
              </w:rPr>
              <w:t>Processo: AgInt no AREsp 2.118.730-PR   |   Relator: Min. Marco Buzzi   |   Data: 14/11/2022 (Info 763)</w:t>
            </w:r>
          </w:p>
          <w:p w14:paraId="25BAA69D" w14:textId="77777777" w:rsidR="00B874B0" w:rsidRDefault="00000000">
            <w:pPr>
              <w:spacing w:after="100"/>
            </w:pPr>
            <w:r>
              <w:rPr>
                <w:i/>
                <w:iCs/>
                <w:color w:val="555555"/>
                <w:sz w:val="19"/>
                <w:szCs w:val="19"/>
              </w:rPr>
              <w:t>Sistemática: Caso isolado</w:t>
            </w:r>
          </w:p>
          <w:p w14:paraId="04969600" w14:textId="77777777" w:rsidR="00B874B0" w:rsidRDefault="00000000">
            <w:pPr>
              <w:spacing w:after="100"/>
            </w:pPr>
            <w:r>
              <w:rPr>
                <w:b/>
                <w:bCs/>
              </w:rPr>
              <w:t xml:space="preserve">TESE FIXADA / DECISÃO: </w:t>
            </w:r>
            <w:r>
              <w:t>O art. 3º, VII, da Lei 8.009/90 permite a penhora do bem de família apenas do fiador em contrato de locação. Se o indivíduo figurou como "devedor solidário" (e não fiador), não se admite interpretação extensiva para permitir a penhora — as hipóteses de exceção à impenhorabilidade são taxativas e de interpretação restritiva.</w:t>
            </w:r>
          </w:p>
          <w:p w14:paraId="200543FC" w14:textId="77777777" w:rsidR="00B874B0" w:rsidRDefault="00000000">
            <w:pPr>
              <w:spacing w:after="100"/>
            </w:pPr>
            <w:r>
              <w:rPr>
                <w:b/>
                <w:bCs/>
              </w:rPr>
              <w:t xml:space="preserve">RESUMO DO CASO: </w:t>
            </w:r>
            <w:r>
              <w:t xml:space="preserve">Em execução de dívida de aluguel, buscou-se penhorar o imóvel de pessoa que figurava no contrato de locação como "devedor solidário", e não como fiadora. O STJ negou a penhora, reforçando </w:t>
            </w:r>
            <w:r>
              <w:lastRenderedPageBreak/>
              <w:t>que a posição de devedor solidário não se confunde com a de fiador para fins de incidência da norma restritiva de direitos, que deve ser interpretada de forma estrita.</w:t>
            </w:r>
          </w:p>
          <w:p w14:paraId="050DE70D" w14:textId="77777777" w:rsidR="00B874B0" w:rsidRDefault="00000000">
            <w:pPr>
              <w:spacing w:after="40"/>
            </w:pPr>
            <w:r>
              <w:rPr>
                <w:b/>
                <w:bCs/>
              </w:rPr>
              <w:t>COMO PODE SER COBRADO EM PROVA:</w:t>
            </w:r>
          </w:p>
          <w:p w14:paraId="0165A2A9" w14:textId="77777777" w:rsidR="00B874B0" w:rsidRDefault="00000000">
            <w:pPr>
              <w:pStyle w:val="PargrafodaLista"/>
              <w:numPr>
                <w:ilvl w:val="0"/>
                <w:numId w:val="2"/>
              </w:numPr>
              <w:spacing w:after="40"/>
            </w:pPr>
            <w:r>
              <w:rPr>
                <w:b/>
                <w:bCs/>
                <w:i/>
                <w:iCs/>
              </w:rPr>
              <w:t xml:space="preserve">Objetiva: </w:t>
            </w:r>
            <w:r>
              <w:t>pegadinha clássica trocando "fiador" por "devedor solidário" no enunciado, testando se o candidato aplica a exceção indevidamente.</w:t>
            </w:r>
          </w:p>
          <w:p w14:paraId="331DE511" w14:textId="77777777" w:rsidR="00B874B0" w:rsidRDefault="00000000">
            <w:pPr>
              <w:pStyle w:val="PargrafodaLista"/>
              <w:numPr>
                <w:ilvl w:val="0"/>
                <w:numId w:val="2"/>
              </w:numPr>
              <w:spacing w:after="40"/>
            </w:pPr>
            <w:r>
              <w:rPr>
                <w:b/>
                <w:bCs/>
                <w:i/>
                <w:iCs/>
              </w:rPr>
              <w:t xml:space="preserve">Discursiva/Sentença: </w:t>
            </w:r>
            <w:r>
              <w:t>caso em que o examinador cita um "codevedor solidário" de locação e pede a análise da penhorabilidade do seu imóvel único.</w:t>
            </w:r>
          </w:p>
          <w:p w14:paraId="1CE99572" w14:textId="77777777" w:rsidR="00B874B0" w:rsidRDefault="00000000">
            <w:pPr>
              <w:pStyle w:val="PargrafodaLista"/>
              <w:numPr>
                <w:ilvl w:val="0"/>
                <w:numId w:val="2"/>
              </w:numPr>
              <w:spacing w:after="100"/>
            </w:pPr>
            <w:r>
              <w:rPr>
                <w:b/>
                <w:bCs/>
                <w:i/>
                <w:iCs/>
              </w:rPr>
              <w:t xml:space="preserve">Oral: </w:t>
            </w:r>
            <w:r>
              <w:t>"As hipóteses de exceção à impenhorabilidade do bem de família admitem interpretação extensiva? Dê um exemplo em que isso foi expressamente rejeitado pelo STJ."</w:t>
            </w:r>
          </w:p>
          <w:p w14:paraId="4816F458" w14:textId="77777777" w:rsidR="00B874B0" w:rsidRDefault="00000000">
            <w:r>
              <w:rPr>
                <w:b/>
                <w:bCs/>
                <w:color w:val="A9762F"/>
              </w:rPr>
              <w:t xml:space="preserve">CONEXÕES: </w:t>
            </w:r>
            <w:r>
              <w:rPr>
                <w:i/>
                <w:iCs/>
              </w:rPr>
              <w:t>Tema 1127-STF / Tema 1091-STJ (fiador é penhorável); art. 3º, VII, Lei 8.009/90; princípio da taxatividade/interpretação restritiva das exceções.</w:t>
            </w:r>
          </w:p>
        </w:tc>
      </w:tr>
    </w:tbl>
    <w:p w14:paraId="66FA3899" w14:textId="77777777" w:rsidR="00B874B0" w:rsidRDefault="00B874B0">
      <w:pPr>
        <w:spacing w:after="160"/>
      </w:pPr>
    </w:p>
    <w:tbl>
      <w:tblPr>
        <w:tblW w:w="5000" w:type="pct"/>
        <w:tblBorders>
          <w:top w:val="single" w:sz="8" w:space="0" w:color="C9B78C"/>
          <w:left w:val="single" w:sz="8" w:space="0" w:color="C9B78C"/>
          <w:bottom w:val="single" w:sz="8" w:space="0" w:color="C9B78C"/>
          <w:right w:val="single" w:sz="8" w:space="0" w:color="C9B78C"/>
        </w:tblBorders>
        <w:tblCellMar>
          <w:left w:w="10" w:type="dxa"/>
          <w:right w:w="10" w:type="dxa"/>
        </w:tblCellMar>
        <w:tblLook w:val="04A0" w:firstRow="1" w:lastRow="0" w:firstColumn="1" w:lastColumn="0" w:noHBand="0" w:noVBand="1"/>
      </w:tblPr>
      <w:tblGrid>
        <w:gridCol w:w="9726"/>
      </w:tblGrid>
      <w:tr w:rsidR="00B874B0" w14:paraId="53AFDE2E" w14:textId="77777777">
        <w:tblPrEx>
          <w:tblCellMar>
            <w:top w:w="0" w:type="dxa"/>
            <w:bottom w:w="0" w:type="dxa"/>
          </w:tblCellMar>
        </w:tblPrEx>
        <w:tc>
          <w:tcPr>
            <w:tcW w:w="5000" w:type="pct"/>
            <w:shd w:val="clear" w:color="auto" w:fill="F6F1E8"/>
            <w:tcMar>
              <w:top w:w="160" w:type="dxa"/>
              <w:left w:w="200" w:type="dxa"/>
              <w:bottom w:w="160" w:type="dxa"/>
              <w:right w:w="200" w:type="dxa"/>
            </w:tcMar>
          </w:tcPr>
          <w:p w14:paraId="285A3168" w14:textId="77777777" w:rsidR="00B874B0" w:rsidRDefault="00000000">
            <w:pPr>
              <w:pStyle w:val="Ttulo3"/>
              <w:spacing w:after="80"/>
            </w:pPr>
            <w:bookmarkStart w:id="84" w:name="_Toc236570138"/>
            <w:r>
              <w:t>Caução imobiliária em contrato de locação (comercial) não é hipótese de exceção — impenhorabilidade mantida</w:t>
            </w:r>
            <w:bookmarkEnd w:id="84"/>
          </w:p>
          <w:p w14:paraId="272624DF" w14:textId="77777777" w:rsidR="00B874B0" w:rsidRDefault="00000000">
            <w:pPr>
              <w:spacing w:after="40"/>
            </w:pPr>
            <w:r>
              <w:rPr>
                <w:b/>
                <w:bCs/>
                <w:color w:val="555555"/>
                <w:sz w:val="19"/>
                <w:szCs w:val="19"/>
              </w:rPr>
              <w:t>Tribunal: STJ   |   Órgão: 4ª Turma</w:t>
            </w:r>
          </w:p>
          <w:p w14:paraId="7D613A6D" w14:textId="77777777" w:rsidR="00B874B0" w:rsidRDefault="00000000">
            <w:pPr>
              <w:spacing w:after="40"/>
            </w:pPr>
            <w:r>
              <w:rPr>
                <w:color w:val="555555"/>
                <w:sz w:val="19"/>
                <w:szCs w:val="19"/>
              </w:rPr>
              <w:t>Processo: REsp 1.789.505-SP   |   Relator: Min. Marco Buzzi   |   Data: 22/03/2022 (Info 732)</w:t>
            </w:r>
          </w:p>
          <w:p w14:paraId="160B6960" w14:textId="77777777" w:rsidR="00B874B0" w:rsidRDefault="00000000">
            <w:pPr>
              <w:spacing w:after="100"/>
            </w:pPr>
            <w:r>
              <w:rPr>
                <w:i/>
                <w:iCs/>
                <w:color w:val="555555"/>
                <w:sz w:val="19"/>
                <w:szCs w:val="19"/>
              </w:rPr>
              <w:t>Sistemática: Caso isolado</w:t>
            </w:r>
          </w:p>
          <w:p w14:paraId="4ED6526E" w14:textId="77777777" w:rsidR="00B874B0" w:rsidRDefault="00000000">
            <w:pPr>
              <w:spacing w:after="100"/>
            </w:pPr>
            <w:r>
              <w:rPr>
                <w:b/>
                <w:bCs/>
              </w:rPr>
              <w:t xml:space="preserve">TESE FIXADA / DECISÃO: </w:t>
            </w:r>
            <w:r>
              <w:t>É impenhorável o bem de família oferecido como caução (garantia) em contrato de locação comercial de terceiro, pois a caução imobiliária não está entre as hipóteses taxativas do art. 3º da Lei 8.009/90, que não admitem interpretação extensiva.</w:t>
            </w:r>
          </w:p>
          <w:p w14:paraId="0F25158A" w14:textId="77777777" w:rsidR="00B874B0" w:rsidRDefault="00000000">
            <w:pPr>
              <w:spacing w:after="100"/>
            </w:pPr>
            <w:r>
              <w:rPr>
                <w:b/>
                <w:bCs/>
              </w:rPr>
              <w:t xml:space="preserve">RESUMO DO CASO: </w:t>
            </w:r>
            <w:r>
              <w:t>Um terceiro ofereceu sua casa como caução de contrato de locação comercial alheio (art. 37, I, Lei 8.245/91). Diante da inadimplência do locatário, o locador buscou penhorar o imóvel dado em caução. O STJ negou, distinguindo a caução (não listada nas exceções legais) da fiança (listada no inciso VII) — reforça a mesma tese já fixada anteriormente no REsp 1.873.203-SP (Info 683, locação residencial).</w:t>
            </w:r>
          </w:p>
          <w:p w14:paraId="1CB7FEDD" w14:textId="77777777" w:rsidR="00B874B0" w:rsidRDefault="00000000">
            <w:pPr>
              <w:spacing w:after="40"/>
            </w:pPr>
            <w:r>
              <w:rPr>
                <w:b/>
                <w:bCs/>
              </w:rPr>
              <w:t>COMO PODE SER COBRADO EM PROVA:</w:t>
            </w:r>
          </w:p>
          <w:p w14:paraId="59B932CF" w14:textId="77777777" w:rsidR="00B874B0" w:rsidRDefault="00000000">
            <w:pPr>
              <w:pStyle w:val="PargrafodaLista"/>
              <w:numPr>
                <w:ilvl w:val="0"/>
                <w:numId w:val="2"/>
              </w:numPr>
              <w:spacing w:after="40"/>
            </w:pPr>
            <w:r>
              <w:rPr>
                <w:b/>
                <w:bCs/>
                <w:i/>
                <w:iCs/>
              </w:rPr>
              <w:t xml:space="preserve">Objetiva: </w:t>
            </w:r>
            <w:r>
              <w:t>contrastar caução (NÃO penhorável) com fiança (penhorável) como garantias de locação — armadilha comum em provas objetivas.</w:t>
            </w:r>
          </w:p>
          <w:p w14:paraId="30DF16D4" w14:textId="77777777" w:rsidR="00B874B0" w:rsidRDefault="00000000">
            <w:pPr>
              <w:pStyle w:val="PargrafodaLista"/>
              <w:numPr>
                <w:ilvl w:val="0"/>
                <w:numId w:val="2"/>
              </w:numPr>
              <w:spacing w:after="40"/>
            </w:pPr>
            <w:r>
              <w:rPr>
                <w:b/>
                <w:bCs/>
                <w:i/>
                <w:iCs/>
              </w:rPr>
              <w:t xml:space="preserve">Discursiva/Sentença: </w:t>
            </w:r>
            <w:r>
              <w:t>questão prática pedindo para diferenciar as consequências patrimoniais de garantir uma locação por fiança versus por caução.</w:t>
            </w:r>
          </w:p>
          <w:p w14:paraId="797B7E81" w14:textId="77777777" w:rsidR="00B874B0" w:rsidRDefault="00000000">
            <w:pPr>
              <w:pStyle w:val="PargrafodaLista"/>
              <w:numPr>
                <w:ilvl w:val="0"/>
                <w:numId w:val="2"/>
              </w:numPr>
              <w:spacing w:after="100"/>
            </w:pPr>
            <w:r>
              <w:rPr>
                <w:b/>
                <w:bCs/>
                <w:i/>
                <w:iCs/>
              </w:rPr>
              <w:t xml:space="preserve">Oral: </w:t>
            </w:r>
            <w:r>
              <w:t>"A impenhorabilidade do bem de família é afastada quando o imóvel é oferecido em caução num contrato de locação? E se for fiança?"</w:t>
            </w:r>
          </w:p>
          <w:p w14:paraId="11B1239C" w14:textId="77777777" w:rsidR="00B874B0" w:rsidRDefault="00000000">
            <w:r>
              <w:rPr>
                <w:b/>
                <w:bCs/>
                <w:color w:val="A9762F"/>
              </w:rPr>
              <w:t xml:space="preserve">CONEXÕES: </w:t>
            </w:r>
            <w:r>
              <w:rPr>
                <w:i/>
                <w:iCs/>
              </w:rPr>
              <w:t>REsp 1.873.203-SP (Info 683, mesma tese aplicada à locação residencial); Tema 1127-STF/1091-STJ (fiança); art. 37, I, Lei 8.245/91; art. 3º, VII, Lei 8.009/90.</w:t>
            </w:r>
          </w:p>
        </w:tc>
      </w:tr>
    </w:tbl>
    <w:p w14:paraId="1CEB61A1" w14:textId="77777777" w:rsidR="00B874B0" w:rsidRDefault="00B874B0">
      <w:pPr>
        <w:spacing w:after="160"/>
      </w:pPr>
    </w:p>
    <w:p w14:paraId="0D0D2BF1" w14:textId="77777777" w:rsidR="00B874B0" w:rsidRDefault="00000000">
      <w:pPr>
        <w:pStyle w:val="Ttulo2"/>
        <w:spacing w:after="160"/>
      </w:pPr>
      <w:bookmarkStart w:id="85" w:name="_Toc236570139"/>
      <w:r>
        <w:t>3. Exceções à impenhorabilidade — garantia real (hipoteca/alienação fiduciária) em benefício da entidade familiar</w:t>
      </w:r>
      <w:bookmarkEnd w:id="85"/>
    </w:p>
    <w:tbl>
      <w:tblPr>
        <w:tblW w:w="5000" w:type="pct"/>
        <w:tblBorders>
          <w:top w:val="single" w:sz="8" w:space="0" w:color="C9B78C"/>
          <w:left w:val="single" w:sz="8" w:space="0" w:color="C9B78C"/>
          <w:bottom w:val="single" w:sz="8" w:space="0" w:color="C9B78C"/>
          <w:right w:val="single" w:sz="8" w:space="0" w:color="C9B78C"/>
        </w:tblBorders>
        <w:tblCellMar>
          <w:left w:w="10" w:type="dxa"/>
          <w:right w:w="10" w:type="dxa"/>
        </w:tblCellMar>
        <w:tblLook w:val="04A0" w:firstRow="1" w:lastRow="0" w:firstColumn="1" w:lastColumn="0" w:noHBand="0" w:noVBand="1"/>
      </w:tblPr>
      <w:tblGrid>
        <w:gridCol w:w="9726"/>
      </w:tblGrid>
      <w:tr w:rsidR="00B874B0" w14:paraId="3CB26E28" w14:textId="77777777">
        <w:tblPrEx>
          <w:tblCellMar>
            <w:top w:w="0" w:type="dxa"/>
            <w:bottom w:w="0" w:type="dxa"/>
          </w:tblCellMar>
        </w:tblPrEx>
        <w:tc>
          <w:tcPr>
            <w:tcW w:w="5000" w:type="pct"/>
            <w:shd w:val="clear" w:color="auto" w:fill="F6F1E8"/>
            <w:tcMar>
              <w:top w:w="160" w:type="dxa"/>
              <w:left w:w="200" w:type="dxa"/>
              <w:bottom w:w="160" w:type="dxa"/>
              <w:right w:w="200" w:type="dxa"/>
            </w:tcMar>
          </w:tcPr>
          <w:p w14:paraId="4D5B76D8" w14:textId="77777777" w:rsidR="00B874B0" w:rsidRDefault="00000000">
            <w:pPr>
              <w:pStyle w:val="Ttulo3"/>
              <w:spacing w:after="80"/>
            </w:pPr>
            <w:bookmarkStart w:id="86" w:name="_Toc236570140"/>
            <w:r>
              <w:t>Penhora do bem de família hipotecado por sócio — ônus da prova do benefício à entidade familiar (Tema 1261)</w:t>
            </w:r>
            <w:bookmarkEnd w:id="86"/>
          </w:p>
          <w:p w14:paraId="48EB2272" w14:textId="77777777" w:rsidR="00B874B0" w:rsidRDefault="00000000">
            <w:pPr>
              <w:spacing w:after="40"/>
            </w:pPr>
            <w:r>
              <w:rPr>
                <w:b/>
                <w:bCs/>
                <w:color w:val="555555"/>
                <w:sz w:val="19"/>
                <w:szCs w:val="19"/>
              </w:rPr>
              <w:t>Tribunal: STJ   |   Órgão: 2ª Seção</w:t>
            </w:r>
          </w:p>
          <w:p w14:paraId="7F95516B" w14:textId="77777777" w:rsidR="00B874B0" w:rsidRDefault="00000000">
            <w:pPr>
              <w:spacing w:after="40"/>
            </w:pPr>
            <w:r>
              <w:rPr>
                <w:color w:val="555555"/>
                <w:sz w:val="19"/>
                <w:szCs w:val="19"/>
              </w:rPr>
              <w:t>Processo: REsp 2.093.929-MG e REsp 2.105.326-SP   |   Relator: Min. Antonio Carlos Ferreira   |   Data: 05/06/2025 (Info 855)</w:t>
            </w:r>
          </w:p>
          <w:p w14:paraId="1E616631" w14:textId="77777777" w:rsidR="00B874B0" w:rsidRDefault="00000000">
            <w:pPr>
              <w:spacing w:after="100"/>
            </w:pPr>
            <w:r>
              <w:rPr>
                <w:i/>
                <w:iCs/>
                <w:color w:val="555555"/>
                <w:sz w:val="19"/>
                <w:szCs w:val="19"/>
              </w:rPr>
              <w:t>Sistemática: Recurso Repetitivo — Tema 1261</w:t>
            </w:r>
          </w:p>
          <w:p w14:paraId="199A2412" w14:textId="77777777" w:rsidR="00B874B0" w:rsidRDefault="00000000">
            <w:pPr>
              <w:spacing w:after="100"/>
            </w:pPr>
            <w:r>
              <w:rPr>
                <w:b/>
                <w:bCs/>
              </w:rPr>
              <w:t xml:space="preserve">TESE FIXADA / DECISÃO: </w:t>
            </w:r>
            <w:r>
              <w:t xml:space="preserve">(I) A exceção do art. 3º, V, da Lei 8.009/90 (execução de hipoteca sobre imóvel dado em garantia pelo casal/entidade familiar) restringe-se às dívidas constituídas em benefício da entidade familiar; (II) quanto ao ônus da prova: (a) se o bem foi dado em garantia por um dos sócios de PJ, é em regra </w:t>
            </w:r>
            <w:r>
              <w:lastRenderedPageBreak/>
              <w:t>impenhorável, cabendo ao credor provar que o débito reverteu em benefício da família; (b) se os únicos sócios da PJ são os titulares do imóvel hipotecado, a regra é a penhorabilidade, cabendo aos proprietários provar que o débito NÃO reverteu em seu benefício.</w:t>
            </w:r>
          </w:p>
          <w:p w14:paraId="496677D7" w14:textId="77777777" w:rsidR="00B874B0" w:rsidRDefault="00000000">
            <w:pPr>
              <w:spacing w:after="100"/>
            </w:pPr>
            <w:r>
              <w:rPr>
                <w:b/>
                <w:bCs/>
              </w:rPr>
              <w:t xml:space="preserve">RESUMO DO CASO: </w:t>
            </w:r>
            <w:r>
              <w:t>Julgamento repetitivo que uniformiza a distribuição do ônus probatório nos casos de hipoteca de bem de família dada em garantia de dívida de pessoa jurídica da qual o proprietário é sócio. A tese distingue duas situações-padrão: sócio minoritário/não exclusivo (presunção de impenhorabilidade, ônus do credor) e sócios que são os únicos titulares da empresa e do imóvel (presunção de penhorabilidade, ônus do devedor).</w:t>
            </w:r>
          </w:p>
          <w:p w14:paraId="7B1060DF" w14:textId="77777777" w:rsidR="00B874B0" w:rsidRDefault="00000000">
            <w:pPr>
              <w:spacing w:after="40"/>
            </w:pPr>
            <w:r>
              <w:rPr>
                <w:b/>
                <w:bCs/>
              </w:rPr>
              <w:t>COMO PODE SER COBRADO EM PROVA:</w:t>
            </w:r>
          </w:p>
          <w:p w14:paraId="3E614F30" w14:textId="77777777" w:rsidR="00B874B0" w:rsidRDefault="00000000">
            <w:pPr>
              <w:pStyle w:val="PargrafodaLista"/>
              <w:numPr>
                <w:ilvl w:val="0"/>
                <w:numId w:val="2"/>
              </w:numPr>
              <w:spacing w:after="40"/>
            </w:pPr>
            <w:r>
              <w:rPr>
                <w:b/>
                <w:bCs/>
                <w:i/>
                <w:iCs/>
              </w:rPr>
              <w:t xml:space="preserve">Objetiva: </w:t>
            </w:r>
            <w:r>
              <w:t>questão testando a inversão do ônus da prova conforme o devedor seja sócio único ou não da PJ devedora — tema de repetitivo, altíssima probabilidade de cair.</w:t>
            </w:r>
          </w:p>
          <w:p w14:paraId="3627A7CD" w14:textId="77777777" w:rsidR="00B874B0" w:rsidRDefault="00000000">
            <w:pPr>
              <w:pStyle w:val="PargrafodaLista"/>
              <w:numPr>
                <w:ilvl w:val="0"/>
                <w:numId w:val="2"/>
              </w:numPr>
              <w:spacing w:after="40"/>
            </w:pPr>
            <w:r>
              <w:rPr>
                <w:b/>
                <w:bCs/>
                <w:i/>
                <w:iCs/>
              </w:rPr>
              <w:t xml:space="preserve">Discursiva/Sentença: </w:t>
            </w:r>
            <w:r>
              <w:t>sentença em embargos de terceiro envolvendo hipoteca de imóvel de sócio de sociedade limitada, exigindo aplicação do Tema 1261 com distribuição correta do ônus da prova.</w:t>
            </w:r>
          </w:p>
          <w:p w14:paraId="2A5D2244" w14:textId="77777777" w:rsidR="00B874B0" w:rsidRDefault="00000000">
            <w:pPr>
              <w:pStyle w:val="PargrafodaLista"/>
              <w:numPr>
                <w:ilvl w:val="0"/>
                <w:numId w:val="2"/>
              </w:numPr>
              <w:spacing w:after="100"/>
            </w:pPr>
            <w:r>
              <w:rPr>
                <w:b/>
                <w:bCs/>
                <w:i/>
                <w:iCs/>
              </w:rPr>
              <w:t xml:space="preserve">Oral: </w:t>
            </w:r>
            <w:r>
              <w:t>"Explique a tese do Tema 1261 do STJ sobre penhora de bem de família hipotecado por sócio de pessoa jurídica. Como se distribui o ônus da prova?"</w:t>
            </w:r>
          </w:p>
          <w:p w14:paraId="51F8466C" w14:textId="77777777" w:rsidR="00B874B0" w:rsidRDefault="00000000">
            <w:r>
              <w:rPr>
                <w:b/>
                <w:bCs/>
                <w:color w:val="A9762F"/>
              </w:rPr>
              <w:t xml:space="preserve">CONEXÕES: </w:t>
            </w:r>
            <w:r>
              <w:rPr>
                <w:i/>
                <w:iCs/>
              </w:rPr>
              <w:t>art. 3º, V, Lei 8.009/90; EAREsp 848.498-PR (Info 627, precedente que originou a tese); REsp 2.011.981-SP (Info 875, hipoteca anterior à constituição da família).</w:t>
            </w:r>
          </w:p>
        </w:tc>
      </w:tr>
    </w:tbl>
    <w:p w14:paraId="2438D4F7" w14:textId="77777777" w:rsidR="00B874B0" w:rsidRDefault="00B874B0">
      <w:pPr>
        <w:spacing w:after="160"/>
      </w:pPr>
    </w:p>
    <w:tbl>
      <w:tblPr>
        <w:tblW w:w="5000" w:type="pct"/>
        <w:tblBorders>
          <w:top w:val="single" w:sz="8" w:space="0" w:color="C9B78C"/>
          <w:left w:val="single" w:sz="8" w:space="0" w:color="C9B78C"/>
          <w:bottom w:val="single" w:sz="8" w:space="0" w:color="C9B78C"/>
          <w:right w:val="single" w:sz="8" w:space="0" w:color="C9B78C"/>
        </w:tblBorders>
        <w:tblCellMar>
          <w:left w:w="10" w:type="dxa"/>
          <w:right w:w="10" w:type="dxa"/>
        </w:tblCellMar>
        <w:tblLook w:val="04A0" w:firstRow="1" w:lastRow="0" w:firstColumn="1" w:lastColumn="0" w:noHBand="0" w:noVBand="1"/>
      </w:tblPr>
      <w:tblGrid>
        <w:gridCol w:w="9726"/>
      </w:tblGrid>
      <w:tr w:rsidR="00B874B0" w14:paraId="68C6B954" w14:textId="77777777">
        <w:tblPrEx>
          <w:tblCellMar>
            <w:top w:w="0" w:type="dxa"/>
            <w:bottom w:w="0" w:type="dxa"/>
          </w:tblCellMar>
        </w:tblPrEx>
        <w:tc>
          <w:tcPr>
            <w:tcW w:w="5000" w:type="pct"/>
            <w:shd w:val="clear" w:color="auto" w:fill="F6F1E8"/>
            <w:tcMar>
              <w:top w:w="160" w:type="dxa"/>
              <w:left w:w="200" w:type="dxa"/>
              <w:bottom w:w="160" w:type="dxa"/>
              <w:right w:w="200" w:type="dxa"/>
            </w:tcMar>
          </w:tcPr>
          <w:p w14:paraId="334ED8CE" w14:textId="77777777" w:rsidR="00B874B0" w:rsidRDefault="00000000">
            <w:pPr>
              <w:pStyle w:val="Ttulo3"/>
              <w:spacing w:after="80"/>
            </w:pPr>
            <w:bookmarkStart w:id="87" w:name="_Toc236570141"/>
            <w:r>
              <w:t>Hipoteca anterior à constituição da família — reconhecimento superveniente do bem de família</w:t>
            </w:r>
            <w:bookmarkEnd w:id="87"/>
          </w:p>
          <w:p w14:paraId="72E01ED7" w14:textId="77777777" w:rsidR="00B874B0" w:rsidRDefault="00000000">
            <w:pPr>
              <w:spacing w:after="40"/>
            </w:pPr>
            <w:r>
              <w:rPr>
                <w:b/>
                <w:bCs/>
                <w:color w:val="555555"/>
                <w:sz w:val="19"/>
                <w:szCs w:val="19"/>
              </w:rPr>
              <w:t>Tribunal: STJ   |   Órgão: 3ª Turma</w:t>
            </w:r>
          </w:p>
          <w:p w14:paraId="1B0C0D4D" w14:textId="77777777" w:rsidR="00B874B0" w:rsidRDefault="00000000">
            <w:pPr>
              <w:spacing w:after="40"/>
            </w:pPr>
            <w:r>
              <w:rPr>
                <w:color w:val="555555"/>
                <w:sz w:val="19"/>
                <w:szCs w:val="19"/>
              </w:rPr>
              <w:t>Processo: REsp 2.011.981-SP   |   Relator: Min. Ricardo Villas Bôas Cueva   |   Data: 09/12/2025 (Info 875)</w:t>
            </w:r>
          </w:p>
          <w:p w14:paraId="38670BBB" w14:textId="77777777" w:rsidR="00B874B0" w:rsidRDefault="00000000">
            <w:pPr>
              <w:spacing w:after="100"/>
            </w:pPr>
            <w:r>
              <w:rPr>
                <w:i/>
                <w:iCs/>
                <w:color w:val="555555"/>
                <w:sz w:val="19"/>
                <w:szCs w:val="19"/>
              </w:rPr>
              <w:t>Sistemática: Caso isolado</w:t>
            </w:r>
          </w:p>
          <w:p w14:paraId="6439C6B8" w14:textId="77777777" w:rsidR="00B874B0" w:rsidRDefault="00000000">
            <w:pPr>
              <w:spacing w:after="100"/>
            </w:pPr>
            <w:r>
              <w:rPr>
                <w:b/>
                <w:bCs/>
              </w:rPr>
              <w:t xml:space="preserve">TESE FIXADA / DECISÃO: </w:t>
            </w:r>
            <w:r>
              <w:t>O fato de a união estável e o nascimento de filho terem ocorrido depois da constituição da hipoteca não impede o reconhecimento da impenhorabilidade como bem de família, desde que comprovada a utilização do imóvel como residência da entidade familiar — a proteção se estende a situações supervenientes, inclusive posteriores à própria penhora.</w:t>
            </w:r>
          </w:p>
          <w:p w14:paraId="17896D1E" w14:textId="77777777" w:rsidR="00B874B0" w:rsidRDefault="00000000">
            <w:pPr>
              <w:spacing w:after="100"/>
            </w:pPr>
            <w:r>
              <w:rPr>
                <w:b/>
                <w:bCs/>
              </w:rPr>
              <w:t xml:space="preserve">RESUMO DO CASO: </w:t>
            </w:r>
            <w:r>
              <w:t>Sócio ofereceu apartamento em hipoteca (2009/2010), quando ainda solteiro e sem filhos, como garantia de empréstimo da empresa. Depois, em 2011, constituiu união estável e teve filho, passando a família a residir no imóvel. Diante da execução, os familiares opuseram embargos de terceiro alegando bem de família (o empréstimo não beneficiara a família). O STJ acolheu, priorizando a proteção ao direito fundamental à moradia e à dignidade humana mesmo diante de fatos supervenientes à garantia.</w:t>
            </w:r>
          </w:p>
          <w:p w14:paraId="0E2BDD6F" w14:textId="77777777" w:rsidR="00B874B0" w:rsidRDefault="00000000">
            <w:pPr>
              <w:spacing w:after="40"/>
            </w:pPr>
            <w:r>
              <w:rPr>
                <w:b/>
                <w:bCs/>
              </w:rPr>
              <w:t>COMO PODE SER COBRADO EM PROVA:</w:t>
            </w:r>
          </w:p>
          <w:p w14:paraId="43DAB461" w14:textId="77777777" w:rsidR="00B874B0" w:rsidRDefault="00000000">
            <w:pPr>
              <w:pStyle w:val="PargrafodaLista"/>
              <w:numPr>
                <w:ilvl w:val="0"/>
                <w:numId w:val="2"/>
              </w:numPr>
              <w:spacing w:after="40"/>
            </w:pPr>
            <w:r>
              <w:rPr>
                <w:b/>
                <w:bCs/>
                <w:i/>
                <w:iCs/>
              </w:rPr>
              <w:t xml:space="preserve">Objetiva: </w:t>
            </w:r>
            <w:r>
              <w:t>testar se a superveniência da constituição familiar após a garantia real afasta a proteção (não afasta).</w:t>
            </w:r>
          </w:p>
          <w:p w14:paraId="3846CAE6" w14:textId="77777777" w:rsidR="00B874B0" w:rsidRDefault="00000000">
            <w:pPr>
              <w:pStyle w:val="PargrafodaLista"/>
              <w:numPr>
                <w:ilvl w:val="0"/>
                <w:numId w:val="2"/>
              </w:numPr>
              <w:spacing w:after="40"/>
            </w:pPr>
            <w:r>
              <w:rPr>
                <w:b/>
                <w:bCs/>
                <w:i/>
                <w:iCs/>
              </w:rPr>
              <w:t xml:space="preserve">Discursiva/Sentença: </w:t>
            </w:r>
            <w:r>
              <w:t>caso em que a garantia foi dada antes do casamento/união estável — discutir o momento relevante para aferição do bem de família.</w:t>
            </w:r>
          </w:p>
          <w:p w14:paraId="0EE2B558" w14:textId="77777777" w:rsidR="00B874B0" w:rsidRDefault="00000000">
            <w:pPr>
              <w:pStyle w:val="PargrafodaLista"/>
              <w:numPr>
                <w:ilvl w:val="0"/>
                <w:numId w:val="2"/>
              </w:numPr>
              <w:spacing w:after="100"/>
            </w:pPr>
            <w:r>
              <w:rPr>
                <w:b/>
                <w:bCs/>
                <w:i/>
                <w:iCs/>
              </w:rPr>
              <w:t xml:space="preserve">Oral: </w:t>
            </w:r>
            <w:r>
              <w:t>"O bem de família deve existir no momento da constituição da garantia ou pode ser reconhecido supervenientemente?"</w:t>
            </w:r>
          </w:p>
          <w:p w14:paraId="2A53B801" w14:textId="77777777" w:rsidR="00B874B0" w:rsidRDefault="00000000">
            <w:r>
              <w:rPr>
                <w:b/>
                <w:bCs/>
                <w:color w:val="A9762F"/>
              </w:rPr>
              <w:t xml:space="preserve">CONEXÕES: </w:t>
            </w:r>
            <w:r>
              <w:rPr>
                <w:i/>
                <w:iCs/>
              </w:rPr>
              <w:t>Tema 1261-STJ (Info 855, ônus da prova de benefício à família); Súmula 364-STJ (conceito ampliado de entidade familiar).</w:t>
            </w:r>
          </w:p>
        </w:tc>
      </w:tr>
    </w:tbl>
    <w:p w14:paraId="2AC0C9D9" w14:textId="77777777" w:rsidR="00B874B0" w:rsidRDefault="00B874B0">
      <w:pPr>
        <w:spacing w:after="160"/>
      </w:pPr>
    </w:p>
    <w:tbl>
      <w:tblPr>
        <w:tblW w:w="5000" w:type="pct"/>
        <w:tblBorders>
          <w:top w:val="single" w:sz="8" w:space="0" w:color="C9B78C"/>
          <w:left w:val="single" w:sz="8" w:space="0" w:color="C9B78C"/>
          <w:bottom w:val="single" w:sz="8" w:space="0" w:color="C9B78C"/>
          <w:right w:val="single" w:sz="8" w:space="0" w:color="C9B78C"/>
        </w:tblBorders>
        <w:tblCellMar>
          <w:left w:w="10" w:type="dxa"/>
          <w:right w:w="10" w:type="dxa"/>
        </w:tblCellMar>
        <w:tblLook w:val="04A0" w:firstRow="1" w:lastRow="0" w:firstColumn="1" w:lastColumn="0" w:noHBand="0" w:noVBand="1"/>
      </w:tblPr>
      <w:tblGrid>
        <w:gridCol w:w="9726"/>
      </w:tblGrid>
      <w:tr w:rsidR="00B874B0" w14:paraId="31D59D82" w14:textId="77777777">
        <w:tblPrEx>
          <w:tblCellMar>
            <w:top w:w="0" w:type="dxa"/>
            <w:bottom w:w="0" w:type="dxa"/>
          </w:tblCellMar>
        </w:tblPrEx>
        <w:tc>
          <w:tcPr>
            <w:tcW w:w="5000" w:type="pct"/>
            <w:shd w:val="clear" w:color="auto" w:fill="F6F1E8"/>
            <w:tcMar>
              <w:top w:w="160" w:type="dxa"/>
              <w:left w:w="200" w:type="dxa"/>
              <w:bottom w:w="160" w:type="dxa"/>
              <w:right w:w="200" w:type="dxa"/>
            </w:tcMar>
          </w:tcPr>
          <w:p w14:paraId="410C46C0" w14:textId="77777777" w:rsidR="00B874B0" w:rsidRDefault="00000000">
            <w:pPr>
              <w:pStyle w:val="Ttulo3"/>
              <w:spacing w:after="80"/>
            </w:pPr>
            <w:bookmarkStart w:id="88" w:name="_Toc236570142"/>
            <w:r>
              <w:t>Impenhorabilidade da pequena propriedade rural também na consolidação extrajudicial de alienação fiduciária</w:t>
            </w:r>
            <w:bookmarkEnd w:id="88"/>
          </w:p>
          <w:p w14:paraId="0F030114" w14:textId="77777777" w:rsidR="00B874B0" w:rsidRDefault="00000000">
            <w:pPr>
              <w:spacing w:after="40"/>
            </w:pPr>
            <w:r>
              <w:rPr>
                <w:b/>
                <w:bCs/>
                <w:color w:val="555555"/>
                <w:sz w:val="19"/>
                <w:szCs w:val="19"/>
              </w:rPr>
              <w:t>Tribunal: STJ   |   Órgão: 3ª Turma</w:t>
            </w:r>
          </w:p>
          <w:p w14:paraId="014D2121" w14:textId="77777777" w:rsidR="00B874B0" w:rsidRDefault="00000000">
            <w:pPr>
              <w:spacing w:after="40"/>
            </w:pPr>
            <w:r>
              <w:rPr>
                <w:color w:val="555555"/>
                <w:sz w:val="19"/>
                <w:szCs w:val="19"/>
              </w:rPr>
              <w:t>Processo: REsp 2.233.886-RS   |   Relator: Min. Nancy Andrighi   |   Data: 09/12/2025 (Info 875)</w:t>
            </w:r>
          </w:p>
          <w:p w14:paraId="06FC9FB2" w14:textId="77777777" w:rsidR="00B874B0" w:rsidRDefault="00000000">
            <w:pPr>
              <w:spacing w:after="100"/>
            </w:pPr>
            <w:r>
              <w:rPr>
                <w:i/>
                <w:iCs/>
                <w:color w:val="555555"/>
                <w:sz w:val="19"/>
                <w:szCs w:val="19"/>
              </w:rPr>
              <w:t>Sistemática: Caso isolado</w:t>
            </w:r>
          </w:p>
          <w:p w14:paraId="248725B1" w14:textId="77777777" w:rsidR="00B874B0" w:rsidRDefault="00000000">
            <w:pPr>
              <w:spacing w:after="100"/>
            </w:pPr>
            <w:r>
              <w:rPr>
                <w:b/>
                <w:bCs/>
              </w:rPr>
              <w:lastRenderedPageBreak/>
              <w:t xml:space="preserve">TESE FIXADA / DECISÃO: </w:t>
            </w:r>
            <w:r>
              <w:t>A impenhorabilidade da pequena propriedade rural (até 4 módulos fiscais, explorada pela família — art. 5º, XXVI, CF e art. 833, VIII, CPC) é direito fundamental indisponível, que não pode ser afastado por vontade das partes, ainda que o bem tenha sido voluntariamente dado em garantia. A proteção é oponível tanto à penhora judicial quanto à consolidação extrajudicial da propriedade fiduciária.</w:t>
            </w:r>
          </w:p>
          <w:p w14:paraId="6FBDB4DA" w14:textId="77777777" w:rsidR="00B874B0" w:rsidRDefault="00000000">
            <w:pPr>
              <w:spacing w:after="100"/>
            </w:pPr>
            <w:r>
              <w:rPr>
                <w:b/>
                <w:bCs/>
              </w:rPr>
              <w:t xml:space="preserve">RESUMO DO CASO: </w:t>
            </w:r>
            <w:r>
              <w:t>Casal ofereceu pequena propriedade rural em alienação fiduciária como garantia de empréstimo a cooperativa de crédito. Diante da inadimplência, a cooperativa iniciou consolidação extrajudicial da propriedade fiduciária. O STJ impediu, equiparando a alienação fiduciária a uma "hipoteca moderna" e afirmando que a impenhorabilidade prevalece sobre atos extrajudiciais de expropriação, e não apenas sobre a penhora judicial.</w:t>
            </w:r>
          </w:p>
          <w:p w14:paraId="5BD00492" w14:textId="77777777" w:rsidR="00B874B0" w:rsidRDefault="00000000">
            <w:pPr>
              <w:spacing w:after="40"/>
            </w:pPr>
            <w:r>
              <w:rPr>
                <w:b/>
                <w:bCs/>
              </w:rPr>
              <w:t>COMO PODE SER COBRADO EM PROVA:</w:t>
            </w:r>
          </w:p>
          <w:p w14:paraId="564C3087" w14:textId="77777777" w:rsidR="00B874B0" w:rsidRDefault="00000000">
            <w:pPr>
              <w:pStyle w:val="PargrafodaLista"/>
              <w:numPr>
                <w:ilvl w:val="0"/>
                <w:numId w:val="2"/>
              </w:numPr>
              <w:spacing w:after="40"/>
            </w:pPr>
            <w:r>
              <w:rPr>
                <w:b/>
                <w:bCs/>
                <w:i/>
                <w:iCs/>
              </w:rPr>
              <w:t xml:space="preserve">Objetiva: </w:t>
            </w:r>
            <w:r>
              <w:t>testar se a impenhorabilidade da pequena propriedade rural pode ser afastada por vontade do proprietário (não pode) e se abrange também procedimentos extrajudiciais (abrange).</w:t>
            </w:r>
          </w:p>
          <w:p w14:paraId="43EE7C91" w14:textId="77777777" w:rsidR="00B874B0" w:rsidRDefault="00000000">
            <w:pPr>
              <w:pStyle w:val="PargrafodaLista"/>
              <w:numPr>
                <w:ilvl w:val="0"/>
                <w:numId w:val="2"/>
              </w:numPr>
              <w:spacing w:after="40"/>
            </w:pPr>
            <w:r>
              <w:rPr>
                <w:b/>
                <w:bCs/>
                <w:i/>
                <w:iCs/>
              </w:rPr>
              <w:t xml:space="preserve">Discursiva/Sentença: </w:t>
            </w:r>
            <w:r>
              <w:t>parecer sobre consolidação extrajudicial de propriedade fiduciária de imóvel rural familiar dado em garantia — aplicar a tese analogamente ao bem de família urbano.</w:t>
            </w:r>
          </w:p>
          <w:p w14:paraId="2F2D9221" w14:textId="77777777" w:rsidR="00B874B0" w:rsidRDefault="00000000">
            <w:pPr>
              <w:pStyle w:val="PargrafodaLista"/>
              <w:numPr>
                <w:ilvl w:val="0"/>
                <w:numId w:val="2"/>
              </w:numPr>
              <w:spacing w:after="100"/>
            </w:pPr>
            <w:r>
              <w:rPr>
                <w:b/>
                <w:bCs/>
                <w:i/>
                <w:iCs/>
              </w:rPr>
              <w:t xml:space="preserve">Oral: </w:t>
            </w:r>
            <w:r>
              <w:t>"A impenhorabilidade de bens protegidos alcança apenas a penhora judicial ou também atos extrajudiciais como a consolidação da propriedade fiduciária?"</w:t>
            </w:r>
          </w:p>
          <w:p w14:paraId="024BD276" w14:textId="77777777" w:rsidR="00B874B0" w:rsidRDefault="00000000">
            <w:r>
              <w:rPr>
                <w:b/>
                <w:bCs/>
                <w:color w:val="A9762F"/>
              </w:rPr>
              <w:t xml:space="preserve">CONEXÕES: </w:t>
            </w:r>
            <w:r>
              <w:rPr>
                <w:i/>
                <w:iCs/>
              </w:rPr>
              <w:t>art. 5º, XXVI, CF; art. 833, VIII, CPC; tema análogo ao regime do bem de família da Lei 8.009/90 (mesma lógica de norma de ordem pública protetiva).</w:t>
            </w:r>
          </w:p>
        </w:tc>
      </w:tr>
    </w:tbl>
    <w:p w14:paraId="6B08573F" w14:textId="77777777" w:rsidR="00B874B0" w:rsidRDefault="00B874B0">
      <w:pPr>
        <w:spacing w:after="160"/>
      </w:pPr>
    </w:p>
    <w:tbl>
      <w:tblPr>
        <w:tblW w:w="5000" w:type="pct"/>
        <w:tblBorders>
          <w:top w:val="single" w:sz="8" w:space="0" w:color="C9B78C"/>
          <w:left w:val="single" w:sz="8" w:space="0" w:color="C9B78C"/>
          <w:bottom w:val="single" w:sz="8" w:space="0" w:color="C9B78C"/>
          <w:right w:val="single" w:sz="8" w:space="0" w:color="C9B78C"/>
        </w:tblBorders>
        <w:tblCellMar>
          <w:left w:w="10" w:type="dxa"/>
          <w:right w:w="10" w:type="dxa"/>
        </w:tblCellMar>
        <w:tblLook w:val="04A0" w:firstRow="1" w:lastRow="0" w:firstColumn="1" w:lastColumn="0" w:noHBand="0" w:noVBand="1"/>
      </w:tblPr>
      <w:tblGrid>
        <w:gridCol w:w="9726"/>
      </w:tblGrid>
      <w:tr w:rsidR="00B874B0" w14:paraId="708D1877" w14:textId="77777777">
        <w:tblPrEx>
          <w:tblCellMar>
            <w:top w:w="0" w:type="dxa"/>
            <w:bottom w:w="0" w:type="dxa"/>
          </w:tblCellMar>
        </w:tblPrEx>
        <w:tc>
          <w:tcPr>
            <w:tcW w:w="5000" w:type="pct"/>
            <w:shd w:val="clear" w:color="auto" w:fill="F6F1E8"/>
            <w:tcMar>
              <w:top w:w="160" w:type="dxa"/>
              <w:left w:w="200" w:type="dxa"/>
              <w:bottom w:w="160" w:type="dxa"/>
              <w:right w:w="200" w:type="dxa"/>
            </w:tcMar>
          </w:tcPr>
          <w:p w14:paraId="3A08069F" w14:textId="77777777" w:rsidR="00B874B0" w:rsidRDefault="00000000">
            <w:pPr>
              <w:pStyle w:val="Ttulo3"/>
              <w:spacing w:after="80"/>
            </w:pPr>
            <w:bookmarkStart w:id="89" w:name="_Toc236570143"/>
            <w:r>
              <w:t>Oferta voluntária do único imóvel em garantia de alienação fiduciária para beneficiar pessoa jurídica</w:t>
            </w:r>
            <w:bookmarkEnd w:id="89"/>
          </w:p>
          <w:p w14:paraId="60F2C99E" w14:textId="77777777" w:rsidR="00B874B0" w:rsidRDefault="00000000">
            <w:pPr>
              <w:spacing w:after="40"/>
            </w:pPr>
            <w:r>
              <w:rPr>
                <w:b/>
                <w:bCs/>
                <w:color w:val="555555"/>
                <w:sz w:val="19"/>
                <w:szCs w:val="19"/>
              </w:rPr>
              <w:t>Tribunal: STJ   |   Órgão: 2ª Seção</w:t>
            </w:r>
          </w:p>
          <w:p w14:paraId="5D2D93A7" w14:textId="77777777" w:rsidR="00B874B0" w:rsidRDefault="00000000">
            <w:pPr>
              <w:spacing w:after="40"/>
            </w:pPr>
            <w:r>
              <w:rPr>
                <w:color w:val="555555"/>
                <w:sz w:val="19"/>
                <w:szCs w:val="19"/>
              </w:rPr>
              <w:t>Processo: EREsp 1.559.348-DF   |   Relator: Min. Moura Ribeiro   |   Data: 24/05/2023 (Info 776)</w:t>
            </w:r>
          </w:p>
          <w:p w14:paraId="38866508" w14:textId="77777777" w:rsidR="00B874B0" w:rsidRDefault="00000000">
            <w:pPr>
              <w:spacing w:after="100"/>
            </w:pPr>
            <w:r>
              <w:rPr>
                <w:i/>
                <w:iCs/>
                <w:color w:val="555555"/>
                <w:sz w:val="19"/>
                <w:szCs w:val="19"/>
              </w:rPr>
              <w:t>Sistemática: Embargos de Divergência — uniformização por Seção</w:t>
            </w:r>
          </w:p>
          <w:p w14:paraId="16DEA4F2" w14:textId="77777777" w:rsidR="00B874B0" w:rsidRDefault="00000000">
            <w:pPr>
              <w:spacing w:after="100"/>
            </w:pPr>
            <w:r>
              <w:rPr>
                <w:b/>
                <w:bCs/>
              </w:rPr>
              <w:t xml:space="preserve">TESE FIXADA / DECISÃO: </w:t>
            </w:r>
            <w:r>
              <w:t>A oferta voluntária do único imóvel residencial em garantia de contrato de mútuo, por alienação fiduciária, para favorecer pessoa jurídica da qual os proprietários são sócios, não conta com a proteção irrestrita do bem de família.</w:t>
            </w:r>
          </w:p>
          <w:p w14:paraId="766AA4DD" w14:textId="77777777" w:rsidR="00B874B0" w:rsidRDefault="00000000">
            <w:pPr>
              <w:spacing w:after="100"/>
            </w:pPr>
            <w:r>
              <w:rPr>
                <w:b/>
                <w:bCs/>
              </w:rPr>
              <w:t xml:space="preserve">RESUMO DO CASO: </w:t>
            </w:r>
            <w:r>
              <w:t>Casal sócio de empresa deu seu apartamento (onde residiam) em alienação fiduciária como garantia de empréstimo de R$ 1 milhão tomado pela pessoa jurídica. Diante do inadimplemento, o banco iniciou a consolidação da propriedade em seu nome. O STJ, em embargos de divergência, decidiu que não há proteção irrestrita nesse cenário, alinhando-se à lógica de que garantias reais dadas para beneficiar a PJ da qual os proprietários são únicos sócios afastam, em regra, a impenhorabilidade.</w:t>
            </w:r>
          </w:p>
          <w:p w14:paraId="7443A107" w14:textId="77777777" w:rsidR="00B874B0" w:rsidRDefault="00000000">
            <w:pPr>
              <w:spacing w:after="40"/>
            </w:pPr>
            <w:r>
              <w:rPr>
                <w:b/>
                <w:bCs/>
              </w:rPr>
              <w:t>COMO PODE SER COBRADO EM PROVA:</w:t>
            </w:r>
          </w:p>
          <w:p w14:paraId="6185755D" w14:textId="77777777" w:rsidR="00B874B0" w:rsidRDefault="00000000">
            <w:pPr>
              <w:pStyle w:val="PargrafodaLista"/>
              <w:numPr>
                <w:ilvl w:val="0"/>
                <w:numId w:val="2"/>
              </w:numPr>
              <w:spacing w:after="40"/>
            </w:pPr>
            <w:r>
              <w:rPr>
                <w:b/>
                <w:bCs/>
                <w:i/>
                <w:iCs/>
              </w:rPr>
              <w:t xml:space="preserve">Objetiva: </w:t>
            </w:r>
            <w:r>
              <w:t>relacionar este caso ao Tema 1261 (ônus da prova quando os proprietários são os únicos sócios da PJ beneficiada).</w:t>
            </w:r>
          </w:p>
          <w:p w14:paraId="57F4594F" w14:textId="77777777" w:rsidR="00B874B0" w:rsidRDefault="00000000">
            <w:pPr>
              <w:pStyle w:val="PargrafodaLista"/>
              <w:numPr>
                <w:ilvl w:val="0"/>
                <w:numId w:val="2"/>
              </w:numPr>
              <w:spacing w:after="40"/>
            </w:pPr>
            <w:r>
              <w:rPr>
                <w:b/>
                <w:bCs/>
                <w:i/>
                <w:iCs/>
              </w:rPr>
              <w:t xml:space="preserve">Discursiva/Sentença: </w:t>
            </w:r>
            <w:r>
              <w:t>caso de casal sócio único de empresa que oferece a residência em alienação fiduciária para garantir mútuo empresarial — discutir a penhorabilidade.</w:t>
            </w:r>
          </w:p>
          <w:p w14:paraId="54131473" w14:textId="77777777" w:rsidR="00B874B0" w:rsidRDefault="00000000">
            <w:pPr>
              <w:pStyle w:val="PargrafodaLista"/>
              <w:numPr>
                <w:ilvl w:val="0"/>
                <w:numId w:val="2"/>
              </w:numPr>
              <w:spacing w:after="100"/>
            </w:pPr>
            <w:r>
              <w:rPr>
                <w:b/>
                <w:bCs/>
                <w:i/>
                <w:iCs/>
              </w:rPr>
              <w:t xml:space="preserve">Oral: </w:t>
            </w:r>
            <w:r>
              <w:t>"A alienação fiduciária de bem de família em garantia de dívida de pessoa jurídica da qual o proprietário é sócio goza de proteção irrestrita?"</w:t>
            </w:r>
          </w:p>
          <w:p w14:paraId="7B045711" w14:textId="77777777" w:rsidR="00B874B0" w:rsidRDefault="00000000">
            <w:r>
              <w:rPr>
                <w:b/>
                <w:bCs/>
                <w:color w:val="A9762F"/>
              </w:rPr>
              <w:t xml:space="preserve">CONEXÕES: </w:t>
            </w:r>
            <w:r>
              <w:rPr>
                <w:i/>
                <w:iCs/>
              </w:rPr>
              <w:t>Tema 1261-STJ (Info 855); EAREsp 848.498-PR (Info 627); REsp 2.233.886-RS (Info 875, alienação fiduciária e impenhorabilidade rural).</w:t>
            </w:r>
          </w:p>
        </w:tc>
      </w:tr>
    </w:tbl>
    <w:p w14:paraId="6FF07FA5" w14:textId="77777777" w:rsidR="00B874B0" w:rsidRDefault="00B874B0">
      <w:pPr>
        <w:spacing w:after="160"/>
      </w:pPr>
    </w:p>
    <w:p w14:paraId="785DC4DD" w14:textId="77777777" w:rsidR="00B874B0" w:rsidRDefault="00000000">
      <w:pPr>
        <w:pStyle w:val="Ttulo2"/>
        <w:spacing w:after="160"/>
      </w:pPr>
      <w:bookmarkStart w:id="90" w:name="_Toc236570144"/>
      <w:r>
        <w:t>4. Exceções à impenhorabilidade — crédito para construção, aquisição ou reforma do próprio imóvel (art. 3º, II)</w:t>
      </w:r>
      <w:bookmarkEnd w:id="90"/>
    </w:p>
    <w:tbl>
      <w:tblPr>
        <w:tblW w:w="5000" w:type="pct"/>
        <w:tblBorders>
          <w:top w:val="single" w:sz="8" w:space="0" w:color="C9B78C"/>
          <w:left w:val="single" w:sz="8" w:space="0" w:color="C9B78C"/>
          <w:bottom w:val="single" w:sz="8" w:space="0" w:color="C9B78C"/>
          <w:right w:val="single" w:sz="8" w:space="0" w:color="C9B78C"/>
        </w:tblBorders>
        <w:tblCellMar>
          <w:left w:w="10" w:type="dxa"/>
          <w:right w:w="10" w:type="dxa"/>
        </w:tblCellMar>
        <w:tblLook w:val="04A0" w:firstRow="1" w:lastRow="0" w:firstColumn="1" w:lastColumn="0" w:noHBand="0" w:noVBand="1"/>
      </w:tblPr>
      <w:tblGrid>
        <w:gridCol w:w="9726"/>
      </w:tblGrid>
      <w:tr w:rsidR="00B874B0" w14:paraId="06A3B57A" w14:textId="77777777">
        <w:tblPrEx>
          <w:tblCellMar>
            <w:top w:w="0" w:type="dxa"/>
            <w:bottom w:w="0" w:type="dxa"/>
          </w:tblCellMar>
        </w:tblPrEx>
        <w:tc>
          <w:tcPr>
            <w:tcW w:w="5000" w:type="pct"/>
            <w:shd w:val="clear" w:color="auto" w:fill="F6F1E8"/>
            <w:tcMar>
              <w:top w:w="160" w:type="dxa"/>
              <w:left w:w="200" w:type="dxa"/>
              <w:bottom w:w="160" w:type="dxa"/>
              <w:right w:w="200" w:type="dxa"/>
            </w:tcMar>
          </w:tcPr>
          <w:p w14:paraId="40565017" w14:textId="77777777" w:rsidR="00B874B0" w:rsidRDefault="00000000">
            <w:pPr>
              <w:pStyle w:val="Ttulo3"/>
              <w:spacing w:after="80"/>
            </w:pPr>
            <w:bookmarkStart w:id="91" w:name="_Toc236570145"/>
            <w:r>
              <w:t>Penhora do bem de família para pagamento de dívida de reforma do próprio imóvel</w:t>
            </w:r>
            <w:bookmarkEnd w:id="91"/>
          </w:p>
          <w:p w14:paraId="4A4B5B4C" w14:textId="77777777" w:rsidR="00B874B0" w:rsidRDefault="00000000">
            <w:pPr>
              <w:spacing w:after="40"/>
            </w:pPr>
            <w:r>
              <w:rPr>
                <w:b/>
                <w:bCs/>
                <w:color w:val="555555"/>
                <w:sz w:val="19"/>
                <w:szCs w:val="19"/>
              </w:rPr>
              <w:t>Tribunal: STJ   |   Órgão: 3ª Turma</w:t>
            </w:r>
          </w:p>
          <w:p w14:paraId="47FA3D63" w14:textId="77777777" w:rsidR="00B874B0" w:rsidRDefault="00000000">
            <w:pPr>
              <w:spacing w:after="40"/>
            </w:pPr>
            <w:r>
              <w:rPr>
                <w:color w:val="555555"/>
                <w:sz w:val="19"/>
                <w:szCs w:val="19"/>
              </w:rPr>
              <w:lastRenderedPageBreak/>
              <w:t>Processo: REsp 2.082.860-RS   |   Relator: Min. Nancy Andrighi   |   Data: 06/02/2024 (Info 800)</w:t>
            </w:r>
          </w:p>
          <w:p w14:paraId="6611E371" w14:textId="77777777" w:rsidR="00B874B0" w:rsidRDefault="00000000">
            <w:pPr>
              <w:spacing w:after="100"/>
            </w:pPr>
            <w:r>
              <w:rPr>
                <w:i/>
                <w:iCs/>
                <w:color w:val="555555"/>
                <w:sz w:val="19"/>
                <w:szCs w:val="19"/>
              </w:rPr>
              <w:t>Sistemática: Caso isolado</w:t>
            </w:r>
          </w:p>
          <w:p w14:paraId="574F5624" w14:textId="77777777" w:rsidR="00B874B0" w:rsidRDefault="00000000">
            <w:pPr>
              <w:spacing w:after="100"/>
            </w:pPr>
            <w:r>
              <w:rPr>
                <w:b/>
                <w:bCs/>
              </w:rPr>
              <w:t xml:space="preserve">TESE FIXADA / DECISÃO: </w:t>
            </w:r>
            <w:r>
              <w:t>É possível a penhora do bem de família para assegurar o pagamento de dívida contraída para a reforma desse mesmo imóvel, com base na exceção do art. 3º, II, da Lei 8.009/90 (crédito decorrente de financiamento para construção/aquisição do imóvel).</w:t>
            </w:r>
          </w:p>
          <w:p w14:paraId="19A89918" w14:textId="77777777" w:rsidR="00B874B0" w:rsidRDefault="00000000">
            <w:pPr>
              <w:spacing w:after="100"/>
            </w:pPr>
            <w:r>
              <w:rPr>
                <w:b/>
                <w:bCs/>
              </w:rPr>
              <w:t xml:space="preserve">RESUMO DO CASO: </w:t>
            </w:r>
            <w:r>
              <w:t>Arquiteta contratada para projeto e coordenação de reforma de apartamento não recebeu o pagamento e obteve título executivo judicial. Em cumprimento de sentença, pediu a penhora do próprio apartamento reformado, mesmo sendo bem de família da devedora. O STJ deferiu, afirmando que a norma visa impedir que o devedor use a impenhorabilidade como escudo contra dívida relativa ao próprio bem (construção, aquisição ou, por extensão, reforma).</w:t>
            </w:r>
          </w:p>
          <w:p w14:paraId="7405E46A" w14:textId="77777777" w:rsidR="00B874B0" w:rsidRDefault="00000000">
            <w:pPr>
              <w:spacing w:after="40"/>
            </w:pPr>
            <w:r>
              <w:rPr>
                <w:b/>
                <w:bCs/>
              </w:rPr>
              <w:t>COMO PODE SER COBRADO EM PROVA:</w:t>
            </w:r>
          </w:p>
          <w:p w14:paraId="2118A747" w14:textId="77777777" w:rsidR="00B874B0" w:rsidRDefault="00000000">
            <w:pPr>
              <w:pStyle w:val="PargrafodaLista"/>
              <w:numPr>
                <w:ilvl w:val="0"/>
                <w:numId w:val="2"/>
              </w:numPr>
              <w:spacing w:after="40"/>
            </w:pPr>
            <w:r>
              <w:rPr>
                <w:b/>
                <w:bCs/>
                <w:i/>
                <w:iCs/>
              </w:rPr>
              <w:t xml:space="preserve">Objetiva: </w:t>
            </w:r>
            <w:r>
              <w:t>testar se a exceção do inciso II abrange também dívidas de reforma (abrange, por interpretação finalística) e não apenas financiamento para aquisição/construção.</w:t>
            </w:r>
          </w:p>
          <w:p w14:paraId="49D61081" w14:textId="77777777" w:rsidR="00B874B0" w:rsidRDefault="00000000">
            <w:pPr>
              <w:pStyle w:val="PargrafodaLista"/>
              <w:numPr>
                <w:ilvl w:val="0"/>
                <w:numId w:val="2"/>
              </w:numPr>
              <w:spacing w:after="40"/>
            </w:pPr>
            <w:r>
              <w:rPr>
                <w:b/>
                <w:bCs/>
                <w:i/>
                <w:iCs/>
              </w:rPr>
              <w:t xml:space="preserve">Discursiva/Sentença: </w:t>
            </w:r>
            <w:r>
              <w:t>caso de dívida com profissional que reformou o imóvel do devedor — analisar a penhorabilidade.</w:t>
            </w:r>
          </w:p>
          <w:p w14:paraId="34440A2B" w14:textId="77777777" w:rsidR="00B874B0" w:rsidRDefault="00000000">
            <w:pPr>
              <w:pStyle w:val="PargrafodaLista"/>
              <w:numPr>
                <w:ilvl w:val="0"/>
                <w:numId w:val="2"/>
              </w:numPr>
              <w:spacing w:after="100"/>
            </w:pPr>
            <w:r>
              <w:rPr>
                <w:b/>
                <w:bCs/>
                <w:i/>
                <w:iCs/>
              </w:rPr>
              <w:t xml:space="preserve">Oral: </w:t>
            </w:r>
            <w:r>
              <w:t>"A exceção do art. 3º, II, da Lei 8.009/90 se limita ao financiamento de aquisição/construção ou também abrange dívidas de reforma do imóvel?"</w:t>
            </w:r>
          </w:p>
          <w:p w14:paraId="3146DD47" w14:textId="77777777" w:rsidR="00B874B0" w:rsidRDefault="00000000">
            <w:r>
              <w:rPr>
                <w:b/>
                <w:bCs/>
                <w:color w:val="A9762F"/>
              </w:rPr>
              <w:t xml:space="preserve">CONEXÕES: </w:t>
            </w:r>
            <w:r>
              <w:rPr>
                <w:i/>
                <w:iCs/>
              </w:rPr>
              <w:t>REsp 1.976.743-SC (Info 728, empreitada global); REsp 1.221.372-RS (Info 658, empreitada parcial); REsp 1.935.842-PR (Info 702, sub-rogação real).</w:t>
            </w:r>
          </w:p>
        </w:tc>
      </w:tr>
    </w:tbl>
    <w:p w14:paraId="5175C423" w14:textId="77777777" w:rsidR="00B874B0" w:rsidRDefault="00B874B0">
      <w:pPr>
        <w:spacing w:after="160"/>
      </w:pPr>
    </w:p>
    <w:tbl>
      <w:tblPr>
        <w:tblW w:w="5000" w:type="pct"/>
        <w:tblBorders>
          <w:top w:val="single" w:sz="8" w:space="0" w:color="C9B78C"/>
          <w:left w:val="single" w:sz="8" w:space="0" w:color="C9B78C"/>
          <w:bottom w:val="single" w:sz="8" w:space="0" w:color="C9B78C"/>
          <w:right w:val="single" w:sz="8" w:space="0" w:color="C9B78C"/>
        </w:tblBorders>
        <w:tblCellMar>
          <w:left w:w="10" w:type="dxa"/>
          <w:right w:w="10" w:type="dxa"/>
        </w:tblCellMar>
        <w:tblLook w:val="04A0" w:firstRow="1" w:lastRow="0" w:firstColumn="1" w:lastColumn="0" w:noHBand="0" w:noVBand="1"/>
      </w:tblPr>
      <w:tblGrid>
        <w:gridCol w:w="9726"/>
      </w:tblGrid>
      <w:tr w:rsidR="00B874B0" w14:paraId="79A56A85" w14:textId="77777777">
        <w:tblPrEx>
          <w:tblCellMar>
            <w:top w:w="0" w:type="dxa"/>
            <w:bottom w:w="0" w:type="dxa"/>
          </w:tblCellMar>
        </w:tblPrEx>
        <w:tc>
          <w:tcPr>
            <w:tcW w:w="5000" w:type="pct"/>
            <w:shd w:val="clear" w:color="auto" w:fill="F6F1E8"/>
            <w:tcMar>
              <w:top w:w="160" w:type="dxa"/>
              <w:left w:w="200" w:type="dxa"/>
              <w:bottom w:w="160" w:type="dxa"/>
              <w:right w:w="200" w:type="dxa"/>
            </w:tcMar>
          </w:tcPr>
          <w:p w14:paraId="2DF2631C" w14:textId="77777777" w:rsidR="00B874B0" w:rsidRDefault="00000000">
            <w:pPr>
              <w:pStyle w:val="Ttulo3"/>
              <w:spacing w:after="80"/>
            </w:pPr>
            <w:bookmarkStart w:id="92" w:name="_Toc236570146"/>
            <w:r>
              <w:t>Penhora do bem de família por dívida de contrato de empreitada global para construção do imóvel</w:t>
            </w:r>
            <w:bookmarkEnd w:id="92"/>
          </w:p>
          <w:p w14:paraId="46D0EE55" w14:textId="77777777" w:rsidR="00B874B0" w:rsidRDefault="00000000">
            <w:pPr>
              <w:spacing w:after="40"/>
            </w:pPr>
            <w:r>
              <w:rPr>
                <w:b/>
                <w:bCs/>
                <w:color w:val="555555"/>
                <w:sz w:val="19"/>
                <w:szCs w:val="19"/>
              </w:rPr>
              <w:t>Tribunal: STJ   |   Órgão: 3ª Turma</w:t>
            </w:r>
          </w:p>
          <w:p w14:paraId="5853FF74" w14:textId="77777777" w:rsidR="00B874B0" w:rsidRDefault="00000000">
            <w:pPr>
              <w:spacing w:after="40"/>
            </w:pPr>
            <w:r>
              <w:rPr>
                <w:color w:val="555555"/>
                <w:sz w:val="19"/>
                <w:szCs w:val="19"/>
              </w:rPr>
              <w:t>Processo: REsp 1.976.743-SC   |   Relator: Min. Nancy Andrighi   |   Data: 08/03/2022 (Info 728)</w:t>
            </w:r>
          </w:p>
          <w:p w14:paraId="297BF768" w14:textId="77777777" w:rsidR="00B874B0" w:rsidRDefault="00000000">
            <w:pPr>
              <w:spacing w:after="100"/>
            </w:pPr>
            <w:r>
              <w:rPr>
                <w:i/>
                <w:iCs/>
                <w:color w:val="555555"/>
                <w:sz w:val="19"/>
                <w:szCs w:val="19"/>
              </w:rPr>
              <w:t>Sistemática: Caso isolado</w:t>
            </w:r>
          </w:p>
          <w:p w14:paraId="13CF2AB3" w14:textId="77777777" w:rsidR="00B874B0" w:rsidRDefault="00000000">
            <w:pPr>
              <w:spacing w:after="100"/>
            </w:pPr>
            <w:r>
              <w:rPr>
                <w:b/>
                <w:bCs/>
              </w:rPr>
              <w:t xml:space="preserve">TESE FIXADA / DECISÃO: </w:t>
            </w:r>
            <w:r>
              <w:t>Admite-se a penhora do bem de família para saldar débito originado de contrato de empreitada global celebrado para a construção do próprio imóvel, com fundamento no art. 3º, II, da Lei 8.009/90.</w:t>
            </w:r>
          </w:p>
          <w:p w14:paraId="0DA5C74F" w14:textId="77777777" w:rsidR="00B874B0" w:rsidRDefault="00000000">
            <w:pPr>
              <w:spacing w:after="100"/>
            </w:pPr>
            <w:r>
              <w:rPr>
                <w:b/>
                <w:bCs/>
              </w:rPr>
              <w:t xml:space="preserve">RESUMO DO CASO: </w:t>
            </w:r>
            <w:r>
              <w:t>Proprietário contratou construtora, em regime de empreitada global (com fornecimento de material), para edificar sua casa em terreno próprio. Deixou de pagar as últimas parcelas, e a construtora obteve penhora do imóvel construído. O STJ confirmou a penhora, para evitar que o devedor se beneficiasse da construção sem contrapartida ao credor que viabilizou a própria existência do bem.</w:t>
            </w:r>
          </w:p>
          <w:p w14:paraId="2BDBD09B" w14:textId="77777777" w:rsidR="00B874B0" w:rsidRDefault="00000000">
            <w:pPr>
              <w:spacing w:after="40"/>
            </w:pPr>
            <w:r>
              <w:rPr>
                <w:b/>
                <w:bCs/>
              </w:rPr>
              <w:t>COMO PODE SER COBRADO EM PROVA:</w:t>
            </w:r>
          </w:p>
          <w:p w14:paraId="2ADE98E9" w14:textId="77777777" w:rsidR="00B874B0" w:rsidRDefault="00000000">
            <w:pPr>
              <w:pStyle w:val="PargrafodaLista"/>
              <w:numPr>
                <w:ilvl w:val="0"/>
                <w:numId w:val="2"/>
              </w:numPr>
              <w:spacing w:after="40"/>
            </w:pPr>
            <w:r>
              <w:rPr>
                <w:b/>
                <w:bCs/>
                <w:i/>
                <w:iCs/>
              </w:rPr>
              <w:t xml:space="preserve">Objetiva: </w:t>
            </w:r>
            <w:r>
              <w:t>distinguir "empreitada global" (financiamento indireto da construção, penhorável) de dívidas genéricas do proprietário (protegidas).</w:t>
            </w:r>
          </w:p>
          <w:p w14:paraId="389CEAE0" w14:textId="77777777" w:rsidR="00B874B0" w:rsidRDefault="00000000">
            <w:pPr>
              <w:pStyle w:val="PargrafodaLista"/>
              <w:numPr>
                <w:ilvl w:val="0"/>
                <w:numId w:val="2"/>
              </w:numPr>
              <w:spacing w:after="40"/>
            </w:pPr>
            <w:r>
              <w:rPr>
                <w:b/>
                <w:bCs/>
                <w:i/>
                <w:iCs/>
              </w:rPr>
              <w:t xml:space="preserve">Discursiva/Sentença: </w:t>
            </w:r>
            <w:r>
              <w:t>elaboração de sentença em execução de dívida de empreitada de construção residencial.</w:t>
            </w:r>
          </w:p>
          <w:p w14:paraId="76EB711B" w14:textId="77777777" w:rsidR="00B874B0" w:rsidRDefault="00000000">
            <w:pPr>
              <w:pStyle w:val="PargrafodaLista"/>
              <w:numPr>
                <w:ilvl w:val="0"/>
                <w:numId w:val="2"/>
              </w:numPr>
              <w:spacing w:after="100"/>
            </w:pPr>
            <w:r>
              <w:rPr>
                <w:b/>
                <w:bCs/>
                <w:i/>
                <w:iCs/>
              </w:rPr>
              <w:t xml:space="preserve">Oral: </w:t>
            </w:r>
            <w:r>
              <w:t>"Dívidas de empreitada para construção do imóvel se enquadram nas exceções à impenhorabilidade do bem de família? Cite o fundamento legal."</w:t>
            </w:r>
          </w:p>
          <w:p w14:paraId="415F21ED" w14:textId="77777777" w:rsidR="00B874B0" w:rsidRDefault="00000000">
            <w:r>
              <w:rPr>
                <w:b/>
                <w:bCs/>
                <w:color w:val="A9762F"/>
              </w:rPr>
              <w:t xml:space="preserve">CONEXÕES: </w:t>
            </w:r>
            <w:r>
              <w:rPr>
                <w:i/>
                <w:iCs/>
              </w:rPr>
              <w:t>REsp 2.082.860-RS (Info 800, extensão à reforma); REsp 1.221.372-RS (Info 658, empreitada parcial); art. 3º, II, Lei 8.009/90.</w:t>
            </w:r>
          </w:p>
        </w:tc>
      </w:tr>
    </w:tbl>
    <w:p w14:paraId="59F45FF5" w14:textId="77777777" w:rsidR="00B874B0" w:rsidRDefault="00B874B0">
      <w:pPr>
        <w:spacing w:after="160"/>
      </w:pPr>
    </w:p>
    <w:tbl>
      <w:tblPr>
        <w:tblW w:w="5000" w:type="pct"/>
        <w:tblBorders>
          <w:top w:val="single" w:sz="8" w:space="0" w:color="C9B78C"/>
          <w:left w:val="single" w:sz="8" w:space="0" w:color="C9B78C"/>
          <w:bottom w:val="single" w:sz="8" w:space="0" w:color="C9B78C"/>
          <w:right w:val="single" w:sz="8" w:space="0" w:color="C9B78C"/>
        </w:tblBorders>
        <w:tblCellMar>
          <w:left w:w="10" w:type="dxa"/>
          <w:right w:w="10" w:type="dxa"/>
        </w:tblCellMar>
        <w:tblLook w:val="04A0" w:firstRow="1" w:lastRow="0" w:firstColumn="1" w:lastColumn="0" w:noHBand="0" w:noVBand="1"/>
      </w:tblPr>
      <w:tblGrid>
        <w:gridCol w:w="9726"/>
      </w:tblGrid>
      <w:tr w:rsidR="00B874B0" w14:paraId="49E9EDD4" w14:textId="77777777">
        <w:tblPrEx>
          <w:tblCellMar>
            <w:top w:w="0" w:type="dxa"/>
            <w:bottom w:w="0" w:type="dxa"/>
          </w:tblCellMar>
        </w:tblPrEx>
        <w:tc>
          <w:tcPr>
            <w:tcW w:w="5000" w:type="pct"/>
            <w:shd w:val="clear" w:color="auto" w:fill="F6F1E8"/>
            <w:tcMar>
              <w:top w:w="160" w:type="dxa"/>
              <w:left w:w="200" w:type="dxa"/>
              <w:bottom w:w="160" w:type="dxa"/>
              <w:right w:w="200" w:type="dxa"/>
            </w:tcMar>
          </w:tcPr>
          <w:p w14:paraId="0F122CB9" w14:textId="77777777" w:rsidR="00B874B0" w:rsidRDefault="00000000">
            <w:pPr>
              <w:pStyle w:val="Ttulo3"/>
              <w:spacing w:after="80"/>
            </w:pPr>
            <w:bookmarkStart w:id="93" w:name="_Toc236570147"/>
            <w:r>
              <w:t>Sub-rogação real da exceção do art. 3º, II — imóvel adquirido com produto da venda do bem originalmente financiado</w:t>
            </w:r>
            <w:bookmarkEnd w:id="93"/>
          </w:p>
          <w:p w14:paraId="474A6C34" w14:textId="77777777" w:rsidR="00B874B0" w:rsidRDefault="00000000">
            <w:pPr>
              <w:spacing w:after="40"/>
            </w:pPr>
            <w:r>
              <w:rPr>
                <w:b/>
                <w:bCs/>
                <w:color w:val="555555"/>
                <w:sz w:val="19"/>
                <w:szCs w:val="19"/>
              </w:rPr>
              <w:t>Tribunal: STJ   |   Órgão: 3ª Turma</w:t>
            </w:r>
          </w:p>
          <w:p w14:paraId="0D25ED2C" w14:textId="77777777" w:rsidR="00B874B0" w:rsidRDefault="00000000">
            <w:pPr>
              <w:spacing w:after="40"/>
            </w:pPr>
            <w:r>
              <w:rPr>
                <w:color w:val="555555"/>
                <w:sz w:val="19"/>
                <w:szCs w:val="19"/>
              </w:rPr>
              <w:t>Processo: REsp 1.935.842-PR   |   Relator: Min. Nancy Andrighi   |   Data: 22/06/2021 (Info 702)</w:t>
            </w:r>
          </w:p>
          <w:p w14:paraId="03086224" w14:textId="77777777" w:rsidR="00B874B0" w:rsidRDefault="00000000">
            <w:pPr>
              <w:spacing w:after="100"/>
            </w:pPr>
            <w:r>
              <w:rPr>
                <w:i/>
                <w:iCs/>
                <w:color w:val="555555"/>
                <w:sz w:val="19"/>
                <w:szCs w:val="19"/>
              </w:rPr>
              <w:t>Sistemática: Caso isolado</w:t>
            </w:r>
          </w:p>
          <w:p w14:paraId="73A9B88C" w14:textId="77777777" w:rsidR="00B874B0" w:rsidRDefault="00000000">
            <w:pPr>
              <w:spacing w:after="100"/>
            </w:pPr>
            <w:r>
              <w:rPr>
                <w:b/>
                <w:bCs/>
              </w:rPr>
              <w:lastRenderedPageBreak/>
              <w:t xml:space="preserve">TESE FIXADA / DECISÃO: </w:t>
            </w:r>
            <w:r>
              <w:t>A exceção à impenhorabilidade prevista para o crédito decorrente de financiamento destinado à construção ou aquisição do imóvel (art. 3º, II, Lei 8.009/90) estende-se ao novo imóvel adquirido com os recursos oriundos da venda do bem originalmente financiado.</w:t>
            </w:r>
          </w:p>
          <w:p w14:paraId="5119B8EA" w14:textId="77777777" w:rsidR="00B874B0" w:rsidRDefault="00000000">
            <w:pPr>
              <w:spacing w:after="100"/>
            </w:pPr>
            <w:r>
              <w:rPr>
                <w:b/>
                <w:bCs/>
              </w:rPr>
              <w:t xml:space="preserve">RESUMO DO CASO: </w:t>
            </w:r>
            <w:r>
              <w:t>Devedor obteve financiamento bancário para comprar apartamento; posteriormente vendeu esse apartamento e, com o dinheiro, comprou uma casa. Diante do inadimplemento das parcelas do financiamento original, o banco buscou penhorar a nova casa (bem sub-rogado). O STJ admitiu a penhora, entendendo que a exceção acompanha a sub-rogação real do bem originalmente financiado para o bem adquirido com o produto de sua venda.</w:t>
            </w:r>
          </w:p>
          <w:p w14:paraId="62D7C2B2" w14:textId="77777777" w:rsidR="00B874B0" w:rsidRDefault="00000000">
            <w:pPr>
              <w:spacing w:after="40"/>
            </w:pPr>
            <w:r>
              <w:rPr>
                <w:b/>
                <w:bCs/>
              </w:rPr>
              <w:t>COMO PODE SER COBRADO EM PROVA:</w:t>
            </w:r>
          </w:p>
          <w:p w14:paraId="0A5510C4" w14:textId="77777777" w:rsidR="00B874B0" w:rsidRDefault="00000000">
            <w:pPr>
              <w:pStyle w:val="PargrafodaLista"/>
              <w:numPr>
                <w:ilvl w:val="0"/>
                <w:numId w:val="2"/>
              </w:numPr>
              <w:spacing w:after="40"/>
            </w:pPr>
            <w:r>
              <w:rPr>
                <w:b/>
                <w:bCs/>
                <w:i/>
                <w:iCs/>
              </w:rPr>
              <w:t xml:space="preserve">Objetiva: </w:t>
            </w:r>
            <w:r>
              <w:t>testar a extensão da exceção legal para além do bem originalmente financiado, alcançando o bem sub-rogado.</w:t>
            </w:r>
          </w:p>
          <w:p w14:paraId="7C70EA78" w14:textId="77777777" w:rsidR="00B874B0" w:rsidRDefault="00000000">
            <w:pPr>
              <w:pStyle w:val="PargrafodaLista"/>
              <w:numPr>
                <w:ilvl w:val="0"/>
                <w:numId w:val="2"/>
              </w:numPr>
              <w:spacing w:after="40"/>
            </w:pPr>
            <w:r>
              <w:rPr>
                <w:b/>
                <w:bCs/>
                <w:i/>
                <w:iCs/>
              </w:rPr>
              <w:t xml:space="preserve">Discursiva/Sentença: </w:t>
            </w:r>
            <w:r>
              <w:t>caso em que o devedor trocou de imóvel após financiar o primeiro — discutir se a exceção "segue" o novo bem.</w:t>
            </w:r>
          </w:p>
          <w:p w14:paraId="12DFF170" w14:textId="77777777" w:rsidR="00B874B0" w:rsidRDefault="00000000">
            <w:pPr>
              <w:pStyle w:val="PargrafodaLista"/>
              <w:numPr>
                <w:ilvl w:val="0"/>
                <w:numId w:val="2"/>
              </w:numPr>
              <w:spacing w:after="100"/>
            </w:pPr>
            <w:r>
              <w:rPr>
                <w:b/>
                <w:bCs/>
                <w:i/>
                <w:iCs/>
              </w:rPr>
              <w:t xml:space="preserve">Oral: </w:t>
            </w:r>
            <w:r>
              <w:t>"A exceção do art. 3º, II, da Lei 8.009/90 se limita ao imóvel originalmente financiado ou pode alcançar outro bem adquirido com o produto de sua venda?"</w:t>
            </w:r>
          </w:p>
          <w:p w14:paraId="343E0245" w14:textId="77777777" w:rsidR="00B874B0" w:rsidRDefault="00000000">
            <w:r>
              <w:rPr>
                <w:b/>
                <w:bCs/>
                <w:color w:val="A9762F"/>
              </w:rPr>
              <w:t xml:space="preserve">CONEXÕES: </w:t>
            </w:r>
            <w:r>
              <w:rPr>
                <w:i/>
                <w:iCs/>
              </w:rPr>
              <w:t>REsp 2.082.860-RS (Info 800); REsp 1.976.743-SC (Info 728); art. 3º, II, Lei 8.009/90.</w:t>
            </w:r>
          </w:p>
        </w:tc>
      </w:tr>
    </w:tbl>
    <w:p w14:paraId="2E55B2E9" w14:textId="77777777" w:rsidR="00B874B0" w:rsidRDefault="00B874B0">
      <w:pPr>
        <w:spacing w:after="160"/>
      </w:pPr>
    </w:p>
    <w:p w14:paraId="28BD66C5" w14:textId="77777777" w:rsidR="00B874B0" w:rsidRDefault="00000000">
      <w:pPr>
        <w:pStyle w:val="Ttulo2"/>
        <w:spacing w:after="160"/>
      </w:pPr>
      <w:bookmarkStart w:id="94" w:name="_Toc236570148"/>
      <w:r>
        <w:t>5. Bem de família, sucessão e espólio</w:t>
      </w:r>
      <w:bookmarkEnd w:id="94"/>
    </w:p>
    <w:tbl>
      <w:tblPr>
        <w:tblW w:w="5000" w:type="pct"/>
        <w:tblBorders>
          <w:top w:val="single" w:sz="8" w:space="0" w:color="C9B78C"/>
          <w:left w:val="single" w:sz="8" w:space="0" w:color="C9B78C"/>
          <w:bottom w:val="single" w:sz="8" w:space="0" w:color="C9B78C"/>
          <w:right w:val="single" w:sz="8" w:space="0" w:color="C9B78C"/>
        </w:tblBorders>
        <w:tblCellMar>
          <w:left w:w="10" w:type="dxa"/>
          <w:right w:w="10" w:type="dxa"/>
        </w:tblCellMar>
        <w:tblLook w:val="04A0" w:firstRow="1" w:lastRow="0" w:firstColumn="1" w:lastColumn="0" w:noHBand="0" w:noVBand="1"/>
      </w:tblPr>
      <w:tblGrid>
        <w:gridCol w:w="9726"/>
      </w:tblGrid>
      <w:tr w:rsidR="00B874B0" w14:paraId="5F1D65ED" w14:textId="77777777">
        <w:tblPrEx>
          <w:tblCellMar>
            <w:top w:w="0" w:type="dxa"/>
            <w:bottom w:w="0" w:type="dxa"/>
          </w:tblCellMar>
        </w:tblPrEx>
        <w:tc>
          <w:tcPr>
            <w:tcW w:w="5000" w:type="pct"/>
            <w:shd w:val="clear" w:color="auto" w:fill="F6F1E8"/>
            <w:tcMar>
              <w:top w:w="160" w:type="dxa"/>
              <w:left w:w="200" w:type="dxa"/>
              <w:bottom w:w="160" w:type="dxa"/>
              <w:right w:w="200" w:type="dxa"/>
            </w:tcMar>
          </w:tcPr>
          <w:p w14:paraId="051C4A0B" w14:textId="77777777" w:rsidR="00B874B0" w:rsidRDefault="00000000">
            <w:pPr>
              <w:pStyle w:val="Ttulo3"/>
              <w:spacing w:after="80"/>
            </w:pPr>
            <w:bookmarkStart w:id="95" w:name="_Toc236570149"/>
            <w:r>
              <w:t>Impenhorabilidade do bem de família ainda no inventário, sem partilha formal</w:t>
            </w:r>
            <w:bookmarkEnd w:id="95"/>
          </w:p>
          <w:p w14:paraId="29513D7F" w14:textId="77777777" w:rsidR="00B874B0" w:rsidRDefault="00000000">
            <w:pPr>
              <w:spacing w:after="40"/>
            </w:pPr>
            <w:r>
              <w:rPr>
                <w:b/>
                <w:bCs/>
                <w:color w:val="555555"/>
                <w:sz w:val="19"/>
                <w:szCs w:val="19"/>
              </w:rPr>
              <w:t>Tribunal: STJ   |   Órgão: 1ª Turma</w:t>
            </w:r>
          </w:p>
          <w:p w14:paraId="2CB0FF23" w14:textId="77777777" w:rsidR="00B874B0" w:rsidRDefault="00000000">
            <w:pPr>
              <w:spacing w:after="40"/>
            </w:pPr>
            <w:r>
              <w:rPr>
                <w:color w:val="555555"/>
                <w:sz w:val="19"/>
                <w:szCs w:val="19"/>
              </w:rPr>
              <w:t>Processo: AgInt no REsp 2.168.820-RS   |   Relator: Min. Benedito Gonçalves   |   Data: 18/08/2025 (Info 861)</w:t>
            </w:r>
          </w:p>
          <w:p w14:paraId="1D38BEEE" w14:textId="77777777" w:rsidR="00B874B0" w:rsidRDefault="00000000">
            <w:pPr>
              <w:spacing w:after="100"/>
            </w:pPr>
            <w:r>
              <w:rPr>
                <w:i/>
                <w:iCs/>
                <w:color w:val="555555"/>
                <w:sz w:val="19"/>
                <w:szCs w:val="19"/>
              </w:rPr>
              <w:t>Sistemática: Caso isolado</w:t>
            </w:r>
          </w:p>
          <w:p w14:paraId="25016271" w14:textId="77777777" w:rsidR="00B874B0" w:rsidRDefault="00000000">
            <w:pPr>
              <w:spacing w:after="100"/>
            </w:pPr>
            <w:r>
              <w:rPr>
                <w:b/>
                <w:bCs/>
              </w:rPr>
              <w:t xml:space="preserve">TESE FIXADA / DECISÃO: </w:t>
            </w:r>
            <w:r>
              <w:t>Ainda que o imóvel esteja incluído em ação de inventário (sem partilha formal), deve ser assegurada sua impenhorabilidade em processo executivo fiscal, caso qualificado como bem de família. A morte do devedor não faz cessar automaticamente a impenhorabilidade nem a torna apta a garantir dívidas futuras de credores.</w:t>
            </w:r>
          </w:p>
          <w:p w14:paraId="412A4272" w14:textId="77777777" w:rsidR="00B874B0" w:rsidRDefault="00000000">
            <w:pPr>
              <w:spacing w:after="100"/>
            </w:pPr>
            <w:r>
              <w:rPr>
                <w:b/>
                <w:bCs/>
              </w:rPr>
              <w:t xml:space="preserve">RESUMO DO CASO: </w:t>
            </w:r>
            <w:r>
              <w:t>Falecido deixou como único bem o apartamento onde residia com uma filha solteira. Aberto o inventário, a Fazenda Pública executou dívida tributária do espólio e obteve a penhora do imóvel. O inventariante alegou impenhorabilidade por bem de família (residência da filha) e direito real de habitação. O STJ acolheu, afastando a penhora mesmo com o imóvel ainda sob inventário/sem partilha.</w:t>
            </w:r>
          </w:p>
          <w:p w14:paraId="0D43EE80" w14:textId="77777777" w:rsidR="00B874B0" w:rsidRDefault="00000000">
            <w:pPr>
              <w:spacing w:after="40"/>
            </w:pPr>
            <w:r>
              <w:rPr>
                <w:b/>
                <w:bCs/>
              </w:rPr>
              <w:t>COMO PODE SER COBRADO EM PROVA:</w:t>
            </w:r>
          </w:p>
          <w:p w14:paraId="02216B3D" w14:textId="77777777" w:rsidR="00B874B0" w:rsidRDefault="00000000">
            <w:pPr>
              <w:pStyle w:val="PargrafodaLista"/>
              <w:numPr>
                <w:ilvl w:val="0"/>
                <w:numId w:val="2"/>
              </w:numPr>
              <w:spacing w:after="40"/>
            </w:pPr>
            <w:r>
              <w:rPr>
                <w:b/>
                <w:bCs/>
                <w:i/>
                <w:iCs/>
              </w:rPr>
              <w:t xml:space="preserve">Objetiva: </w:t>
            </w:r>
            <w:r>
              <w:t>testar se a ausência de partilha formal afasta a proteção do bem de família (não afasta).</w:t>
            </w:r>
          </w:p>
          <w:p w14:paraId="571BA241" w14:textId="77777777" w:rsidR="00B874B0" w:rsidRDefault="00000000">
            <w:pPr>
              <w:pStyle w:val="PargrafodaLista"/>
              <w:numPr>
                <w:ilvl w:val="0"/>
                <w:numId w:val="2"/>
              </w:numPr>
              <w:spacing w:after="40"/>
            </w:pPr>
            <w:r>
              <w:rPr>
                <w:b/>
                <w:bCs/>
                <w:i/>
                <w:iCs/>
              </w:rPr>
              <w:t xml:space="preserve">Discursiva/Sentença: </w:t>
            </w:r>
            <w:r>
              <w:t>caso de execução fiscal contra espólio cujo único bem é o imóvel residencial de herdeiro — discutir a impenhorabilidade e o direito real de habitação.</w:t>
            </w:r>
          </w:p>
          <w:p w14:paraId="5A2C8010" w14:textId="77777777" w:rsidR="00B874B0" w:rsidRDefault="00000000">
            <w:pPr>
              <w:pStyle w:val="PargrafodaLista"/>
              <w:numPr>
                <w:ilvl w:val="0"/>
                <w:numId w:val="2"/>
              </w:numPr>
              <w:spacing w:after="100"/>
            </w:pPr>
            <w:r>
              <w:rPr>
                <w:b/>
                <w:bCs/>
                <w:i/>
                <w:iCs/>
              </w:rPr>
              <w:t xml:space="preserve">Oral: </w:t>
            </w:r>
            <w:r>
              <w:t>"A morte do titular do bem de família e a pendência de partilha afastam a impenhorabilidade legal?"</w:t>
            </w:r>
          </w:p>
          <w:p w14:paraId="7839DE98" w14:textId="77777777" w:rsidR="00B874B0" w:rsidRDefault="00000000">
            <w:r>
              <w:rPr>
                <w:b/>
                <w:bCs/>
                <w:color w:val="A9762F"/>
              </w:rPr>
              <w:t xml:space="preserve">CONEXÕES: </w:t>
            </w:r>
            <w:r>
              <w:rPr>
                <w:i/>
                <w:iCs/>
              </w:rPr>
              <w:t>REsp 2.111.839-RS (Info 850, transmissão hereditária); REsp 1.861.107-RS (Info 22, indivisibilidade); direito real de habitação (art. 1.831, CC).</w:t>
            </w:r>
          </w:p>
        </w:tc>
      </w:tr>
    </w:tbl>
    <w:p w14:paraId="05DC26EB" w14:textId="77777777" w:rsidR="00B874B0" w:rsidRDefault="00B874B0">
      <w:pPr>
        <w:spacing w:after="160"/>
      </w:pPr>
    </w:p>
    <w:tbl>
      <w:tblPr>
        <w:tblW w:w="5000" w:type="pct"/>
        <w:tblBorders>
          <w:top w:val="single" w:sz="8" w:space="0" w:color="C9B78C"/>
          <w:left w:val="single" w:sz="8" w:space="0" w:color="C9B78C"/>
          <w:bottom w:val="single" w:sz="8" w:space="0" w:color="C9B78C"/>
          <w:right w:val="single" w:sz="8" w:space="0" w:color="C9B78C"/>
        </w:tblBorders>
        <w:tblCellMar>
          <w:left w:w="10" w:type="dxa"/>
          <w:right w:w="10" w:type="dxa"/>
        </w:tblCellMar>
        <w:tblLook w:val="04A0" w:firstRow="1" w:lastRow="0" w:firstColumn="1" w:lastColumn="0" w:noHBand="0" w:noVBand="1"/>
      </w:tblPr>
      <w:tblGrid>
        <w:gridCol w:w="9726"/>
      </w:tblGrid>
      <w:tr w:rsidR="00B874B0" w14:paraId="13FD373D" w14:textId="77777777">
        <w:tblPrEx>
          <w:tblCellMar>
            <w:top w:w="0" w:type="dxa"/>
            <w:bottom w:w="0" w:type="dxa"/>
          </w:tblCellMar>
        </w:tblPrEx>
        <w:tc>
          <w:tcPr>
            <w:tcW w:w="5000" w:type="pct"/>
            <w:shd w:val="clear" w:color="auto" w:fill="F6F1E8"/>
            <w:tcMar>
              <w:top w:w="160" w:type="dxa"/>
              <w:left w:w="200" w:type="dxa"/>
              <w:bottom w:w="160" w:type="dxa"/>
              <w:right w:w="200" w:type="dxa"/>
            </w:tcMar>
          </w:tcPr>
          <w:p w14:paraId="69CDB579" w14:textId="77777777" w:rsidR="00B874B0" w:rsidRDefault="00000000">
            <w:pPr>
              <w:pStyle w:val="Ttulo3"/>
              <w:spacing w:after="80"/>
            </w:pPr>
            <w:bookmarkStart w:id="96" w:name="_Toc236570150"/>
            <w:r>
              <w:t>Transmissão hereditária não desconfigura, por si só, a natureza de bem de família</w:t>
            </w:r>
            <w:bookmarkEnd w:id="96"/>
          </w:p>
          <w:p w14:paraId="13B7D454" w14:textId="77777777" w:rsidR="00B874B0" w:rsidRDefault="00000000">
            <w:pPr>
              <w:spacing w:after="40"/>
            </w:pPr>
            <w:r>
              <w:rPr>
                <w:b/>
                <w:bCs/>
                <w:color w:val="555555"/>
                <w:sz w:val="19"/>
                <w:szCs w:val="19"/>
              </w:rPr>
              <w:t>Tribunal: STJ   |   Órgão: 4ª Turma</w:t>
            </w:r>
          </w:p>
          <w:p w14:paraId="0E59472D" w14:textId="77777777" w:rsidR="00B874B0" w:rsidRDefault="00000000">
            <w:pPr>
              <w:spacing w:after="40"/>
            </w:pPr>
            <w:r>
              <w:rPr>
                <w:color w:val="555555"/>
                <w:sz w:val="19"/>
                <w:szCs w:val="19"/>
              </w:rPr>
              <w:t>Processo: REsp 2.111.839-RS   |   Relator: Min. Antonio Carlos Ferreira   |   Data: 06/05/2025 (Info 850)</w:t>
            </w:r>
          </w:p>
          <w:p w14:paraId="120C46B8" w14:textId="77777777" w:rsidR="00B874B0" w:rsidRDefault="00000000">
            <w:pPr>
              <w:spacing w:after="100"/>
            </w:pPr>
            <w:r>
              <w:rPr>
                <w:i/>
                <w:iCs/>
                <w:color w:val="555555"/>
                <w:sz w:val="19"/>
                <w:szCs w:val="19"/>
              </w:rPr>
              <w:t>Sistemática: Caso isolado</w:t>
            </w:r>
          </w:p>
          <w:p w14:paraId="7C01AB40" w14:textId="77777777" w:rsidR="00B874B0" w:rsidRDefault="00000000">
            <w:pPr>
              <w:spacing w:after="100"/>
            </w:pPr>
            <w:r>
              <w:rPr>
                <w:b/>
                <w:bCs/>
              </w:rPr>
              <w:t xml:space="preserve">TESE FIXADA / DECISÃO: </w:t>
            </w:r>
            <w:r>
              <w:t xml:space="preserve">A transmissão hereditária, por si só, não tem a capacidade de desconfigurar ou afastar a natureza de bem de família, se mantidas as características de imóvel residencial próprio da </w:t>
            </w:r>
            <w:r>
              <w:lastRenderedPageBreak/>
              <w:t>entidade familiar. A impenhorabilidade se aplica ao espólio, independentemente de partilha formal ou registro.</w:t>
            </w:r>
          </w:p>
          <w:p w14:paraId="6713AF1B" w14:textId="77777777" w:rsidR="00B874B0" w:rsidRDefault="00000000">
            <w:pPr>
              <w:spacing w:after="100"/>
            </w:pPr>
            <w:r>
              <w:rPr>
                <w:b/>
                <w:bCs/>
              </w:rPr>
              <w:t xml:space="preserve">RESUMO DO CASO: </w:t>
            </w:r>
            <w:r>
              <w:t>Falecido deixou dois filhos herdeiros e uma dívida anterior à morte. O credor pediu arresto do imóvel único, sustentando que, sem partilha, o bem integrava o espólio e podia ser usado para quitar dívidas do falecido. O STJ, aplicando o princípio da saisine, decidiu que a impenhorabilidade prevalece desde que o imóvel continue servindo de residência a um dos herdeiros, independentemente de formalização da partilha ou registro.</w:t>
            </w:r>
          </w:p>
          <w:p w14:paraId="79319E8F" w14:textId="77777777" w:rsidR="00B874B0" w:rsidRDefault="00000000">
            <w:pPr>
              <w:spacing w:after="40"/>
            </w:pPr>
            <w:r>
              <w:rPr>
                <w:b/>
                <w:bCs/>
              </w:rPr>
              <w:t>COMO PODE SER COBRADO EM PROVA:</w:t>
            </w:r>
          </w:p>
          <w:p w14:paraId="7F9CC889" w14:textId="77777777" w:rsidR="00B874B0" w:rsidRDefault="00000000">
            <w:pPr>
              <w:pStyle w:val="PargrafodaLista"/>
              <w:numPr>
                <w:ilvl w:val="0"/>
                <w:numId w:val="2"/>
              </w:numPr>
              <w:spacing w:after="40"/>
            </w:pPr>
            <w:r>
              <w:rPr>
                <w:b/>
                <w:bCs/>
                <w:i/>
                <w:iCs/>
              </w:rPr>
              <w:t xml:space="preserve">Objetiva: </w:t>
            </w:r>
            <w:r>
              <w:t>relacionar princípio da saisine (art. 1.784, CC) à manutenção da proteção do bem de família após a morte do titular.</w:t>
            </w:r>
          </w:p>
          <w:p w14:paraId="3CC621E3" w14:textId="77777777" w:rsidR="00B874B0" w:rsidRDefault="00000000">
            <w:pPr>
              <w:pStyle w:val="PargrafodaLista"/>
              <w:numPr>
                <w:ilvl w:val="0"/>
                <w:numId w:val="2"/>
              </w:numPr>
              <w:spacing w:after="40"/>
            </w:pPr>
            <w:r>
              <w:rPr>
                <w:b/>
                <w:bCs/>
                <w:i/>
                <w:iCs/>
              </w:rPr>
              <w:t xml:space="preserve">Discursiva/Sentença: </w:t>
            </w:r>
            <w:r>
              <w:t>questão de arresto/penhora de imóvel do espólio, exigindo análise conjunta do princípio da saisine e da Lei 8.009/90.</w:t>
            </w:r>
          </w:p>
          <w:p w14:paraId="180ECD85" w14:textId="77777777" w:rsidR="00B874B0" w:rsidRDefault="00000000">
            <w:pPr>
              <w:pStyle w:val="PargrafodaLista"/>
              <w:numPr>
                <w:ilvl w:val="0"/>
                <w:numId w:val="2"/>
              </w:numPr>
              <w:spacing w:after="100"/>
            </w:pPr>
            <w:r>
              <w:rPr>
                <w:b/>
                <w:bCs/>
                <w:i/>
                <w:iCs/>
              </w:rPr>
              <w:t xml:space="preserve">Oral: </w:t>
            </w:r>
            <w:r>
              <w:t>"O princípio da saisine tem relação com a manutenção da proteção do bem de família após o falecimento do titular? Explique."</w:t>
            </w:r>
          </w:p>
          <w:p w14:paraId="0AEF28CF" w14:textId="77777777" w:rsidR="00B874B0" w:rsidRDefault="00000000">
            <w:r>
              <w:rPr>
                <w:b/>
                <w:bCs/>
                <w:color w:val="A9762F"/>
              </w:rPr>
              <w:t xml:space="preserve">CONEXÕES: </w:t>
            </w:r>
            <w:r>
              <w:rPr>
                <w:i/>
                <w:iCs/>
              </w:rPr>
              <w:t>art. 1.784, CC (saisine); AgInt REsp 2.168.820-RS (Info 861); REsp 1.861.107-RS (Info 22).</w:t>
            </w:r>
          </w:p>
        </w:tc>
      </w:tr>
    </w:tbl>
    <w:p w14:paraId="743CCED0" w14:textId="77777777" w:rsidR="00B874B0" w:rsidRDefault="00B874B0">
      <w:pPr>
        <w:spacing w:after="160"/>
      </w:pPr>
    </w:p>
    <w:p w14:paraId="5BD6EF7B" w14:textId="77777777" w:rsidR="00B874B0" w:rsidRDefault="00000000">
      <w:pPr>
        <w:pStyle w:val="Ttulo2"/>
        <w:spacing w:after="160"/>
      </w:pPr>
      <w:bookmarkStart w:id="97" w:name="_Toc236570151"/>
      <w:r>
        <w:t>6. Fraude à execução, disposição do bem de família e má-fé (art. 4º)</w:t>
      </w:r>
      <w:bookmarkEnd w:id="97"/>
    </w:p>
    <w:tbl>
      <w:tblPr>
        <w:tblW w:w="5000" w:type="pct"/>
        <w:tblBorders>
          <w:top w:val="single" w:sz="8" w:space="0" w:color="C9B78C"/>
          <w:left w:val="single" w:sz="8" w:space="0" w:color="C9B78C"/>
          <w:bottom w:val="single" w:sz="8" w:space="0" w:color="C9B78C"/>
          <w:right w:val="single" w:sz="8" w:space="0" w:color="C9B78C"/>
        </w:tblBorders>
        <w:tblCellMar>
          <w:left w:w="10" w:type="dxa"/>
          <w:right w:w="10" w:type="dxa"/>
        </w:tblCellMar>
        <w:tblLook w:val="04A0" w:firstRow="1" w:lastRow="0" w:firstColumn="1" w:lastColumn="0" w:noHBand="0" w:noVBand="1"/>
      </w:tblPr>
      <w:tblGrid>
        <w:gridCol w:w="9726"/>
      </w:tblGrid>
      <w:tr w:rsidR="00B874B0" w14:paraId="74DB9BDC" w14:textId="77777777">
        <w:tblPrEx>
          <w:tblCellMar>
            <w:top w:w="0" w:type="dxa"/>
            <w:bottom w:w="0" w:type="dxa"/>
          </w:tblCellMar>
        </w:tblPrEx>
        <w:tc>
          <w:tcPr>
            <w:tcW w:w="5000" w:type="pct"/>
            <w:shd w:val="clear" w:color="auto" w:fill="F6F1E8"/>
            <w:tcMar>
              <w:top w:w="160" w:type="dxa"/>
              <w:left w:w="200" w:type="dxa"/>
              <w:bottom w:w="160" w:type="dxa"/>
              <w:right w:w="200" w:type="dxa"/>
            </w:tcMar>
          </w:tcPr>
          <w:p w14:paraId="5FAE2D81" w14:textId="77777777" w:rsidR="00B874B0" w:rsidRDefault="00000000">
            <w:pPr>
              <w:pStyle w:val="Ttulo3"/>
              <w:spacing w:after="80"/>
            </w:pPr>
            <w:bookmarkStart w:id="98" w:name="_Toc236570152"/>
            <w:r>
              <w:t>Doação de bem de família em fraude à execução não afasta a proteção legal se o imóvel segue como moradia</w:t>
            </w:r>
            <w:bookmarkEnd w:id="98"/>
          </w:p>
          <w:p w14:paraId="38149650" w14:textId="77777777" w:rsidR="00B874B0" w:rsidRDefault="00000000">
            <w:pPr>
              <w:spacing w:after="40"/>
            </w:pPr>
            <w:r>
              <w:rPr>
                <w:b/>
                <w:bCs/>
                <w:color w:val="555555"/>
                <w:sz w:val="19"/>
                <w:szCs w:val="19"/>
              </w:rPr>
              <w:t>Tribunal: STJ   |   Órgão: 2ª Seção</w:t>
            </w:r>
          </w:p>
          <w:p w14:paraId="08D75CD9" w14:textId="77777777" w:rsidR="00B874B0" w:rsidRDefault="00000000">
            <w:pPr>
              <w:spacing w:after="40"/>
            </w:pPr>
            <w:r>
              <w:rPr>
                <w:color w:val="555555"/>
                <w:sz w:val="19"/>
                <w:szCs w:val="19"/>
              </w:rPr>
              <w:t>Processo: EAREsp 2.141.032-GO   |   Relator: Min. Nancy Andrighi   |   Data: 06/02/2025 (Info 840)</w:t>
            </w:r>
          </w:p>
          <w:p w14:paraId="4911A5E2" w14:textId="77777777" w:rsidR="00B874B0" w:rsidRDefault="00000000">
            <w:pPr>
              <w:spacing w:after="100"/>
            </w:pPr>
            <w:r>
              <w:rPr>
                <w:i/>
                <w:iCs/>
                <w:color w:val="555555"/>
                <w:sz w:val="19"/>
                <w:szCs w:val="19"/>
              </w:rPr>
              <w:t>Sistemática: Embargos de Divergência — uniformização por Seção</w:t>
            </w:r>
          </w:p>
          <w:p w14:paraId="451599A8" w14:textId="77777777" w:rsidR="00B874B0" w:rsidRDefault="00000000">
            <w:pPr>
              <w:spacing w:after="100"/>
            </w:pPr>
            <w:r>
              <w:rPr>
                <w:b/>
                <w:bCs/>
              </w:rPr>
              <w:t xml:space="preserve">TESE FIXADA / DECISÃO: </w:t>
            </w:r>
            <w:r>
              <w:t>É possível reconhecer a manutenção da proteção do bem de família ainda que o imóvel tenha sido doado aos filhos em fraude à execução, desde que continue sendo utilizado pela família como moradia. A fraude à execução torna a alienação ineficaz perante o credor, mas não afasta, por si só, a impenhorabilidade do bem de família.</w:t>
            </w:r>
          </w:p>
          <w:p w14:paraId="68B4919A" w14:textId="77777777" w:rsidR="00B874B0" w:rsidRDefault="00000000">
            <w:pPr>
              <w:spacing w:after="100"/>
            </w:pPr>
            <w:r>
              <w:rPr>
                <w:b/>
                <w:bCs/>
              </w:rPr>
              <w:t xml:space="preserve">RESUMO DO CASO: </w:t>
            </w:r>
            <w:r>
              <w:t>Casal com filho pequeno doou sua única casa (bem de família) ao filho, após citação em execução de R$ 500 mil que não se enquadrava nas exceções do art. 3º da Lei 8.009/90 — ou seja, o imóvel já era impenhorável antes da doação, tornando a operação irrelevante para o credor. O banco alegou fraude à execução. O STJ negou a penhora: mesmo ineficaz a doação, o imóvel retornaria ao patrimônio dos pais ainda protegido, e a residência familiar se manteve intacta.</w:t>
            </w:r>
          </w:p>
          <w:p w14:paraId="7242BD66" w14:textId="77777777" w:rsidR="00B874B0" w:rsidRDefault="00000000">
            <w:pPr>
              <w:spacing w:after="40"/>
            </w:pPr>
            <w:r>
              <w:rPr>
                <w:b/>
                <w:bCs/>
              </w:rPr>
              <w:t>COMO PODE SER COBRADO EM PROVA:</w:t>
            </w:r>
          </w:p>
          <w:p w14:paraId="0568E6F2" w14:textId="77777777" w:rsidR="00B874B0" w:rsidRDefault="00000000">
            <w:pPr>
              <w:pStyle w:val="PargrafodaLista"/>
              <w:numPr>
                <w:ilvl w:val="0"/>
                <w:numId w:val="2"/>
              </w:numPr>
              <w:spacing w:after="40"/>
            </w:pPr>
            <w:r>
              <w:rPr>
                <w:b/>
                <w:bCs/>
                <w:i/>
                <w:iCs/>
              </w:rPr>
              <w:t xml:space="preserve">Objetiva: </w:t>
            </w:r>
            <w:r>
              <w:t>testar se o reconhecimento de fraude à execução automaticamente afasta a impenhorabilidade do bem de família (não afasta, se mantida a destinação residencial).</w:t>
            </w:r>
          </w:p>
          <w:p w14:paraId="2470932E" w14:textId="77777777" w:rsidR="00B874B0" w:rsidRDefault="00000000">
            <w:pPr>
              <w:pStyle w:val="PargrafodaLista"/>
              <w:numPr>
                <w:ilvl w:val="0"/>
                <w:numId w:val="2"/>
              </w:numPr>
              <w:spacing w:after="40"/>
            </w:pPr>
            <w:r>
              <w:rPr>
                <w:b/>
                <w:bCs/>
                <w:i/>
                <w:iCs/>
              </w:rPr>
              <w:t xml:space="preserve">Discursiva/Sentença: </w:t>
            </w:r>
            <w:r>
              <w:t>caso de doação de imóvel único a herdeiros após citação em execução — discutir os efeitos da fraude à execução sobre a impenhorabilidade.</w:t>
            </w:r>
          </w:p>
          <w:p w14:paraId="0DCB0735" w14:textId="77777777" w:rsidR="00B874B0" w:rsidRDefault="00000000">
            <w:pPr>
              <w:pStyle w:val="PargrafodaLista"/>
              <w:numPr>
                <w:ilvl w:val="0"/>
                <w:numId w:val="2"/>
              </w:numPr>
              <w:spacing w:after="100"/>
            </w:pPr>
            <w:r>
              <w:rPr>
                <w:b/>
                <w:bCs/>
                <w:i/>
                <w:iCs/>
              </w:rPr>
              <w:t xml:space="preserve">Oral: </w:t>
            </w:r>
            <w:r>
              <w:t>"A fraude à execução, uma vez reconhecida, sempre resulta na penhora do bem transferido? Há exceção quando se trata de bem de família?"</w:t>
            </w:r>
          </w:p>
          <w:p w14:paraId="40E03846" w14:textId="77777777" w:rsidR="00B874B0" w:rsidRDefault="00000000">
            <w:r>
              <w:rPr>
                <w:b/>
                <w:bCs/>
                <w:color w:val="A9762F"/>
              </w:rPr>
              <w:t xml:space="preserve">CONEXÕES: </w:t>
            </w:r>
            <w:r>
              <w:rPr>
                <w:i/>
                <w:iCs/>
              </w:rPr>
              <w:t>REsp 1.792.265-SP (Info 723/771, art. 4º da Lei 8.009/90 — má-fé); EDcl AREsp 2.244.832-SP (Info 23, proteção da meação do cônjuge não devedor); AgInt AREsp 2.174.427-RJ (Info 791, manutenção da cláusula de impenhorabilidade após alienação).</w:t>
            </w:r>
          </w:p>
        </w:tc>
      </w:tr>
    </w:tbl>
    <w:p w14:paraId="27F73D3C" w14:textId="77777777" w:rsidR="00B874B0" w:rsidRDefault="00B874B0">
      <w:pPr>
        <w:spacing w:after="160"/>
      </w:pPr>
    </w:p>
    <w:tbl>
      <w:tblPr>
        <w:tblW w:w="5000" w:type="pct"/>
        <w:tblBorders>
          <w:top w:val="single" w:sz="8" w:space="0" w:color="C9B78C"/>
          <w:left w:val="single" w:sz="8" w:space="0" w:color="C9B78C"/>
          <w:bottom w:val="single" w:sz="8" w:space="0" w:color="C9B78C"/>
          <w:right w:val="single" w:sz="8" w:space="0" w:color="C9B78C"/>
        </w:tblBorders>
        <w:tblCellMar>
          <w:left w:w="10" w:type="dxa"/>
          <w:right w:w="10" w:type="dxa"/>
        </w:tblCellMar>
        <w:tblLook w:val="04A0" w:firstRow="1" w:lastRow="0" w:firstColumn="1" w:lastColumn="0" w:noHBand="0" w:noVBand="1"/>
      </w:tblPr>
      <w:tblGrid>
        <w:gridCol w:w="9726"/>
      </w:tblGrid>
      <w:tr w:rsidR="00B874B0" w14:paraId="6C255574" w14:textId="77777777">
        <w:tblPrEx>
          <w:tblCellMar>
            <w:top w:w="0" w:type="dxa"/>
            <w:bottom w:w="0" w:type="dxa"/>
          </w:tblCellMar>
        </w:tblPrEx>
        <w:tc>
          <w:tcPr>
            <w:tcW w:w="5000" w:type="pct"/>
            <w:shd w:val="clear" w:color="auto" w:fill="F6F1E8"/>
            <w:tcMar>
              <w:top w:w="160" w:type="dxa"/>
              <w:left w:w="200" w:type="dxa"/>
              <w:bottom w:w="160" w:type="dxa"/>
              <w:right w:w="200" w:type="dxa"/>
            </w:tcMar>
          </w:tcPr>
          <w:p w14:paraId="52F4F971" w14:textId="77777777" w:rsidR="00B874B0" w:rsidRDefault="00000000">
            <w:pPr>
              <w:pStyle w:val="Ttulo3"/>
              <w:spacing w:after="80"/>
            </w:pPr>
            <w:bookmarkStart w:id="99" w:name="_Toc236570153"/>
            <w:r>
              <w:t>Proteção da meação do cônjuge não devedor se estende à totalidade do bem de família</w:t>
            </w:r>
            <w:bookmarkEnd w:id="99"/>
          </w:p>
          <w:p w14:paraId="1B124B4E" w14:textId="77777777" w:rsidR="00B874B0" w:rsidRDefault="00000000">
            <w:pPr>
              <w:spacing w:after="40"/>
            </w:pPr>
            <w:r>
              <w:rPr>
                <w:b/>
                <w:bCs/>
                <w:color w:val="555555"/>
                <w:sz w:val="19"/>
                <w:szCs w:val="19"/>
              </w:rPr>
              <w:t>Tribunal: STJ   |   Órgão: 3ª Turma</w:t>
            </w:r>
          </w:p>
          <w:p w14:paraId="27DFAE5A" w14:textId="77777777" w:rsidR="00B874B0" w:rsidRDefault="00000000">
            <w:pPr>
              <w:spacing w:after="40"/>
            </w:pPr>
            <w:r>
              <w:rPr>
                <w:color w:val="555555"/>
                <w:sz w:val="19"/>
                <w:szCs w:val="19"/>
              </w:rPr>
              <w:lastRenderedPageBreak/>
              <w:t>Processo: EDcl no AgInt no AREsp 2.244.832-SP   |   Relator: Min. Humberto Martins   |   Data: 23/09/2024 (Info 23 — Edição Extraordinária)</w:t>
            </w:r>
          </w:p>
          <w:p w14:paraId="4B308351" w14:textId="77777777" w:rsidR="00B874B0" w:rsidRDefault="00000000">
            <w:pPr>
              <w:spacing w:after="100"/>
            </w:pPr>
            <w:r>
              <w:rPr>
                <w:i/>
                <w:iCs/>
                <w:color w:val="555555"/>
                <w:sz w:val="19"/>
                <w:szCs w:val="19"/>
              </w:rPr>
              <w:t>Sistemática: Caso isolado</w:t>
            </w:r>
          </w:p>
          <w:p w14:paraId="1F2AA55A" w14:textId="77777777" w:rsidR="00B874B0" w:rsidRDefault="00000000">
            <w:pPr>
              <w:spacing w:after="100"/>
            </w:pPr>
            <w:r>
              <w:rPr>
                <w:b/>
                <w:bCs/>
              </w:rPr>
              <w:t xml:space="preserve">TESE FIXADA / DECISÃO: </w:t>
            </w:r>
            <w:r>
              <w:t>O reconhecimento da proteção do bem de família em relação à meação do cônjuge não devedor se estende à totalidade do bem, pois a Lei 8.009/90 visa resguardar a família contra o desabrigo, e não apenas prevenir a perda patrimonial da meeira.</w:t>
            </w:r>
          </w:p>
          <w:p w14:paraId="421628E4" w14:textId="77777777" w:rsidR="00B874B0" w:rsidRDefault="00000000">
            <w:pPr>
              <w:spacing w:after="100"/>
            </w:pPr>
            <w:r>
              <w:rPr>
                <w:b/>
                <w:bCs/>
              </w:rPr>
              <w:t xml:space="preserve">RESUMO DO CASO: </w:t>
            </w:r>
            <w:r>
              <w:t>Após ser citado em ação de cobrança, o marido devedor doou a casa do casal aos filhos, reservando usufruto, e o credor obteve reconhecimento de fraude à execução com penhora de 50% (parte do marido). A esposa, não devedora, opôs embargos de terceiro alegando bem de família. O STJ acolheu, afirmando que a proteção do bem de família se estende à totalidade do imóvel, mesmo diante de fraude à execução, desde que mantida a destinação residencial familiar e ausente desvio de proveito econômico em prejuízo do credor.</w:t>
            </w:r>
          </w:p>
          <w:p w14:paraId="672B7955" w14:textId="77777777" w:rsidR="00B874B0" w:rsidRDefault="00000000">
            <w:pPr>
              <w:spacing w:after="40"/>
            </w:pPr>
            <w:r>
              <w:rPr>
                <w:b/>
                <w:bCs/>
              </w:rPr>
              <w:t>COMO PODE SER COBRADO EM PROVA:</w:t>
            </w:r>
          </w:p>
          <w:p w14:paraId="09DAAF2A" w14:textId="77777777" w:rsidR="00B874B0" w:rsidRDefault="00000000">
            <w:pPr>
              <w:pStyle w:val="PargrafodaLista"/>
              <w:numPr>
                <w:ilvl w:val="0"/>
                <w:numId w:val="2"/>
              </w:numPr>
              <w:spacing w:after="40"/>
            </w:pPr>
            <w:r>
              <w:rPr>
                <w:b/>
                <w:bCs/>
                <w:i/>
                <w:iCs/>
              </w:rPr>
              <w:t xml:space="preserve">Objetiva: </w:t>
            </w:r>
            <w:r>
              <w:t>testar se a penhora pode recair apenas sobre a meação do cônjuge devedor quando o imóvel é bem de família (não pode, protege-se o todo).</w:t>
            </w:r>
          </w:p>
          <w:p w14:paraId="257E8659" w14:textId="77777777" w:rsidR="00B874B0" w:rsidRDefault="00000000">
            <w:pPr>
              <w:pStyle w:val="PargrafodaLista"/>
              <w:numPr>
                <w:ilvl w:val="0"/>
                <w:numId w:val="2"/>
              </w:numPr>
              <w:spacing w:after="40"/>
            </w:pPr>
            <w:r>
              <w:rPr>
                <w:b/>
                <w:bCs/>
                <w:i/>
                <w:iCs/>
              </w:rPr>
              <w:t xml:space="preserve">Discursiva/Sentença: </w:t>
            </w:r>
            <w:r>
              <w:t>caso de doação com reserva de usufruto por cônjuge devedor, com embargos de terceiro do cônjuge não devedor — discutir extensão da proteção.</w:t>
            </w:r>
          </w:p>
          <w:p w14:paraId="01F4BEA1" w14:textId="77777777" w:rsidR="00B874B0" w:rsidRDefault="00000000">
            <w:pPr>
              <w:pStyle w:val="PargrafodaLista"/>
              <w:numPr>
                <w:ilvl w:val="0"/>
                <w:numId w:val="2"/>
              </w:numPr>
              <w:spacing w:after="100"/>
            </w:pPr>
            <w:r>
              <w:rPr>
                <w:b/>
                <w:bCs/>
                <w:i/>
                <w:iCs/>
              </w:rPr>
              <w:t xml:space="preserve">Oral: </w:t>
            </w:r>
            <w:r>
              <w:t>"A impenhorabilidade do bem de família, quando arguida por cônjuge não devedor, protege apenas a meação dele ou o imóvel como um todo?"</w:t>
            </w:r>
          </w:p>
          <w:p w14:paraId="2541E61B" w14:textId="77777777" w:rsidR="00B874B0" w:rsidRDefault="00000000">
            <w:r>
              <w:rPr>
                <w:b/>
                <w:bCs/>
                <w:color w:val="A9762F"/>
              </w:rPr>
              <w:t xml:space="preserve">CONEXÕES: </w:t>
            </w:r>
            <w:r>
              <w:rPr>
                <w:i/>
                <w:iCs/>
              </w:rPr>
              <w:t>EAREsp 2.141.032-GO (Info 840); REsp 1.792.265-SP (Info 723/771).</w:t>
            </w:r>
          </w:p>
        </w:tc>
      </w:tr>
    </w:tbl>
    <w:p w14:paraId="6F4C2418" w14:textId="77777777" w:rsidR="00B874B0" w:rsidRDefault="00B874B0">
      <w:pPr>
        <w:spacing w:after="160"/>
      </w:pPr>
    </w:p>
    <w:tbl>
      <w:tblPr>
        <w:tblW w:w="5000" w:type="pct"/>
        <w:tblBorders>
          <w:top w:val="single" w:sz="8" w:space="0" w:color="C9B78C"/>
          <w:left w:val="single" w:sz="8" w:space="0" w:color="C9B78C"/>
          <w:bottom w:val="single" w:sz="8" w:space="0" w:color="C9B78C"/>
          <w:right w:val="single" w:sz="8" w:space="0" w:color="C9B78C"/>
        </w:tblBorders>
        <w:tblCellMar>
          <w:left w:w="10" w:type="dxa"/>
          <w:right w:w="10" w:type="dxa"/>
        </w:tblCellMar>
        <w:tblLook w:val="04A0" w:firstRow="1" w:lastRow="0" w:firstColumn="1" w:lastColumn="0" w:noHBand="0" w:noVBand="1"/>
      </w:tblPr>
      <w:tblGrid>
        <w:gridCol w:w="9726"/>
      </w:tblGrid>
      <w:tr w:rsidR="00B874B0" w14:paraId="6A208E14" w14:textId="77777777">
        <w:tblPrEx>
          <w:tblCellMar>
            <w:top w:w="0" w:type="dxa"/>
            <w:bottom w:w="0" w:type="dxa"/>
          </w:tblCellMar>
        </w:tblPrEx>
        <w:tc>
          <w:tcPr>
            <w:tcW w:w="5000" w:type="pct"/>
            <w:shd w:val="clear" w:color="auto" w:fill="F6F1E8"/>
            <w:tcMar>
              <w:top w:w="160" w:type="dxa"/>
              <w:left w:w="200" w:type="dxa"/>
              <w:bottom w:w="160" w:type="dxa"/>
              <w:right w:w="200" w:type="dxa"/>
            </w:tcMar>
          </w:tcPr>
          <w:p w14:paraId="5711AEB8" w14:textId="77777777" w:rsidR="00B874B0" w:rsidRDefault="00000000">
            <w:pPr>
              <w:pStyle w:val="Ttulo3"/>
              <w:spacing w:after="80"/>
            </w:pPr>
            <w:bookmarkStart w:id="100" w:name="_Toc236570154"/>
            <w:r>
              <w:t>Aquisição de imóvel no curso de demanda executiva não afasta a impenhorabilidade, salvo má-fé (art. 4º)</w:t>
            </w:r>
            <w:bookmarkEnd w:id="100"/>
          </w:p>
          <w:p w14:paraId="5C68A860" w14:textId="77777777" w:rsidR="00B874B0" w:rsidRDefault="00000000">
            <w:pPr>
              <w:spacing w:after="40"/>
            </w:pPr>
            <w:r>
              <w:rPr>
                <w:b/>
                <w:bCs/>
                <w:color w:val="555555"/>
                <w:sz w:val="19"/>
                <w:szCs w:val="19"/>
              </w:rPr>
              <w:t>Tribunal: STJ   |   Órgão: 4ª Turma</w:t>
            </w:r>
          </w:p>
          <w:p w14:paraId="36105B6B" w14:textId="77777777" w:rsidR="00B874B0" w:rsidRDefault="00000000">
            <w:pPr>
              <w:spacing w:after="40"/>
            </w:pPr>
            <w:r>
              <w:rPr>
                <w:color w:val="555555"/>
                <w:sz w:val="19"/>
                <w:szCs w:val="19"/>
              </w:rPr>
              <w:t>Processo: REsp 1.792.265-SP, Rel. Min. Luis Felipe Salomão, julgado em 14/12/2021 (Info 723) — confirmado em AgInt nos EDcl no AREsp 2.182.745-BA, Rel. Min. Raul Araújo, julgado em 18/04/2023 (Info 771)</w:t>
            </w:r>
          </w:p>
          <w:p w14:paraId="2C8FEAF8" w14:textId="77777777" w:rsidR="00B874B0" w:rsidRDefault="00000000">
            <w:pPr>
              <w:spacing w:after="100"/>
            </w:pPr>
            <w:r>
              <w:rPr>
                <w:i/>
                <w:iCs/>
                <w:color w:val="555555"/>
                <w:sz w:val="19"/>
                <w:szCs w:val="19"/>
              </w:rPr>
              <w:t>Sistemática: Caso isolado (reiterado)</w:t>
            </w:r>
          </w:p>
          <w:p w14:paraId="2835F06E" w14:textId="77777777" w:rsidR="00B874B0" w:rsidRDefault="00000000">
            <w:pPr>
              <w:spacing w:after="100"/>
            </w:pPr>
            <w:r>
              <w:rPr>
                <w:b/>
                <w:bCs/>
              </w:rPr>
              <w:t xml:space="preserve">TESE FIXADA / DECISÃO: </w:t>
            </w:r>
            <w:r>
              <w:t>O benefício da impenhorabilidade do bem de família deve ser concedido ainda que o imóvel tenha sido adquirido no curso de demanda executiva, salvo na hipótese do art. 4º da Lei 8.009/90 (aquisição de má-fé de imóvel mais valioso para transferir a residência, desfazendo-se ou não da moradia antiga, pelo devedor que sabe ser insolvente).</w:t>
            </w:r>
          </w:p>
          <w:p w14:paraId="3855789D" w14:textId="77777777" w:rsidR="00B874B0" w:rsidRDefault="00000000">
            <w:pPr>
              <w:spacing w:after="100"/>
            </w:pPr>
            <w:r>
              <w:rPr>
                <w:b/>
                <w:bCs/>
              </w:rPr>
              <w:t xml:space="preserve">RESUMO DO CASO: </w:t>
            </w:r>
            <w:r>
              <w:t>Discutiu-se se a aquisição de imóvel para moradia durante o curso de execução, sem alienação ou oneração de outros bens, configuraria fraude ou afastaria a impenhorabilidade. O STJ definiu que, em regra, a proteção subsiste, restringindo-se a exceção à hipótese específica de má-fé descrita no art. 4º (imóvel "mais valioso" adquirido para blindar patrimônio do devedor insolvente).</w:t>
            </w:r>
          </w:p>
          <w:p w14:paraId="4200F1E8" w14:textId="77777777" w:rsidR="00B874B0" w:rsidRDefault="00000000">
            <w:pPr>
              <w:spacing w:after="40"/>
            </w:pPr>
            <w:r>
              <w:rPr>
                <w:b/>
                <w:bCs/>
              </w:rPr>
              <w:t>COMO PODE SER COBRADO EM PROVA:</w:t>
            </w:r>
          </w:p>
          <w:p w14:paraId="394D2713" w14:textId="77777777" w:rsidR="00B874B0" w:rsidRDefault="00000000">
            <w:pPr>
              <w:pStyle w:val="PargrafodaLista"/>
              <w:numPr>
                <w:ilvl w:val="0"/>
                <w:numId w:val="2"/>
              </w:numPr>
              <w:spacing w:after="40"/>
            </w:pPr>
            <w:r>
              <w:rPr>
                <w:b/>
                <w:bCs/>
                <w:i/>
                <w:iCs/>
              </w:rPr>
              <w:t xml:space="preserve">Objetiva: </w:t>
            </w:r>
            <w:r>
              <w:t>testar os requisitos cumulativos do art. 4º da Lei 8.009/90 (insolvência conhecida + má-fé + imóvel mais valioso) para afastar a proteção.</w:t>
            </w:r>
          </w:p>
          <w:p w14:paraId="5FE0DCEA" w14:textId="77777777" w:rsidR="00B874B0" w:rsidRDefault="00000000">
            <w:pPr>
              <w:pStyle w:val="PargrafodaLista"/>
              <w:numPr>
                <w:ilvl w:val="0"/>
                <w:numId w:val="2"/>
              </w:numPr>
              <w:spacing w:after="40"/>
            </w:pPr>
            <w:r>
              <w:rPr>
                <w:b/>
                <w:bCs/>
                <w:i/>
                <w:iCs/>
              </w:rPr>
              <w:t xml:space="preserve">Discursiva/Sentença: </w:t>
            </w:r>
            <w:r>
              <w:t>caso de devedor que compra novo imóvel durante execução — analisar se há fraude nos moldes do art. 4º ou se a proteção subsiste.</w:t>
            </w:r>
          </w:p>
          <w:p w14:paraId="5087F51E" w14:textId="77777777" w:rsidR="00B874B0" w:rsidRDefault="00000000">
            <w:pPr>
              <w:pStyle w:val="PargrafodaLista"/>
              <w:numPr>
                <w:ilvl w:val="0"/>
                <w:numId w:val="2"/>
              </w:numPr>
              <w:spacing w:after="100"/>
            </w:pPr>
            <w:r>
              <w:rPr>
                <w:b/>
                <w:bCs/>
                <w:i/>
                <w:iCs/>
              </w:rPr>
              <w:t xml:space="preserve">Oral: </w:t>
            </w:r>
            <w:r>
              <w:t>"Quais os requisitos para que a aquisição de novo imóvel durante o curso de uma execução afaste a proteção do bem de família, nos termos do art. 4º da Lei 8.009/90?"</w:t>
            </w:r>
          </w:p>
          <w:p w14:paraId="0AD36043" w14:textId="77777777" w:rsidR="00B874B0" w:rsidRDefault="00000000">
            <w:r>
              <w:rPr>
                <w:b/>
                <w:bCs/>
                <w:color w:val="A9762F"/>
              </w:rPr>
              <w:t xml:space="preserve">CONEXÕES: </w:t>
            </w:r>
            <w:r>
              <w:rPr>
                <w:i/>
                <w:iCs/>
              </w:rPr>
              <w:t>art. 4º, Lei 8.009/90; EAREsp 2.141.032-GO (Info 840); AgInt AREsp 2.174.427-RJ (Info 791, manutenção da impenhorabilidade mesmo após alienação do bem).</w:t>
            </w:r>
          </w:p>
        </w:tc>
      </w:tr>
    </w:tbl>
    <w:p w14:paraId="7DF787C1" w14:textId="77777777" w:rsidR="00B874B0" w:rsidRDefault="00B874B0">
      <w:pPr>
        <w:spacing w:after="160"/>
      </w:pPr>
    </w:p>
    <w:p w14:paraId="1C1FE5EF" w14:textId="77777777" w:rsidR="00B874B0" w:rsidRDefault="00000000">
      <w:pPr>
        <w:pStyle w:val="Ttulo2"/>
        <w:spacing w:after="160"/>
      </w:pPr>
      <w:bookmarkStart w:id="101" w:name="_Toc236570155"/>
      <w:r>
        <w:t>7. Outros temas relevantes (imóvel em nome de pessoa jurídica; construção em andamento)</w:t>
      </w:r>
      <w:bookmarkEnd w:id="101"/>
    </w:p>
    <w:tbl>
      <w:tblPr>
        <w:tblW w:w="5000" w:type="pct"/>
        <w:tblBorders>
          <w:top w:val="single" w:sz="8" w:space="0" w:color="C9B78C"/>
          <w:left w:val="single" w:sz="8" w:space="0" w:color="C9B78C"/>
          <w:bottom w:val="single" w:sz="8" w:space="0" w:color="C9B78C"/>
          <w:right w:val="single" w:sz="8" w:space="0" w:color="C9B78C"/>
        </w:tblBorders>
        <w:tblCellMar>
          <w:left w:w="10" w:type="dxa"/>
          <w:right w:w="10" w:type="dxa"/>
        </w:tblCellMar>
        <w:tblLook w:val="04A0" w:firstRow="1" w:lastRow="0" w:firstColumn="1" w:lastColumn="0" w:noHBand="0" w:noVBand="1"/>
      </w:tblPr>
      <w:tblGrid>
        <w:gridCol w:w="9726"/>
      </w:tblGrid>
      <w:tr w:rsidR="00B874B0" w14:paraId="2DB7F521" w14:textId="77777777">
        <w:tblPrEx>
          <w:tblCellMar>
            <w:top w:w="0" w:type="dxa"/>
            <w:bottom w:w="0" w:type="dxa"/>
          </w:tblCellMar>
        </w:tblPrEx>
        <w:tc>
          <w:tcPr>
            <w:tcW w:w="5000" w:type="pct"/>
            <w:shd w:val="clear" w:color="auto" w:fill="F6F1E8"/>
            <w:tcMar>
              <w:top w:w="160" w:type="dxa"/>
              <w:left w:w="200" w:type="dxa"/>
              <w:bottom w:w="160" w:type="dxa"/>
              <w:right w:w="200" w:type="dxa"/>
            </w:tcMar>
          </w:tcPr>
          <w:p w14:paraId="0EC4CE2E" w14:textId="77777777" w:rsidR="00B874B0" w:rsidRDefault="00000000">
            <w:pPr>
              <w:pStyle w:val="Ttulo3"/>
              <w:spacing w:after="80"/>
            </w:pPr>
            <w:bookmarkStart w:id="102" w:name="_Toc236570156"/>
            <w:r>
              <w:lastRenderedPageBreak/>
              <w:t>Confusão entre moradia da família e sede da empresa não é requisito para a proteção do bem de família</w:t>
            </w:r>
            <w:bookmarkEnd w:id="102"/>
          </w:p>
          <w:p w14:paraId="2F2671B6" w14:textId="77777777" w:rsidR="00B874B0" w:rsidRDefault="00000000">
            <w:pPr>
              <w:spacing w:after="40"/>
            </w:pPr>
            <w:r>
              <w:rPr>
                <w:b/>
                <w:bCs/>
                <w:color w:val="555555"/>
                <w:sz w:val="19"/>
                <w:szCs w:val="19"/>
              </w:rPr>
              <w:t>Tribunal: STJ   |   Órgão: 2ª Turma</w:t>
            </w:r>
          </w:p>
          <w:p w14:paraId="70E51307" w14:textId="77777777" w:rsidR="00B874B0" w:rsidRDefault="00000000">
            <w:pPr>
              <w:spacing w:after="40"/>
            </w:pPr>
            <w:r>
              <w:rPr>
                <w:color w:val="555555"/>
                <w:sz w:val="19"/>
                <w:szCs w:val="19"/>
              </w:rPr>
              <w:t>Processo: AgInt no AREsp 2.360.631-RJ   |   Relator: Min. Herman Benjamin   |   Data: 08/04/2024 (Info 811)</w:t>
            </w:r>
          </w:p>
          <w:p w14:paraId="1F17F16D" w14:textId="77777777" w:rsidR="00B874B0" w:rsidRDefault="00000000">
            <w:pPr>
              <w:spacing w:after="100"/>
            </w:pPr>
            <w:r>
              <w:rPr>
                <w:i/>
                <w:iCs/>
                <w:color w:val="555555"/>
                <w:sz w:val="19"/>
                <w:szCs w:val="19"/>
              </w:rPr>
              <w:t>Sistemática: Caso isolado</w:t>
            </w:r>
          </w:p>
          <w:p w14:paraId="74959C11" w14:textId="77777777" w:rsidR="00B874B0" w:rsidRDefault="00000000">
            <w:pPr>
              <w:spacing w:after="100"/>
            </w:pPr>
            <w:r>
              <w:rPr>
                <w:b/>
                <w:bCs/>
              </w:rPr>
              <w:t xml:space="preserve">TESE FIXADA / DECISÃO: </w:t>
            </w:r>
            <w:r>
              <w:t>A simples comprovação de que o imóvel constitui moradia é suficiente para conferir a proteção do bem de família, ainda que o imóvel esteja registrado em nome de pessoa jurídica da qual o morador é sócio. Não se exige "confusão" (coincidência) entre a moradia da família e o local de funcionamento da empresa.</w:t>
            </w:r>
          </w:p>
          <w:p w14:paraId="2A911E3B" w14:textId="77777777" w:rsidR="00B874B0" w:rsidRDefault="00000000">
            <w:pPr>
              <w:spacing w:after="100"/>
            </w:pPr>
            <w:r>
              <w:rPr>
                <w:b/>
                <w:bCs/>
              </w:rPr>
              <w:t xml:space="preserve">RESUMO DO CASO: </w:t>
            </w:r>
            <w:r>
              <w:t>Imóvel adquirido por sócia para moradia foi posteriormente integralizado ao capital social de sua empresa, passando a figurar em nome da PJ, mas ela continuou residindo no local com a família. Diante de indisponibilidade de bens decretada em investigação por fraude tributária da empresa, a sócia opôs embargos de terceiro alegando bem de família. O juízo de origem exigia "confusão" entre moradia e sede da empresa; o STJ afastou essa exigência, por se tratar de interpretação extensiva vedada a norma protetiva de ordem pública.</w:t>
            </w:r>
          </w:p>
          <w:p w14:paraId="1C418032" w14:textId="77777777" w:rsidR="00B874B0" w:rsidRDefault="00000000">
            <w:pPr>
              <w:spacing w:after="40"/>
            </w:pPr>
            <w:r>
              <w:rPr>
                <w:b/>
                <w:bCs/>
              </w:rPr>
              <w:t>COMO PODE SER COBRADO EM PROVA:</w:t>
            </w:r>
          </w:p>
          <w:p w14:paraId="17DFD1F0" w14:textId="77777777" w:rsidR="00B874B0" w:rsidRDefault="00000000">
            <w:pPr>
              <w:pStyle w:val="PargrafodaLista"/>
              <w:numPr>
                <w:ilvl w:val="0"/>
                <w:numId w:val="2"/>
              </w:numPr>
              <w:spacing w:after="40"/>
            </w:pPr>
            <w:r>
              <w:rPr>
                <w:b/>
                <w:bCs/>
                <w:i/>
                <w:iCs/>
              </w:rPr>
              <w:t xml:space="preserve">Objetiva: </w:t>
            </w:r>
            <w:r>
              <w:t>testar se a proteção do bem de família em imóvel de titularidade de PJ exige que a empresa também funcione no local (não exige).</w:t>
            </w:r>
          </w:p>
          <w:p w14:paraId="00859A84" w14:textId="77777777" w:rsidR="00B874B0" w:rsidRDefault="00000000">
            <w:pPr>
              <w:pStyle w:val="PargrafodaLista"/>
              <w:numPr>
                <w:ilvl w:val="0"/>
                <w:numId w:val="2"/>
              </w:numPr>
              <w:spacing w:after="40"/>
            </w:pPr>
            <w:r>
              <w:rPr>
                <w:b/>
                <w:bCs/>
                <w:i/>
                <w:iCs/>
              </w:rPr>
              <w:t xml:space="preserve">Discursiva/Sentença: </w:t>
            </w:r>
            <w:r>
              <w:t>caso de imóvel integralizado ao capital social de empresa em que o sócio reside — discutir a impenhorabilidade em face de dívidas da PJ.</w:t>
            </w:r>
          </w:p>
          <w:p w14:paraId="20856184" w14:textId="77777777" w:rsidR="00B874B0" w:rsidRDefault="00000000">
            <w:pPr>
              <w:pStyle w:val="PargrafodaLista"/>
              <w:numPr>
                <w:ilvl w:val="0"/>
                <w:numId w:val="2"/>
              </w:numPr>
              <w:spacing w:after="100"/>
            </w:pPr>
            <w:r>
              <w:rPr>
                <w:b/>
                <w:bCs/>
                <w:i/>
                <w:iCs/>
              </w:rPr>
              <w:t xml:space="preserve">Oral: </w:t>
            </w:r>
            <w:r>
              <w:t>"É possível reconhecer bem de família em imóvel registrado em nome de pessoa jurídica? Quais os requisitos?"</w:t>
            </w:r>
          </w:p>
          <w:p w14:paraId="37FADB33" w14:textId="77777777" w:rsidR="00B874B0" w:rsidRDefault="00000000">
            <w:r>
              <w:rPr>
                <w:b/>
                <w:bCs/>
                <w:color w:val="A9762F"/>
              </w:rPr>
              <w:t xml:space="preserve">CONEXÕES: </w:t>
            </w:r>
            <w:r>
              <w:rPr>
                <w:i/>
                <w:iCs/>
              </w:rPr>
              <w:t>EDcl AREsp 511.486-SC (Info 579, imóvel de sociedade empresária em que reside o sócio); Tema 1261-STJ (Info 855, hipoteca por sócio).</w:t>
            </w:r>
          </w:p>
        </w:tc>
      </w:tr>
    </w:tbl>
    <w:p w14:paraId="0543BAA0" w14:textId="77777777" w:rsidR="00B874B0" w:rsidRDefault="00B874B0">
      <w:pPr>
        <w:spacing w:after="160"/>
      </w:pPr>
    </w:p>
    <w:tbl>
      <w:tblPr>
        <w:tblW w:w="5000" w:type="pct"/>
        <w:tblBorders>
          <w:top w:val="single" w:sz="8" w:space="0" w:color="C9B78C"/>
          <w:left w:val="single" w:sz="8" w:space="0" w:color="C9B78C"/>
          <w:bottom w:val="single" w:sz="8" w:space="0" w:color="C9B78C"/>
          <w:right w:val="single" w:sz="8" w:space="0" w:color="C9B78C"/>
        </w:tblBorders>
        <w:tblCellMar>
          <w:left w:w="10" w:type="dxa"/>
          <w:right w:w="10" w:type="dxa"/>
        </w:tblCellMar>
        <w:tblLook w:val="04A0" w:firstRow="1" w:lastRow="0" w:firstColumn="1" w:lastColumn="0" w:noHBand="0" w:noVBand="1"/>
      </w:tblPr>
      <w:tblGrid>
        <w:gridCol w:w="9726"/>
      </w:tblGrid>
      <w:tr w:rsidR="00B874B0" w14:paraId="01B3A581" w14:textId="77777777">
        <w:tblPrEx>
          <w:tblCellMar>
            <w:top w:w="0" w:type="dxa"/>
            <w:bottom w:w="0" w:type="dxa"/>
          </w:tblCellMar>
        </w:tblPrEx>
        <w:tc>
          <w:tcPr>
            <w:tcW w:w="5000" w:type="pct"/>
            <w:shd w:val="clear" w:color="auto" w:fill="F6F1E8"/>
            <w:tcMar>
              <w:top w:w="160" w:type="dxa"/>
              <w:left w:w="200" w:type="dxa"/>
              <w:bottom w:w="160" w:type="dxa"/>
              <w:right w:w="200" w:type="dxa"/>
            </w:tcMar>
          </w:tcPr>
          <w:p w14:paraId="125B321E" w14:textId="77777777" w:rsidR="00B874B0" w:rsidRDefault="00000000">
            <w:pPr>
              <w:pStyle w:val="Ttulo3"/>
              <w:spacing w:after="80"/>
            </w:pPr>
            <w:bookmarkStart w:id="103" w:name="_Toc236570157"/>
            <w:r>
              <w:t>Imóvel em construção destinado à moradia é bem de família antecipado</w:t>
            </w:r>
            <w:bookmarkEnd w:id="103"/>
          </w:p>
          <w:p w14:paraId="4F9E5FE5" w14:textId="77777777" w:rsidR="00B874B0" w:rsidRDefault="00000000">
            <w:pPr>
              <w:spacing w:after="40"/>
            </w:pPr>
            <w:r>
              <w:rPr>
                <w:b/>
                <w:bCs/>
                <w:color w:val="555555"/>
                <w:sz w:val="19"/>
                <w:szCs w:val="19"/>
              </w:rPr>
              <w:t>Tribunal: STJ   |   Órgão: 4ª Turma</w:t>
            </w:r>
          </w:p>
          <w:p w14:paraId="09D1BA79" w14:textId="77777777" w:rsidR="00B874B0" w:rsidRDefault="00000000">
            <w:pPr>
              <w:spacing w:after="40"/>
            </w:pPr>
            <w:r>
              <w:rPr>
                <w:color w:val="555555"/>
                <w:sz w:val="19"/>
                <w:szCs w:val="19"/>
              </w:rPr>
              <w:t>Processo: REsp 1.960.026-SP   |   Relator: Min. Marco Buzzi   |   Data: 11/10/2022 (Info 753)</w:t>
            </w:r>
          </w:p>
          <w:p w14:paraId="4DEB651C" w14:textId="77777777" w:rsidR="00B874B0" w:rsidRDefault="00000000">
            <w:pPr>
              <w:spacing w:after="100"/>
            </w:pPr>
            <w:r>
              <w:rPr>
                <w:i/>
                <w:iCs/>
                <w:color w:val="555555"/>
                <w:sz w:val="19"/>
                <w:szCs w:val="19"/>
              </w:rPr>
              <w:t>Sistemática: Caso isolado</w:t>
            </w:r>
          </w:p>
          <w:p w14:paraId="5A92C301" w14:textId="77777777" w:rsidR="00B874B0" w:rsidRDefault="00000000">
            <w:pPr>
              <w:spacing w:after="100"/>
            </w:pPr>
            <w:r>
              <w:rPr>
                <w:b/>
                <w:bCs/>
              </w:rPr>
              <w:t xml:space="preserve">TESE FIXADA / DECISÃO: </w:t>
            </w:r>
            <w:r>
              <w:t>O terreno cuja unidade habitacional está em fase de construção, destinada à residência, está protegido pela impenhorabilidade por dívidas, presumindo-se, desde logo, como bem de família — adotando-se interpretação finalística e valorativa da Lei 8.009/90.</w:t>
            </w:r>
          </w:p>
          <w:p w14:paraId="4B4FE36A" w14:textId="77777777" w:rsidR="00B874B0" w:rsidRDefault="00000000">
            <w:pPr>
              <w:spacing w:after="100"/>
            </w:pPr>
            <w:r>
              <w:rPr>
                <w:b/>
                <w:bCs/>
              </w:rPr>
              <w:t xml:space="preserve">RESUMO DO CASO: </w:t>
            </w:r>
            <w:r>
              <w:t>Discutiu-se a penhorabilidade de terreno com obra inacabada, ainda sem condições de habitação, mas destinado à futura moradia do devedor. O STJ decidiu que a etapa de construção não afasta a proteção, considerando o contexto socioeconômico brasileiro em que a construção da casa própria muitas vezes leva anos, sendo desproporcional exigir que o imóvel já esteja pronto para gozar da impenhorabilidade.</w:t>
            </w:r>
          </w:p>
          <w:p w14:paraId="52D4427B" w14:textId="77777777" w:rsidR="00B874B0" w:rsidRDefault="00000000">
            <w:pPr>
              <w:spacing w:after="40"/>
            </w:pPr>
            <w:r>
              <w:rPr>
                <w:b/>
                <w:bCs/>
              </w:rPr>
              <w:t>COMO PODE SER COBRADO EM PROVA:</w:t>
            </w:r>
          </w:p>
          <w:p w14:paraId="340754E2" w14:textId="77777777" w:rsidR="00B874B0" w:rsidRDefault="00000000">
            <w:pPr>
              <w:pStyle w:val="PargrafodaLista"/>
              <w:numPr>
                <w:ilvl w:val="0"/>
                <w:numId w:val="2"/>
              </w:numPr>
              <w:spacing w:after="40"/>
            </w:pPr>
            <w:r>
              <w:rPr>
                <w:b/>
                <w:bCs/>
                <w:i/>
                <w:iCs/>
              </w:rPr>
              <w:t xml:space="preserve">Objetiva: </w:t>
            </w:r>
            <w:r>
              <w:t>testar se apenas o imóvel já habitável goza da proteção (não — imóvel em construção também, se destinado à moradia).</w:t>
            </w:r>
          </w:p>
          <w:p w14:paraId="185020AB" w14:textId="77777777" w:rsidR="00B874B0" w:rsidRDefault="00000000">
            <w:pPr>
              <w:pStyle w:val="PargrafodaLista"/>
              <w:numPr>
                <w:ilvl w:val="0"/>
                <w:numId w:val="2"/>
              </w:numPr>
              <w:spacing w:after="40"/>
            </w:pPr>
            <w:r>
              <w:rPr>
                <w:b/>
                <w:bCs/>
                <w:i/>
                <w:iCs/>
              </w:rPr>
              <w:t xml:space="preserve">Discursiva/Sentença: </w:t>
            </w:r>
            <w:r>
              <w:t>caso de execução contra devedor que possui apenas terreno com obra em andamento — discutir a impenhorabilidade.</w:t>
            </w:r>
          </w:p>
          <w:p w14:paraId="55020D4C" w14:textId="77777777" w:rsidR="00B874B0" w:rsidRDefault="00000000">
            <w:pPr>
              <w:pStyle w:val="PargrafodaLista"/>
              <w:numPr>
                <w:ilvl w:val="0"/>
                <w:numId w:val="2"/>
              </w:numPr>
              <w:spacing w:after="100"/>
            </w:pPr>
            <w:r>
              <w:rPr>
                <w:b/>
                <w:bCs/>
                <w:i/>
                <w:iCs/>
              </w:rPr>
              <w:t xml:space="preserve">Oral: </w:t>
            </w:r>
            <w:r>
              <w:t>"O bem de família pressupõe que o imóvel já esteja habitável? Explique a posição do STJ sobre imóveis em construção."</w:t>
            </w:r>
          </w:p>
          <w:p w14:paraId="4AC4F9E5" w14:textId="77777777" w:rsidR="00B874B0" w:rsidRDefault="00000000">
            <w:r>
              <w:rPr>
                <w:b/>
                <w:bCs/>
                <w:color w:val="A9762F"/>
              </w:rPr>
              <w:t xml:space="preserve">CONEXÕES: </w:t>
            </w:r>
            <w:r>
              <w:rPr>
                <w:i/>
                <w:iCs/>
              </w:rPr>
              <w:t>art. 1º, Lei 8.009/90; princípio da dignidade da pessoa humana e direito à moradia (art. 6º, CF).</w:t>
            </w:r>
          </w:p>
        </w:tc>
      </w:tr>
    </w:tbl>
    <w:p w14:paraId="63E0FB23" w14:textId="77777777" w:rsidR="00B874B0" w:rsidRDefault="00B874B0">
      <w:pPr>
        <w:spacing w:after="160"/>
      </w:pPr>
    </w:p>
    <w:p w14:paraId="490F4D2D" w14:textId="77777777" w:rsidR="00B874B0" w:rsidRDefault="00000000">
      <w:pPr>
        <w:pStyle w:val="Ttulo1"/>
        <w:pageBreakBefore/>
        <w:spacing w:after="200"/>
      </w:pPr>
      <w:bookmarkStart w:id="104" w:name="_Toc236570158"/>
      <w:r>
        <w:lastRenderedPageBreak/>
        <w:t>V. TUTELA, CURATELA E TOMADA DE DECISÃO APOIADA</w:t>
      </w:r>
      <w:bookmarkEnd w:id="104"/>
    </w:p>
    <w:p w14:paraId="6B10918F" w14:textId="77777777" w:rsidR="00B874B0" w:rsidRDefault="00000000">
      <w:pPr>
        <w:spacing w:after="300"/>
      </w:pPr>
      <w:r>
        <w:rPr>
          <w:i/>
          <w:iCs/>
          <w:color w:val="555555"/>
        </w:rPr>
        <w:t>CC arts. 1.728 a 1.783-A</w:t>
      </w:r>
    </w:p>
    <w:p w14:paraId="75AD0F76" w14:textId="77777777" w:rsidR="00B874B0" w:rsidRDefault="00000000">
      <w:pPr>
        <w:pStyle w:val="Ttulo2"/>
        <w:spacing w:after="160"/>
      </w:pPr>
      <w:bookmarkStart w:id="105" w:name="_Toc236570159"/>
      <w:r>
        <w:t>Curatela e capacidade civil</w:t>
      </w:r>
      <w:bookmarkEnd w:id="105"/>
    </w:p>
    <w:tbl>
      <w:tblPr>
        <w:tblW w:w="5000" w:type="pct"/>
        <w:tblBorders>
          <w:top w:val="single" w:sz="8" w:space="0" w:color="C9B78C"/>
          <w:left w:val="single" w:sz="8" w:space="0" w:color="C9B78C"/>
          <w:bottom w:val="single" w:sz="8" w:space="0" w:color="C9B78C"/>
          <w:right w:val="single" w:sz="8" w:space="0" w:color="C9B78C"/>
        </w:tblBorders>
        <w:tblCellMar>
          <w:left w:w="10" w:type="dxa"/>
          <w:right w:w="10" w:type="dxa"/>
        </w:tblCellMar>
        <w:tblLook w:val="04A0" w:firstRow="1" w:lastRow="0" w:firstColumn="1" w:lastColumn="0" w:noHBand="0" w:noVBand="1"/>
      </w:tblPr>
      <w:tblGrid>
        <w:gridCol w:w="9726"/>
      </w:tblGrid>
      <w:tr w:rsidR="00B874B0" w14:paraId="32E69FA6" w14:textId="77777777">
        <w:tblPrEx>
          <w:tblCellMar>
            <w:top w:w="0" w:type="dxa"/>
            <w:bottom w:w="0" w:type="dxa"/>
          </w:tblCellMar>
        </w:tblPrEx>
        <w:tc>
          <w:tcPr>
            <w:tcW w:w="5000" w:type="pct"/>
            <w:shd w:val="clear" w:color="auto" w:fill="F6F1E8"/>
            <w:tcMar>
              <w:top w:w="160" w:type="dxa"/>
              <w:left w:w="200" w:type="dxa"/>
              <w:bottom w:w="160" w:type="dxa"/>
              <w:right w:w="200" w:type="dxa"/>
            </w:tcMar>
          </w:tcPr>
          <w:p w14:paraId="0B370D18" w14:textId="77777777" w:rsidR="00B874B0" w:rsidRDefault="00000000">
            <w:pPr>
              <w:pStyle w:val="Ttulo3"/>
              <w:spacing w:after="80"/>
            </w:pPr>
            <w:bookmarkStart w:id="106" w:name="_Toc236570160"/>
            <w:r>
              <w:t>Curatela provisória e restrição da capacidade civil do testador — nulidade do testamento lavrado na sua vigência</w:t>
            </w:r>
            <w:bookmarkEnd w:id="106"/>
          </w:p>
          <w:p w14:paraId="59FE027F" w14:textId="77777777" w:rsidR="00B874B0" w:rsidRDefault="00000000">
            <w:pPr>
              <w:spacing w:after="40"/>
            </w:pPr>
            <w:r>
              <w:rPr>
                <w:b/>
                <w:bCs/>
                <w:color w:val="555555"/>
                <w:sz w:val="19"/>
                <w:szCs w:val="19"/>
              </w:rPr>
              <w:t>Tribunal: STJ   |   Órgão: 4ª Turma</w:t>
            </w:r>
          </w:p>
          <w:p w14:paraId="00B2A57F" w14:textId="77777777" w:rsidR="00B874B0" w:rsidRDefault="00000000">
            <w:pPr>
              <w:spacing w:after="40"/>
            </w:pPr>
            <w:r>
              <w:rPr>
                <w:color w:val="555555"/>
                <w:sz w:val="19"/>
                <w:szCs w:val="19"/>
              </w:rPr>
              <w:t>Processo: REsp 2.080.527-MG   |   Relator: Min. João Otávio de Noronha   |   Data: 06/05/2025</w:t>
            </w:r>
          </w:p>
          <w:p w14:paraId="6083A711" w14:textId="77777777" w:rsidR="00B874B0" w:rsidRDefault="00000000">
            <w:pPr>
              <w:spacing w:after="100"/>
            </w:pPr>
            <w:r>
              <w:rPr>
                <w:i/>
                <w:iCs/>
                <w:color w:val="555555"/>
                <w:sz w:val="19"/>
                <w:szCs w:val="19"/>
              </w:rPr>
              <w:t>Sistemática: Caso isolado (decisão de Turma; sem indicação, no texto-fonte, de julgamento em rito de recurso repetitivo ou repercussão geral) [VERIFICAR eventual afetação a repetitivo no inteiro teor]</w:t>
            </w:r>
          </w:p>
          <w:p w14:paraId="35AD1E47" w14:textId="77777777" w:rsidR="00B874B0" w:rsidRDefault="00000000">
            <w:pPr>
              <w:spacing w:after="100"/>
            </w:pPr>
            <w:r>
              <w:rPr>
                <w:b/>
                <w:bCs/>
              </w:rPr>
              <w:t xml:space="preserve">TESE FIXADA / DECISÃO: </w:t>
            </w:r>
            <w:r>
              <w:t>A curatela provisória, decretada em ação de interdição, restringe a capacidade civil da pessoa, tornando nulo o testamento assinado durante sua vigência. A própria decisão judicial que decreta a curatela provisória já constitui prova suficiente da restrição da capacidade civil do testador no momento em que firmou o ato, dispensando a necessidade de dilação probatória ou de ação anulatória autônoma para contestar a validade do testamento.</w:t>
            </w:r>
          </w:p>
          <w:p w14:paraId="4D6F6CB3" w14:textId="77777777" w:rsidR="00B874B0" w:rsidRDefault="00000000">
            <w:pPr>
              <w:spacing w:after="100"/>
            </w:pPr>
            <w:r>
              <w:rPr>
                <w:b/>
                <w:bCs/>
              </w:rPr>
              <w:t xml:space="preserve">RESUMO DO CASO: </w:t>
            </w:r>
            <w:r>
              <w:t>Uma pessoa estava sob curatela provisória, decretada em ação de interdição em curso, e, durante a vigência dessa medida, lavrou testamento. Discutia-se se seria necessária uma ação anulatória autônoma (com produção de prova pericial retroativa sobre o estado mental do testador à época do ato) para reconhecer a invalidade do testamento, ou se a decisão de curatela provisória, por si só, já seria prova bastante da incapacidade. O STJ decidiu que a decisão que decreta a curatela provisória já demonstra, per se, a restrição da capacidade civil da pessoa naquele período, de modo que o testamento lavrado durante sua vigência é nulo, sem necessidade de dilação probatória ou de ação anulatória própria. [VERIFICAR no inteiro teor eventuais detalhes fáticos adicionais — nomes das partes e contexto sucessório não constavam no resumo-fonte consultado.]</w:t>
            </w:r>
          </w:p>
          <w:p w14:paraId="46A9DFE0" w14:textId="77777777" w:rsidR="00B874B0" w:rsidRDefault="00000000">
            <w:pPr>
              <w:spacing w:after="40"/>
            </w:pPr>
            <w:r>
              <w:rPr>
                <w:b/>
                <w:bCs/>
              </w:rPr>
              <w:t>COMO PODE SER COBRADO EM PROVA:</w:t>
            </w:r>
          </w:p>
          <w:p w14:paraId="7DFE6DD6" w14:textId="77777777" w:rsidR="00B874B0" w:rsidRDefault="00000000">
            <w:pPr>
              <w:pStyle w:val="PargrafodaLista"/>
              <w:numPr>
                <w:ilvl w:val="0"/>
                <w:numId w:val="2"/>
              </w:numPr>
              <w:spacing w:after="40"/>
            </w:pPr>
            <w:r>
              <w:rPr>
                <w:b/>
                <w:bCs/>
                <w:i/>
                <w:iCs/>
              </w:rPr>
              <w:t xml:space="preserve">Objetiva: </w:t>
            </w:r>
            <w:r>
              <w:t>alternativa afirmando corretamente que "a decisão que decreta a curatela provisória já é prova suficiente da incapacidade do testador, dispensando ação anulatória autônoma para invalidar o testamento lavrado em sua vigência" (correta) versus distratora sustentando a necessidade de perícia retroativa ou de ação anulatória própria (incorreta).</w:t>
            </w:r>
          </w:p>
          <w:p w14:paraId="24C8A64D" w14:textId="77777777" w:rsidR="00B874B0" w:rsidRDefault="00000000">
            <w:pPr>
              <w:pStyle w:val="PargrafodaLista"/>
              <w:numPr>
                <w:ilvl w:val="0"/>
                <w:numId w:val="2"/>
              </w:numPr>
              <w:spacing w:after="40"/>
            </w:pPr>
            <w:r>
              <w:rPr>
                <w:b/>
                <w:bCs/>
                <w:i/>
                <w:iCs/>
              </w:rPr>
              <w:t xml:space="preserve">Discursiva/Sentença: </w:t>
            </w:r>
            <w:r>
              <w:t>caso prático envolvendo sucessão em que um herdeiro impugna testamento lavrado por pessoa que já estava sob curatela provisória, exigindo do candidato articular capacidade civil (arts. 1.767 e 1.772, CC), capacidade testamentária ativa (art. 1.860, CC) e os efeitos probatórios da decisão de curatela provisória sobre atos praticados durante sua vigência.</w:t>
            </w:r>
          </w:p>
          <w:p w14:paraId="40A09FAE" w14:textId="77777777" w:rsidR="00B874B0" w:rsidRDefault="00000000">
            <w:pPr>
              <w:pStyle w:val="PargrafodaLista"/>
              <w:numPr>
                <w:ilvl w:val="0"/>
                <w:numId w:val="2"/>
              </w:numPr>
              <w:spacing w:after="100"/>
            </w:pPr>
            <w:r>
              <w:rPr>
                <w:b/>
                <w:bCs/>
                <w:i/>
                <w:iCs/>
              </w:rPr>
              <w:t xml:space="preserve">Oral: </w:t>
            </w:r>
            <w:r>
              <w:t>"Qual a diferença entre os efeitos da curatela provisória sobre atos praticados durante sua vigência e os efeitos da sentença de interdição sobre atos anteriores à sua prolação? A decisão de curatela provisória basta, por si só, para comprovar a incapacidade do agente enquanto vigente?"</w:t>
            </w:r>
          </w:p>
          <w:p w14:paraId="6D1AA987" w14:textId="77777777" w:rsidR="00B874B0" w:rsidRDefault="00000000">
            <w:r>
              <w:rPr>
                <w:b/>
                <w:bCs/>
                <w:color w:val="A9762F"/>
              </w:rPr>
              <w:t xml:space="preserve">CONEXÕES: </w:t>
            </w:r>
            <w:r>
              <w:rPr>
                <w:i/>
                <w:iCs/>
              </w:rPr>
              <w:t>arts. 1.767, 1.772 e 1.860 do CC; arts. 749, 750 e 758 do CPC/2015 (procedimento de interdição e curatela provisória); Lei 13.146/2015 (Estatuto da Pessoa com Deficiência) — natureza excepcional e patrimonial da curatela; tema clássico dos "efeitos da sentença de interdição sobre atos praticados antes da sentença" (presunção relativa/absoluta de incapacidade) — aqui a situação é distinta e mais forte, pois já havia decisão judicial de curatela provisória vigente no momento do ato.</w:t>
            </w:r>
          </w:p>
        </w:tc>
      </w:tr>
    </w:tbl>
    <w:p w14:paraId="548763AB" w14:textId="77777777" w:rsidR="00B874B0" w:rsidRDefault="00B874B0">
      <w:pPr>
        <w:spacing w:after="160"/>
      </w:pPr>
    </w:p>
    <w:p w14:paraId="69077215" w14:textId="77777777" w:rsidR="00B874B0" w:rsidRDefault="00000000">
      <w:pPr>
        <w:pStyle w:val="Ttulo1"/>
        <w:pageBreakBefore/>
        <w:spacing w:after="200"/>
      </w:pPr>
      <w:bookmarkStart w:id="107" w:name="_Toc236570161"/>
      <w:r>
        <w:lastRenderedPageBreak/>
        <w:t>TOP 10 IMPERDÍVEIS DESTA MATÉRIA</w:t>
      </w:r>
      <w:bookmarkEnd w:id="107"/>
    </w:p>
    <w:p w14:paraId="5DB07D19" w14:textId="77777777" w:rsidR="00B874B0" w:rsidRDefault="00000000">
      <w:pPr>
        <w:spacing w:after="240"/>
      </w:pPr>
      <w:r>
        <w:rPr>
          <w:i/>
          <w:iCs/>
          <w:color w:val="555555"/>
        </w:rPr>
        <w:t>Seleção dos julgados com maior probabilidade de cobrança em prova de Magistratura (FGV), considerando sistemática vinculante (repercussão geral, repetitivo, controle concentrado, súmula), centralidade do tema e atualidade.</w:t>
      </w:r>
    </w:p>
    <w:p w14:paraId="56BC1062" w14:textId="77777777" w:rsidR="00B874B0" w:rsidRDefault="00000000">
      <w:pPr>
        <w:spacing w:before="160" w:after="60"/>
      </w:pPr>
      <w:r>
        <w:rPr>
          <w:b/>
          <w:bCs/>
          <w:color w:val="7A1F2B"/>
        </w:rPr>
        <w:t>1. Separação obrigatória de bens para maiores de 70 anos pode ser afastada por escritura pública</w:t>
      </w:r>
    </w:p>
    <w:p w14:paraId="07CD5373" w14:textId="77777777" w:rsidR="00B874B0" w:rsidRDefault="00000000">
      <w:pPr>
        <w:spacing w:after="80"/>
        <w:ind w:left="300"/>
      </w:pPr>
      <w:r>
        <w:t>STF, Plenário, ARE 1.309.642/SP — Tema 1236 de Repercussão Geral. Reescreve um dos temas mais clássicos e mais cobrados da matéria (art. 1.641, II, CC); combina-se diretamente com a Súmula 377-STF e a Súmula 655-STJ.</w:t>
      </w:r>
    </w:p>
    <w:p w14:paraId="6B072011" w14:textId="77777777" w:rsidR="00B874B0" w:rsidRDefault="00000000">
      <w:pPr>
        <w:spacing w:before="160" w:after="60"/>
      </w:pPr>
      <w:r>
        <w:rPr>
          <w:b/>
          <w:bCs/>
          <w:color w:val="7A1F2B"/>
        </w:rPr>
        <w:t>2. Fim da separação judicial como figura autônoma após a EC 66/2010</w:t>
      </w:r>
    </w:p>
    <w:p w14:paraId="0B661C59" w14:textId="77777777" w:rsidR="00B874B0" w:rsidRDefault="00000000">
      <w:pPr>
        <w:spacing w:after="80"/>
        <w:ind w:left="300"/>
      </w:pPr>
      <w:r>
        <w:t>STF, Plenário, RE 1.167.478/RJ — Tema 1053 de Repercussão Geral. Tese vinculante sobre um dos institutos mais cobrados em provas de sentença cível de família.</w:t>
      </w:r>
    </w:p>
    <w:p w14:paraId="675A32A9" w14:textId="77777777" w:rsidR="00B874B0" w:rsidRDefault="00000000">
      <w:pPr>
        <w:spacing w:before="160" w:after="60"/>
      </w:pPr>
      <w:r>
        <w:rPr>
          <w:b/>
          <w:bCs/>
          <w:color w:val="7A1F2B"/>
        </w:rPr>
        <w:t>3. Súmula 655-STJ — separação obrigatória de bens na união estável de septuagenário</w:t>
      </w:r>
    </w:p>
    <w:p w14:paraId="0A565D4E" w14:textId="77777777" w:rsidR="00B874B0" w:rsidRDefault="00000000">
      <w:pPr>
        <w:spacing w:after="80"/>
        <w:ind w:left="300"/>
      </w:pPr>
      <w:r>
        <w:t>Enunciado sumular de aplicação direta; altíssima chance de cobrança literal em prova objetiva, cruzando união estável com regime de bens.</w:t>
      </w:r>
    </w:p>
    <w:p w14:paraId="2E463FFF" w14:textId="77777777" w:rsidR="00B874B0" w:rsidRDefault="00000000">
      <w:pPr>
        <w:spacing w:before="160" w:after="60"/>
      </w:pPr>
      <w:r>
        <w:rPr>
          <w:b/>
          <w:bCs/>
          <w:color w:val="7A1F2B"/>
        </w:rPr>
        <w:t>4. Penhorabilidade do bem de família do fiador em locação residencial e comercial</w:t>
      </w:r>
    </w:p>
    <w:p w14:paraId="5811D820" w14:textId="77777777" w:rsidR="00B874B0" w:rsidRDefault="00000000">
      <w:pPr>
        <w:spacing w:after="80"/>
        <w:ind w:left="300"/>
      </w:pPr>
      <w:r>
        <w:t>STF (RE 1.307.334/SP — Tema 1127 RG) e STJ (REsp 1.822.040-PR — Tema 1091 repetitivo). Dupla consolidação (RG + repetitivo) do tema mais cobrado de bem de família em concursos.</w:t>
      </w:r>
    </w:p>
    <w:p w14:paraId="3F9D3032" w14:textId="77777777" w:rsidR="00B874B0" w:rsidRDefault="00000000">
      <w:pPr>
        <w:spacing w:before="160" w:after="60"/>
      </w:pPr>
      <w:r>
        <w:rPr>
          <w:b/>
          <w:bCs/>
          <w:color w:val="7A1F2B"/>
        </w:rPr>
        <w:t>5. Ônus da prova na penhora de bem de família hipotecado por sócio de pessoa jurídica</w:t>
      </w:r>
    </w:p>
    <w:p w14:paraId="0C4ECF93" w14:textId="77777777" w:rsidR="00B874B0" w:rsidRDefault="00000000">
      <w:pPr>
        <w:spacing w:after="80"/>
        <w:ind w:left="300"/>
      </w:pPr>
      <w:r>
        <w:t>STJ, 2ª Seção, REsp 2.093.929-MG / REsp 2.105.326-SP — Tema 1261 (repetitivo, 2025). Tema muito recente e de aplicação prática intensa em varas cíveis e de família.</w:t>
      </w:r>
    </w:p>
    <w:p w14:paraId="467DF2F9" w14:textId="77777777" w:rsidR="00B874B0" w:rsidRDefault="00000000">
      <w:pPr>
        <w:spacing w:before="160" w:after="60"/>
      </w:pPr>
      <w:r>
        <w:rPr>
          <w:b/>
          <w:bCs/>
          <w:color w:val="7A1F2B"/>
        </w:rPr>
        <w:t>6. Multiparentalidade — equivalência de efeitos entre paternidade biológica e socioafetiva</w:t>
      </w:r>
    </w:p>
    <w:p w14:paraId="68DF199D" w14:textId="77777777" w:rsidR="00B874B0" w:rsidRDefault="00000000">
      <w:pPr>
        <w:spacing w:after="80"/>
        <w:ind w:left="300"/>
      </w:pPr>
      <w:r>
        <w:t>Reafirma o Tema 622 de Repercussão Geral do STF (RE 898.060/SC) em julgado do STJ (REsp 1.487.596-MG); tema estrutural e recorrente de Direito de Família, com reflexos sucessórios.</w:t>
      </w:r>
    </w:p>
    <w:p w14:paraId="51E69019" w14:textId="77777777" w:rsidR="00B874B0" w:rsidRDefault="00000000">
      <w:pPr>
        <w:spacing w:before="160" w:after="60"/>
      </w:pPr>
      <w:r>
        <w:rPr>
          <w:b/>
          <w:bCs/>
          <w:color w:val="7A1F2B"/>
        </w:rPr>
        <w:t>7. Dispensa de advogado na audiência inicial da ação de alimentos é constitucional</w:t>
      </w:r>
    </w:p>
    <w:p w14:paraId="1532F6C9" w14:textId="77777777" w:rsidR="00B874B0" w:rsidRDefault="00000000">
      <w:pPr>
        <w:spacing w:after="80"/>
        <w:ind w:left="300"/>
      </w:pPr>
      <w:r>
        <w:t>STF, Plenário, ADPF 591/DF — controle concentrado. Cruza processo civil e alimentos; alta probabilidade de cobrança por envolver exceção à indispensabilidade do advogado (art. 133, CF).</w:t>
      </w:r>
    </w:p>
    <w:p w14:paraId="5F323F7B" w14:textId="77777777" w:rsidR="00B874B0" w:rsidRDefault="00000000">
      <w:pPr>
        <w:spacing w:before="160" w:after="60"/>
      </w:pPr>
      <w:r>
        <w:rPr>
          <w:b/>
          <w:bCs/>
          <w:color w:val="7A1F2B"/>
        </w:rPr>
        <w:t>8. Nulidade da partilha de bens do casamento feita por instrumento particular</w:t>
      </w:r>
    </w:p>
    <w:p w14:paraId="25BA2FF2" w14:textId="77777777" w:rsidR="00B874B0" w:rsidRDefault="00000000">
      <w:pPr>
        <w:spacing w:after="80"/>
        <w:ind w:left="300"/>
      </w:pPr>
      <w:r>
        <w:t>STJ, 3ª Turma, REsp 2.206.085-RJ. Tema estrutural sobre a forma correta de partilha extrajudicial (escritura pública x instrumento particular), com altíssimo potencial para sentença e questão objetiva.</w:t>
      </w:r>
    </w:p>
    <w:p w14:paraId="72CE1DB8" w14:textId="77777777" w:rsidR="00B874B0" w:rsidRDefault="00000000">
      <w:pPr>
        <w:spacing w:before="160" w:after="60"/>
      </w:pPr>
      <w:r>
        <w:rPr>
          <w:b/>
          <w:bCs/>
          <w:color w:val="7A1F2B"/>
        </w:rPr>
        <w:t>9. (In)transmissibilidade dos alimentos vencidos aos herdeiros — divergência interna no STJ</w:t>
      </w:r>
    </w:p>
    <w:p w14:paraId="68570EA2" w14:textId="77777777" w:rsidR="00B874B0" w:rsidRDefault="00000000">
      <w:pPr>
        <w:spacing w:after="80"/>
        <w:ind w:left="300"/>
      </w:pPr>
      <w:r>
        <w:t>REsp 2.010.219-MG (Info 870) x AgInt nos EDcl no AREsp 2.412.253-RS (Info 830), ambos da 4ª Turma, em sentidos opostos. Material de altíssimo valor para "pegadinha" de prova objetiva.</w:t>
      </w:r>
    </w:p>
    <w:p w14:paraId="6ED9412E" w14:textId="77777777" w:rsidR="00B874B0" w:rsidRDefault="00000000">
      <w:pPr>
        <w:spacing w:before="160" w:after="60"/>
      </w:pPr>
      <w:r>
        <w:rPr>
          <w:b/>
          <w:bCs/>
          <w:color w:val="7A1F2B"/>
        </w:rPr>
        <w:t>10. Relativização do requisito da publicidade no reconhecimento de união estável homoafetiva</w:t>
      </w:r>
    </w:p>
    <w:p w14:paraId="1FA663DF" w14:textId="77777777" w:rsidR="00B874B0" w:rsidRDefault="00000000">
      <w:pPr>
        <w:spacing w:after="80"/>
        <w:ind w:left="300"/>
      </w:pPr>
      <w:r>
        <w:t>STJ, 3ª Turma, REsp 2.203.770-GO. Tema recente, sensível e vocacionado a cair em prova discursiva/sentença, por envolver ponderação de direitos fundamentais.</w:t>
      </w:r>
    </w:p>
    <w:sectPr w:rsidR="00B874B0">
      <w:headerReference w:type="default" r:id="rId7"/>
      <w:footerReference w:type="default" r:id="rId8"/>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77D07C" w14:textId="77777777" w:rsidR="004B45CE" w:rsidRDefault="004B45CE">
      <w:r>
        <w:separator/>
      </w:r>
    </w:p>
  </w:endnote>
  <w:endnote w:type="continuationSeparator" w:id="0">
    <w:p w14:paraId="71922288" w14:textId="77777777" w:rsidR="004B45CE" w:rsidRDefault="004B45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BCC5CE" w14:textId="77777777" w:rsidR="00B874B0" w:rsidRDefault="00000000">
    <w:pPr>
      <w:jc w:val="center"/>
    </w:pPr>
    <w:r>
      <w:rPr>
        <w:color w:val="555555"/>
        <w:sz w:val="16"/>
        <w:szCs w:val="16"/>
      </w:rPr>
      <w:t xml:space="preserve">Página </w:t>
    </w:r>
    <w:r>
      <w:rPr>
        <w:color w:val="555555"/>
        <w:sz w:val="16"/>
        <w:szCs w:val="16"/>
      </w:rPr>
      <w:fldChar w:fldCharType="begin"/>
    </w:r>
    <w:r>
      <w:rPr>
        <w:color w:val="555555"/>
        <w:sz w:val="16"/>
        <w:szCs w:val="16"/>
      </w:rPr>
      <w:instrText>PAGE</w:instrText>
    </w:r>
    <w:r>
      <w:rPr>
        <w:color w:val="555555"/>
        <w:sz w:val="16"/>
        <w:szCs w:val="16"/>
      </w:rPr>
      <w:fldChar w:fldCharType="separate"/>
    </w:r>
    <w:r w:rsidR="00B21702">
      <w:rPr>
        <w:noProof/>
        <w:color w:val="555555"/>
        <w:sz w:val="16"/>
        <w:szCs w:val="16"/>
      </w:rPr>
      <w:t>1</w:t>
    </w:r>
    <w:r>
      <w:rPr>
        <w:color w:val="55555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937993" w14:textId="77777777" w:rsidR="004B45CE" w:rsidRDefault="004B45CE">
      <w:r>
        <w:separator/>
      </w:r>
    </w:p>
  </w:footnote>
  <w:footnote w:type="continuationSeparator" w:id="0">
    <w:p w14:paraId="370DDF50" w14:textId="77777777" w:rsidR="004B45CE" w:rsidRDefault="004B45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78DF4D" w14:textId="77777777" w:rsidR="00B874B0" w:rsidRDefault="00000000">
    <w:pPr>
      <w:jc w:val="right"/>
    </w:pPr>
    <w:r>
      <w:rPr>
        <w:color w:val="555555"/>
        <w:sz w:val="15"/>
        <w:szCs w:val="15"/>
      </w:rPr>
      <w:t>Curadoria de Jurisprudência — Direito de Família (FGV) · Curadoria: 12/07/2026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BF63E3"/>
    <w:multiLevelType w:val="hybridMultilevel"/>
    <w:tmpl w:val="897E1A6A"/>
    <w:lvl w:ilvl="0" w:tplc="C038CCE0">
      <w:start w:val="1"/>
      <w:numFmt w:val="bullet"/>
      <w:lvlText w:val="●"/>
      <w:lvlJc w:val="left"/>
      <w:pPr>
        <w:ind w:left="720" w:hanging="360"/>
      </w:pPr>
    </w:lvl>
    <w:lvl w:ilvl="1" w:tplc="60D072C2">
      <w:start w:val="1"/>
      <w:numFmt w:val="bullet"/>
      <w:lvlText w:val="○"/>
      <w:lvlJc w:val="left"/>
      <w:pPr>
        <w:ind w:left="1440" w:hanging="360"/>
      </w:pPr>
    </w:lvl>
    <w:lvl w:ilvl="2" w:tplc="D83607D2">
      <w:start w:val="1"/>
      <w:numFmt w:val="bullet"/>
      <w:lvlText w:val="■"/>
      <w:lvlJc w:val="left"/>
      <w:pPr>
        <w:ind w:left="2160" w:hanging="360"/>
      </w:pPr>
    </w:lvl>
    <w:lvl w:ilvl="3" w:tplc="7D000E04">
      <w:start w:val="1"/>
      <w:numFmt w:val="bullet"/>
      <w:lvlText w:val="●"/>
      <w:lvlJc w:val="left"/>
      <w:pPr>
        <w:ind w:left="2880" w:hanging="360"/>
      </w:pPr>
    </w:lvl>
    <w:lvl w:ilvl="4" w:tplc="27181172">
      <w:start w:val="1"/>
      <w:numFmt w:val="bullet"/>
      <w:lvlText w:val="○"/>
      <w:lvlJc w:val="left"/>
      <w:pPr>
        <w:ind w:left="3600" w:hanging="360"/>
      </w:pPr>
    </w:lvl>
    <w:lvl w:ilvl="5" w:tplc="C1E63824">
      <w:start w:val="1"/>
      <w:numFmt w:val="bullet"/>
      <w:lvlText w:val="■"/>
      <w:lvlJc w:val="left"/>
      <w:pPr>
        <w:ind w:left="4320" w:hanging="360"/>
      </w:pPr>
    </w:lvl>
    <w:lvl w:ilvl="6" w:tplc="36606724">
      <w:start w:val="1"/>
      <w:numFmt w:val="bullet"/>
      <w:lvlText w:val="●"/>
      <w:lvlJc w:val="left"/>
      <w:pPr>
        <w:ind w:left="5040" w:hanging="360"/>
      </w:pPr>
    </w:lvl>
    <w:lvl w:ilvl="7" w:tplc="5268BD26">
      <w:start w:val="1"/>
      <w:numFmt w:val="bullet"/>
      <w:lvlText w:val="●"/>
      <w:lvlJc w:val="left"/>
      <w:pPr>
        <w:ind w:left="5760" w:hanging="360"/>
      </w:pPr>
    </w:lvl>
    <w:lvl w:ilvl="8" w:tplc="12CC9C1E">
      <w:start w:val="1"/>
      <w:numFmt w:val="bullet"/>
      <w:lvlText w:val="●"/>
      <w:lvlJc w:val="left"/>
      <w:pPr>
        <w:ind w:left="6480" w:hanging="360"/>
      </w:pPr>
    </w:lvl>
  </w:abstractNum>
  <w:abstractNum w:abstractNumId="1" w15:restartNumberingAfterBreak="0">
    <w:nsid w:val="78C27C3C"/>
    <w:multiLevelType w:val="hybridMultilevel"/>
    <w:tmpl w:val="C6E616EE"/>
    <w:lvl w:ilvl="0" w:tplc="07EC2E5C">
      <w:start w:val="1"/>
      <w:numFmt w:val="bullet"/>
      <w:lvlText w:val="•"/>
      <w:lvlJc w:val="left"/>
      <w:pPr>
        <w:ind w:left="504" w:hanging="288"/>
      </w:pPr>
    </w:lvl>
    <w:lvl w:ilvl="1" w:tplc="D988B93A">
      <w:numFmt w:val="decimal"/>
      <w:lvlText w:val=""/>
      <w:lvlJc w:val="left"/>
    </w:lvl>
    <w:lvl w:ilvl="2" w:tplc="745C6522">
      <w:numFmt w:val="decimal"/>
      <w:lvlText w:val=""/>
      <w:lvlJc w:val="left"/>
    </w:lvl>
    <w:lvl w:ilvl="3" w:tplc="53FAF4BC">
      <w:numFmt w:val="decimal"/>
      <w:lvlText w:val=""/>
      <w:lvlJc w:val="left"/>
    </w:lvl>
    <w:lvl w:ilvl="4" w:tplc="595A5004">
      <w:numFmt w:val="decimal"/>
      <w:lvlText w:val=""/>
      <w:lvlJc w:val="left"/>
    </w:lvl>
    <w:lvl w:ilvl="5" w:tplc="2250DAAC">
      <w:numFmt w:val="decimal"/>
      <w:lvlText w:val=""/>
      <w:lvlJc w:val="left"/>
    </w:lvl>
    <w:lvl w:ilvl="6" w:tplc="70E225C6">
      <w:numFmt w:val="decimal"/>
      <w:lvlText w:val=""/>
      <w:lvlJc w:val="left"/>
    </w:lvl>
    <w:lvl w:ilvl="7" w:tplc="9F7CFC6A">
      <w:numFmt w:val="decimal"/>
      <w:lvlText w:val=""/>
      <w:lvlJc w:val="left"/>
    </w:lvl>
    <w:lvl w:ilvl="8" w:tplc="2482DB66">
      <w:numFmt w:val="decimal"/>
      <w:lvlText w:val=""/>
      <w:lvlJc w:val="left"/>
    </w:lvl>
  </w:abstractNum>
  <w:num w:numId="1" w16cid:durableId="972101711">
    <w:abstractNumId w:val="0"/>
    <w:lvlOverride w:ilvl="0">
      <w:startOverride w:val="1"/>
    </w:lvlOverride>
  </w:num>
  <w:num w:numId="2" w16cid:durableId="213124377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74B0"/>
    <w:rsid w:val="004B45CE"/>
    <w:rsid w:val="00B21702"/>
    <w:rsid w:val="00B874B0"/>
    <w:rsid w:val="00D5552E"/>
    <w:rsid w:val="00F0299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61DDB6"/>
  <w15:docId w15:val="{74C1114B-C846-4BDF-8FE5-114D3D2412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1"/>
        <w:szCs w:val="21"/>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200" w:after="160"/>
      <w:outlineLvl w:val="0"/>
    </w:pPr>
    <w:rPr>
      <w:b/>
      <w:bCs/>
      <w:color w:val="7A1F2B"/>
      <w:sz w:val="30"/>
      <w:szCs w:val="30"/>
    </w:rPr>
  </w:style>
  <w:style w:type="paragraph" w:styleId="Ttulo2">
    <w:name w:val="heading 2"/>
    <w:uiPriority w:val="9"/>
    <w:unhideWhenUsed/>
    <w:qFormat/>
    <w:pPr>
      <w:spacing w:before="200" w:after="120"/>
      <w:outlineLvl w:val="1"/>
    </w:pPr>
    <w:rPr>
      <w:b/>
      <w:bCs/>
      <w:color w:val="A9762F"/>
      <w:sz w:val="25"/>
      <w:szCs w:val="25"/>
    </w:rPr>
  </w:style>
  <w:style w:type="paragraph" w:styleId="Ttulo3">
    <w:name w:val="heading 3"/>
    <w:uiPriority w:val="9"/>
    <w:unhideWhenUsed/>
    <w:qFormat/>
    <w:pPr>
      <w:spacing w:before="60" w:after="60"/>
      <w:outlineLvl w:val="2"/>
    </w:pPr>
    <w:rPr>
      <w:b/>
      <w:bCs/>
      <w:color w:val="7A1F2B"/>
      <w:sz w:val="22"/>
      <w:szCs w:val="22"/>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iperligao">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arter"/>
    <w:uiPriority w:val="99"/>
    <w:semiHidden/>
    <w:unhideWhenUsed/>
    <w:rPr>
      <w:sz w:val="20"/>
      <w:szCs w:val="20"/>
    </w:rPr>
  </w:style>
  <w:style w:type="character" w:customStyle="1" w:styleId="TextodenotaderodapCarter">
    <w:name w:val="Texto de nota de rodapé Caráte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arter"/>
    <w:uiPriority w:val="99"/>
    <w:semiHidden/>
    <w:unhideWhenUsed/>
    <w:rPr>
      <w:sz w:val="20"/>
      <w:szCs w:val="20"/>
    </w:rPr>
  </w:style>
  <w:style w:type="character" w:customStyle="1" w:styleId="TextodenotadefimCarter">
    <w:name w:val="Texto de nota de fim Caráter"/>
    <w:link w:val="Textodenotadefim"/>
    <w:uiPriority w:val="99"/>
    <w:semiHidden/>
    <w:unhideWhenUsed/>
    <w:rPr>
      <w:sz w:val="20"/>
      <w:szCs w:val="20"/>
    </w:rPr>
  </w:style>
  <w:style w:type="paragraph" w:styleId="ndice1">
    <w:name w:val="toc 1"/>
    <w:basedOn w:val="Normal"/>
    <w:next w:val="Normal"/>
    <w:autoRedefine/>
    <w:uiPriority w:val="39"/>
    <w:unhideWhenUsed/>
    <w:rsid w:val="00B21702"/>
    <w:pPr>
      <w:spacing w:after="100"/>
    </w:pPr>
  </w:style>
  <w:style w:type="paragraph" w:styleId="ndice2">
    <w:name w:val="toc 2"/>
    <w:basedOn w:val="Normal"/>
    <w:next w:val="Normal"/>
    <w:autoRedefine/>
    <w:uiPriority w:val="39"/>
    <w:unhideWhenUsed/>
    <w:rsid w:val="00B21702"/>
    <w:pPr>
      <w:spacing w:after="100"/>
      <w:ind w:left="210"/>
    </w:pPr>
  </w:style>
  <w:style w:type="paragraph" w:styleId="ndice3">
    <w:name w:val="toc 3"/>
    <w:basedOn w:val="Normal"/>
    <w:next w:val="Normal"/>
    <w:autoRedefine/>
    <w:uiPriority w:val="39"/>
    <w:unhideWhenUsed/>
    <w:rsid w:val="00B21702"/>
    <w:pPr>
      <w:spacing w:after="100"/>
      <w:ind w:left="420"/>
    </w:pPr>
  </w:style>
  <w:style w:type="paragraph" w:styleId="ndice4">
    <w:name w:val="toc 4"/>
    <w:basedOn w:val="Normal"/>
    <w:next w:val="Normal"/>
    <w:autoRedefine/>
    <w:uiPriority w:val="39"/>
    <w:unhideWhenUsed/>
    <w:rsid w:val="00B21702"/>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ndice5">
    <w:name w:val="toc 5"/>
    <w:basedOn w:val="Normal"/>
    <w:next w:val="Normal"/>
    <w:autoRedefine/>
    <w:uiPriority w:val="39"/>
    <w:unhideWhenUsed/>
    <w:rsid w:val="00B21702"/>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ndice6">
    <w:name w:val="toc 6"/>
    <w:basedOn w:val="Normal"/>
    <w:next w:val="Normal"/>
    <w:autoRedefine/>
    <w:uiPriority w:val="39"/>
    <w:unhideWhenUsed/>
    <w:rsid w:val="00B21702"/>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ndice7">
    <w:name w:val="toc 7"/>
    <w:basedOn w:val="Normal"/>
    <w:next w:val="Normal"/>
    <w:autoRedefine/>
    <w:uiPriority w:val="39"/>
    <w:unhideWhenUsed/>
    <w:rsid w:val="00B21702"/>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ndice8">
    <w:name w:val="toc 8"/>
    <w:basedOn w:val="Normal"/>
    <w:next w:val="Normal"/>
    <w:autoRedefine/>
    <w:uiPriority w:val="39"/>
    <w:unhideWhenUsed/>
    <w:rsid w:val="00B21702"/>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ndice9">
    <w:name w:val="toc 9"/>
    <w:basedOn w:val="Normal"/>
    <w:next w:val="Normal"/>
    <w:autoRedefine/>
    <w:uiPriority w:val="39"/>
    <w:unhideWhenUsed/>
    <w:rsid w:val="00B21702"/>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MenoNoResolvida">
    <w:name w:val="Unresolved Mention"/>
    <w:basedOn w:val="Tipodeletrapredefinidodopargrafo"/>
    <w:uiPriority w:val="99"/>
    <w:semiHidden/>
    <w:unhideWhenUsed/>
    <w:rsid w:val="00B2170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607</TotalTime>
  <Pages>1</Pages>
  <Words>23230</Words>
  <Characters>125448</Characters>
  <Application>Microsoft Office Word</Application>
  <DocSecurity>0</DocSecurity>
  <Lines>1045</Lines>
  <Paragraphs>296</Paragraphs>
  <ScaleCrop>false</ScaleCrop>
  <HeadingPairs>
    <vt:vector size="2" baseType="variant">
      <vt:variant>
        <vt:lpstr>Título</vt:lpstr>
      </vt:variant>
      <vt:variant>
        <vt:i4>1</vt:i4>
      </vt:variant>
    </vt:vector>
  </HeadingPairs>
  <TitlesOfParts>
    <vt:vector size="1" baseType="lpstr">
      <vt:lpstr>Direito Civil - Direito de Família - Julgados Curados</vt:lpstr>
    </vt:vector>
  </TitlesOfParts>
  <Company/>
  <LinksUpToDate>false</LinksUpToDate>
  <CharactersWithSpaces>148382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Direito Civil - Direito de Família - Julgados Curados</dc:title>
  <dc:creator>Curadoria de Jurisprudência — Cowork</dc:creator>
  <cp:lastModifiedBy>Felipe Cordeiro</cp:lastModifiedBy>
  <cp:revision>3</cp:revision>
  <cp:lastPrinted>2026-08-02T16:34:00Z</cp:lastPrinted>
  <dcterms:created xsi:type="dcterms:W3CDTF">2026-07-12T18:19:00Z</dcterms:created>
  <dcterms:modified xsi:type="dcterms:W3CDTF">2026-08-03T03:09:00Z</dcterms:modified>
</cp:coreProperties>
</file>