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jc w:val="center"/>
      </w:pPr>
      <w:r>
        <w:rPr>
          <w:b/>
          <w:bCs/>
          <w:color w:val="8B1A1A"/>
          <w:sz w:val="40"/>
          <w:szCs w:val="40"/>
        </w:rPr>
        <w:t xml:space="preserve">CURADORIA DE JURISPRUDÊNCIA</w:t>
      </w:r>
    </w:p>
    <w:p>
      <w:pPr>
        <w:spacing w:after="100"/>
        <w:jc w:val="center"/>
      </w:pPr>
      <w:r>
        <w:rPr>
          <w:b/>
          <w:bCs/>
          <w:color w:val="333333"/>
          <w:sz w:val="30"/>
          <w:szCs w:val="30"/>
        </w:rPr>
        <w:t xml:space="preserve">PARA CONCURSOS DE MAGISTRATURA ESTADUAL (FGV)</w:t>
      </w:r>
    </w:p>
    <w:p>
      <w:pPr>
        <w:spacing w:after="60" w:before="300"/>
        <w:jc w:val="center"/>
      </w:pPr>
      <w:r>
        <w:rPr>
          <w:b/>
          <w:bCs/>
          <w:sz w:val="34"/>
          <w:szCs w:val="34"/>
        </w:rPr>
        <w:t xml:space="preserve">DIREITO PROCESSUAL PENAL</w:t>
      </w:r>
    </w:p>
    <w:p>
      <w:pPr>
        <w:spacing w:after="400"/>
        <w:jc w:val="center"/>
      </w:pPr>
      <w:r>
        <w:rPr>
          <w:b/>
          <w:bCs/>
          <w:color w:val="9C7A2E"/>
          <w:sz w:val="44"/>
          <w:szCs w:val="44"/>
        </w:rPr>
        <w:t xml:space="preserve">PROVAS</w:t>
      </w:r>
    </w:p>
    <w:p>
      <w:pPr>
        <w:spacing w:after="40"/>
        <w:jc w:val="center"/>
      </w:pPr>
      <w:r>
        <w:rPr>
          <w:i/>
          <w:iCs/>
          <w:sz w:val="22"/>
          <w:szCs w:val="22"/>
        </w:rPr>
        <w:t xml:space="preserve">Janela de curadoria: junho/2021 a junho/2026</w:t>
      </w:r>
    </w:p>
    <w:p>
      <w:pPr>
        <w:spacing w:after="40"/>
        <w:jc w:val="center"/>
      </w:pPr>
      <w:r>
        <w:rPr>
          <w:i/>
          <w:iCs/>
          <w:sz w:val="22"/>
          <w:szCs w:val="22"/>
        </w:rPr>
        <w:t xml:space="preserve">Data da curadoria: 11/07/2026</w:t>
      </w:r>
    </w:p>
    <w:p>
      <w:pPr>
        <w:spacing w:after="40"/>
        <w:jc w:val="center"/>
      </w:pPr>
      <w:r>
        <w:rPr>
          <w:sz w:val="20"/>
          <w:szCs w:val="20"/>
        </w:rPr>
        <w:t xml:space="preserve">Fontes: Buscador Dizer o Direito · Jurisprudência em Teses · Cadernos de questões FGV (TEC Concursos)</w:t>
      </w:r>
    </w:p>
    <w:p>
      <w:r>
        <w:br w:type="page"/>
      </w:r>
    </w:p>
    <w:p>
      <w:pPr>
        <w:pStyle w:val="Heading1"/>
        <w:spacing w:after="160" w:before="320"/>
      </w:pPr>
      <w:r>
        <w:t xml:space="preserve">Nota metodológica</w:t>
      </w:r>
    </w:p>
    <w:p>
      <w:pPr>
        <w:spacing w:after="100"/>
      </w:pPr>
      <w:r>
        <w:rPr>
          <w:sz w:val="20"/>
          <w:szCs w:val="20"/>
        </w:rPr>
        <w:t xml:space="preserve">Este material foi elaborado a partir de curadoria qualificada da jurisprudência do STF e do STJ sobre Provas no Processo Penal, publicada nos últimos cinco anos (jun/2021 a jun/2026), com o objetivo de apoiar a preparação para concursos de Magistratura Estadual pela banca FGV.</w:t>
      </w:r>
    </w:p>
    <w:p>
      <w:pPr>
        <w:spacing w:after="100"/>
      </w:pPr>
      <w:r>
        <w:rPr>
          <w:sz w:val="20"/>
          <w:szCs w:val="20"/>
        </w:rPr>
        <w:t xml:space="preserve">Foram priorizados julgados que atendem a pelo menos um dos seguintes critérios: (a) teses já cobradas em questões objetivas, discursivas ou sentenças da FGV; (b) julgados de repercussão geral, recursos repetitivos ou controle concentrado; (c) teses recentes que se assemelham a outras já cobradas; (d) teses recentes vocacionadas a serem cobradas.</w:t>
      </w:r>
    </w:p>
    <w:p>
      <w:pPr>
        <w:spacing w:after="100"/>
      </w:pPr>
      <w:r>
        <w:rPr>
          <w:sz w:val="20"/>
          <w:szCs w:val="20"/>
        </w:rPr>
        <w:t xml:space="preserve">Foram descartados julgados meramente processuais sem impacto material, decisões monocráticas sem confirmação colegiada e temas de baixa densidade para a prova de Magistratura.</w:t>
      </w:r>
    </w:p>
    <w:p>
      <w:pPr>
        <w:spacing w:after="100"/>
      </w:pPr>
      <w:r>
        <w:rPr>
          <w:sz w:val="20"/>
          <w:szCs w:val="20"/>
        </w:rPr>
        <w:t xml:space="preserve">Itens marcados com [VERIFICAR] indicam que o dado específico não pôde ser confirmado com absoluta certeza nas fontes consultadas; a tese em si, porém, está documentada nos cadernos de questões FGV fornecidos ou no material de estudo (Dizer o Direito) analisado.</w:t>
      </w:r>
    </w:p>
    <w:p>
      <w:r>
        <w:br w:type="page"/>
      </w:r>
    </w:p>
    <w:p>
      <w:pPr>
        <w:pStyle w:val="Heading1"/>
        <w:spacing w:after="160" w:before="320"/>
      </w:pPr>
      <w:r>
        <w:t xml:space="preserve">Sumário</w:t>
      </w:r>
    </w:p>
    <w:p>
      <w:pPr>
        <w:spacing w:after="100"/>
      </w:pPr>
      <w:r>
        <w:rPr>
          <w:sz w:val="20"/>
          <w:szCs w:val="20"/>
        </w:rPr>
        <w:t xml:space="preserve">Clique (Ctrl+clique) em qualquer item para navegar diretamente à seção correspondente.</w:t>
      </w:r>
    </w:p>
    <w:p>
      <w:pPr>
        <w:spacing w:after="90"/>
      </w:pPr>
      <w:hyperlink w:history="1" w:anchor="subtema_1">
        <w:r>
          <w:rPr>
            <w:b/>
            <w:bCs/>
            <w:color w:val="1155CC"/>
            <w:sz w:val="22"/>
            <w:szCs w:val="22"/>
            <w:u w:val="single"/>
          </w:rPr>
          <w:t xml:space="preserve">1. Teoria Geral da Prova e Standards Probatórios (arts. 155 a 157, CPP)</w:t>
        </w:r>
      </w:hyperlink>
    </w:p>
    <w:p>
      <w:pPr>
        <w:spacing w:after="90"/>
      </w:pPr>
      <w:hyperlink w:history="1" w:anchor="subtema_2">
        <w:r>
          <w:rPr>
            <w:b/>
            <w:bCs/>
            <w:color w:val="1155CC"/>
            <w:sz w:val="22"/>
            <w:szCs w:val="22"/>
            <w:u w:val="single"/>
          </w:rPr>
          <w:t xml:space="preserve">2. Provas Ilícitas, Ilicitude por Derivação e suas Exceções (art. 157, CPP)</w:t>
        </w:r>
      </w:hyperlink>
    </w:p>
    <w:p>
      <w:pPr>
        <w:spacing w:after="90"/>
      </w:pPr>
      <w:hyperlink w:history="1" w:anchor="subtema_3">
        <w:r>
          <w:rPr>
            <w:b/>
            <w:bCs/>
            <w:color w:val="1155CC"/>
            <w:sz w:val="22"/>
            <w:szCs w:val="22"/>
            <w:u w:val="single"/>
          </w:rPr>
          <w:t xml:space="preserve">3. Poderes Instrutórios do Juiz e Sistema Acusatório (arts. 3º-A e 156, CPP)</w:t>
        </w:r>
      </w:hyperlink>
    </w:p>
    <w:p>
      <w:pPr>
        <w:spacing w:after="90"/>
      </w:pPr>
      <w:hyperlink w:history="1" w:anchor="subtema_4">
        <w:r>
          <w:rPr>
            <w:b/>
            <w:bCs/>
            <w:color w:val="1155CC"/>
            <w:sz w:val="22"/>
            <w:szCs w:val="22"/>
            <w:u w:val="single"/>
          </w:rPr>
          <w:t xml:space="preserve">4. Testemunhas (arts. 202 a 225, CPP)</w:t>
        </w:r>
      </w:hyperlink>
    </w:p>
    <w:p>
      <w:pPr>
        <w:spacing w:after="90"/>
      </w:pPr>
      <w:hyperlink w:history="1" w:anchor="subtema_5">
        <w:r>
          <w:rPr>
            <w:b/>
            <w:bCs/>
            <w:color w:val="1155CC"/>
            <w:sz w:val="22"/>
            <w:szCs w:val="22"/>
            <w:u w:val="single"/>
          </w:rPr>
          <w:t xml:space="preserve">5. Reconhecimento de Pessoas (art. 226, CPP)</w:t>
        </w:r>
      </w:hyperlink>
    </w:p>
    <w:p>
      <w:pPr>
        <w:spacing w:after="90"/>
      </w:pPr>
      <w:hyperlink w:history="1" w:anchor="subtema_6">
        <w:r>
          <w:rPr>
            <w:b/>
            <w:bCs/>
            <w:color w:val="1155CC"/>
            <w:sz w:val="22"/>
            <w:szCs w:val="22"/>
            <w:u w:val="single"/>
          </w:rPr>
          <w:t xml:space="preserve">6. Cadeia de Custódia e Perícias (arts. 158 a 184-A, CPP)</w:t>
        </w:r>
      </w:hyperlink>
    </w:p>
    <w:p>
      <w:pPr>
        <w:spacing w:after="90"/>
      </w:pPr>
      <w:hyperlink w:history="1" w:anchor="subtema_7">
        <w:r>
          <w:rPr>
            <w:b/>
            <w:bCs/>
            <w:color w:val="1155CC"/>
            <w:sz w:val="22"/>
            <w:szCs w:val="22"/>
            <w:u w:val="single"/>
          </w:rPr>
          <w:t xml:space="preserve">7. Confissão, Interrogatório e Nemo Tenetur Se Detegere (arts. 185 a 200, CPP)</w:t>
        </w:r>
      </w:hyperlink>
    </w:p>
    <w:p>
      <w:pPr>
        <w:spacing w:after="90"/>
      </w:pPr>
      <w:hyperlink w:history="1" w:anchor="subtema_8">
        <w:r>
          <w:rPr>
            <w:b/>
            <w:bCs/>
            <w:color w:val="1155CC"/>
            <w:sz w:val="22"/>
            <w:szCs w:val="22"/>
            <w:u w:val="single"/>
          </w:rPr>
          <w:t xml:space="preserve">8. Busca e Apreensão (arts. 240 a 250, CPP)</w:t>
        </w:r>
      </w:hyperlink>
    </w:p>
    <w:p>
      <w:pPr>
        <w:spacing w:after="90"/>
      </w:pPr>
      <w:hyperlink w:history="1" w:anchor="subtema_9">
        <w:r>
          <w:rPr>
            <w:b/>
            <w:bCs/>
            <w:color w:val="1155CC"/>
            <w:sz w:val="22"/>
            <w:szCs w:val="22"/>
            <w:u w:val="single"/>
          </w:rPr>
          <w:t xml:space="preserve">9. Provas Digitais, Dados Telemáticos e Novas Tecnologias</w:t>
        </w:r>
      </w:hyperlink>
    </w:p>
    <w:p>
      <w:pPr>
        <w:spacing w:after="90"/>
      </w:pPr>
      <w:hyperlink w:history="1" w:anchor="subtema_10">
        <w:r>
          <w:rPr>
            <w:b/>
            <w:bCs/>
            <w:color w:val="1155CC"/>
            <w:sz w:val="22"/>
            <w:szCs w:val="22"/>
            <w:u w:val="single"/>
          </w:rPr>
          <w:t xml:space="preserve">10. Cooperação Internacional, RIF/COAF e Sigilo Bancário-Fiscal</w:t>
        </w:r>
      </w:hyperlink>
    </w:p>
    <w:p>
      <w:pPr>
        <w:spacing w:after="90"/>
      </w:pPr>
      <w:hyperlink w:history="1" w:anchor="subtema_11">
        <w:r>
          <w:rPr>
            <w:b/>
            <w:bCs/>
            <w:color w:val="1155CC"/>
            <w:sz w:val="22"/>
            <w:szCs w:val="22"/>
            <w:u w:val="single"/>
          </w:rPr>
          <w:t xml:space="preserve">11. Colaboração Premiada e Provas Atípicas</w:t>
        </w:r>
      </w:hyperlink>
    </w:p>
    <w:p>
      <w:pPr>
        <w:spacing w:after="90"/>
      </w:pPr>
      <w:hyperlink w:history="1" w:anchor="subtema_12">
        <w:r>
          <w:rPr>
            <w:b/>
            <w:bCs/>
            <w:color w:val="1155CC"/>
            <w:sz w:val="22"/>
            <w:szCs w:val="22"/>
            <w:u w:val="single"/>
          </w:rPr>
          <w:t xml:space="preserve">12. Provas em Crimes Sexuais e Proteção da Vítima</w:t>
        </w:r>
      </w:hyperlink>
    </w:p>
    <w:p>
      <w:pPr>
        <w:spacing w:after="60" w:before="90"/>
      </w:pPr>
      <w:hyperlink w:history="1" w:anchor="top10_section">
        <w:r>
          <w:rPr>
            <w:b/>
            <w:bCs/>
            <w:color w:val="1155CC"/>
            <w:sz w:val="22"/>
            <w:szCs w:val="22"/>
            <w:u w:val="single"/>
          </w:rPr>
          <w:t xml:space="preserve">TOP 10 Imperdíveis desta Matéria</w:t>
        </w:r>
      </w:hyperlink>
    </w:p>
    <w:p>
      <w:pPr>
        <w:spacing w:after="60"/>
      </w:pPr>
      <w:hyperlink w:history="1" w:anchor="indice_section">
        <w:r>
          <w:rPr>
            <w:b/>
            <w:bCs/>
            <w:color w:val="1155CC"/>
            <w:sz w:val="22"/>
            <w:szCs w:val="22"/>
            <w:u w:val="single"/>
          </w:rPr>
          <w:t xml:space="preserve">Índice Navegável de Julgados</w:t>
        </w:r>
      </w:hyperlink>
    </w:p>
    <w:p>
      <w:r>
        <w:br w:type="page"/>
      </w:r>
    </w:p>
    <w:p>
      <w:pPr>
        <w:pStyle w:val="Heading1"/>
        <w:spacing w:after="160" w:before="320"/>
      </w:pPr>
      <w:bookmarkStart w:name="subtema_1" w:id="1"/>
      <w:r>
        <w:t xml:space="preserve">1. Teoria Geral da Prova e Standards Probatórios (arts. 155 a 157, CPP)</w:t>
      </w:r>
      <w:bookmarkEnd w:id="1"/>
    </w:p>
    <w:p>
      <w:pPr>
        <w:shd w:fill="FBEAEA" w:color="auto" w:val="clear"/>
        <w:spacing w:after="40" w:before="240"/>
      </w:pPr>
      <w:bookmarkStart w:name="ficha_1" w:id="1"/>
      <w:r>
        <w:rPr>
          <w:b/>
          <w:bCs/>
          <w:color w:val="8B1A1A"/>
          <w:sz w:val="24"/>
          <w:szCs w:val="24"/>
        </w:rPr>
        <w:t xml:space="preserve">📌 1.1  Standards probatórios (critérios de decisão) ao longo da persecução penal</w:t>
      </w:r>
      <w:bookmarkEnd w:id="1"/>
    </w:p>
    <w:p>
      <w:pPr>
        <w:spacing w:after="60"/>
      </w:pPr>
      <w:r>
        <w:rPr>
          <w:b/>
          <w:bCs/>
          <w:color w:val="8B1A1A"/>
          <w:sz w:val="20"/>
          <w:szCs w:val="20"/>
        </w:rPr>
        <w:t xml:space="preserve">Tribunal: </w:t>
      </w:r>
      <w:r>
        <w:rPr>
          <w:sz w:val="20"/>
          <w:szCs w:val="20"/>
        </w:rPr>
        <w:t xml:space="preserve">STF / STJ   |   Órgão: 2ª Turma (STF) / 6ª Turma (STJ)</w:t>
      </w:r>
    </w:p>
    <w:p>
      <w:pPr>
        <w:spacing w:after="60"/>
      </w:pPr>
      <w:r>
        <w:rPr>
          <w:b/>
          <w:bCs/>
          <w:color w:val="8B1A1A"/>
          <w:sz w:val="20"/>
          <w:szCs w:val="20"/>
        </w:rPr>
        <w:t xml:space="preserve">Processo/Relator/Data: </w:t>
      </w:r>
      <w:r>
        <w:rPr>
          <w:sz w:val="20"/>
          <w:szCs w:val="20"/>
        </w:rPr>
        <w:t xml:space="preserve">STF, ARE 1.067.392/CE, Rel. Min. Gilmar Mendes, j. 26/03/2019 (Info 935); STJ, HC 734.709/RJ, Rel. Min. Rogério Schietti Cruz, j. 07/06/2022</w:t>
      </w:r>
    </w:p>
    <w:p>
      <w:pPr>
        <w:spacing w:after="60"/>
      </w:pPr>
      <w:r>
        <w:rPr>
          <w:b/>
          <w:bCs/>
          <w:color w:val="8B1A1A"/>
          <w:sz w:val="20"/>
          <w:szCs w:val="20"/>
        </w:rPr>
        <w:t xml:space="preserve">Sistemática: </w:t>
      </w:r>
      <w:r>
        <w:rPr>
          <w:sz w:val="20"/>
          <w:szCs w:val="20"/>
        </w:rPr>
        <w:t xml:space="preserve">Caso isolado (doutrina consolidada por reiterados precedentes)</w:t>
      </w:r>
    </w:p>
    <w:p>
      <w:pPr>
        <w:spacing w:after="60" w:before="160"/>
      </w:pPr>
      <w:r>
        <w:rPr>
          <w:b/>
          <w:bCs/>
          <w:color w:val="333333"/>
          <w:sz w:val="21"/>
          <w:szCs w:val="21"/>
        </w:rPr>
        <w:t xml:space="preserve">📍 Tese fixada / Decisão</w:t>
      </w:r>
    </w:p>
    <w:p>
      <w:pPr>
        <w:spacing w:after="100"/>
      </w:pPr>
      <w:r>
        <w:rPr>
          <w:i/>
          <w:iCs/>
          <w:sz w:val="20"/>
          <w:szCs w:val="20"/>
        </w:rPr>
        <w:t xml:space="preserve">Os "standards probatórios" (critérios de decisão) variam conforme a fase processual: juízo de mera possibilidade para a investigação, justa causa para o recebimento da denúncia, indícios de autoria para a prisão preventiva e a pronúncia, e certeza além de dúvida razoável para a condenação.</w:t>
      </w:r>
    </w:p>
    <w:p>
      <w:pPr>
        <w:spacing w:after="60" w:before="160"/>
      </w:pPr>
      <w:r>
        <w:rPr>
          <w:b/>
          <w:bCs/>
          <w:color w:val="333333"/>
          <w:sz w:val="21"/>
          <w:szCs w:val="21"/>
        </w:rPr>
        <w:t xml:space="preserve">📚 Resumo do caso</w:t>
      </w:r>
    </w:p>
    <w:p>
      <w:pPr>
        <w:spacing w:after="100"/>
      </w:pPr>
      <w:r>
        <w:rPr>
          <w:sz w:val="20"/>
          <w:szCs w:val="20"/>
        </w:rPr>
        <w:t xml:space="preserve">A doutrina de Renato Brasileiro de Lima e Gustavo Badaró sobre standards de prova foi incorporada pela jurisprudência do STF e do STJ como parâmetro para aferir a suficiência probatória exigida em cada decisão da persecução penal. O STF afirmou que a pronúncia não exige certeza além de dúvida razoável (padrão da condenação), mas um lastro probatório consistente favorável à tese acusatória. O STJ reforçou que o standard para o recebimento da denúncia é "menos rigoroso" que o da condenação, situando-se entre o juízo de possibilidade (investigação) e o de certeza (sentença condenatória).</w:t>
      </w:r>
    </w:p>
    <w:p>
      <w:pPr>
        <w:spacing w:after="60" w:before="160"/>
      </w:pPr>
      <w:r>
        <w:rPr>
          <w:b/>
          <w:bCs/>
          <w:color w:val="333333"/>
          <w:sz w:val="21"/>
          <w:szCs w:val="21"/>
        </w:rPr>
        <w:t xml:space="preserve">🎯 Como pode ser cobrado em prova</w:t>
      </w:r>
    </w:p>
    <w:p>
      <w:pPr>
        <w:spacing w:after="60"/>
        <w:ind w:left="260"/>
      </w:pPr>
      <w:r>
        <w:rPr>
          <w:b/>
          <w:bCs/>
          <w:i/>
          <w:iCs/>
          <w:sz w:val="20"/>
          <w:szCs w:val="20"/>
        </w:rPr>
        <w:t xml:space="preserve">Objetiva: </w:t>
      </w:r>
      <w:r>
        <w:rPr>
          <w:sz w:val="20"/>
          <w:szCs w:val="20"/>
        </w:rPr>
        <w:t xml:space="preserve">Alternativas trocando os standards entre si (ex.: exigir "dúvida razoável" para a pronúncia, ou "certeza" para o recebimento da denúncia) ou negando que o CPP brasileiro, mesmo sem previsão expressa, já opere com essa lógica gradual reconhecida pela jurisprudência.</w:t>
      </w:r>
    </w:p>
    <w:p>
      <w:pPr>
        <w:spacing w:after="60"/>
        <w:ind w:left="260"/>
      </w:pPr>
      <w:r>
        <w:rPr>
          <w:b/>
          <w:bCs/>
          <w:i/>
          <w:iCs/>
          <w:sz w:val="20"/>
          <w:szCs w:val="20"/>
        </w:rPr>
        <w:t xml:space="preserve">Discursiva: </w:t>
      </w:r>
      <w:r>
        <w:rPr>
          <w:sz w:val="20"/>
          <w:szCs w:val="20"/>
        </w:rPr>
        <w:t xml:space="preserve">Pedido de sentença/decisão de pronúncia em que se exige que o candidato justifique o grau de convicção exigido naquela fase específica, distinguindo-o do juízo de certeza da condenação.</w:t>
      </w:r>
    </w:p>
    <w:p>
      <w:pPr>
        <w:spacing w:after="60"/>
        <w:ind w:left="260"/>
      </w:pPr>
      <w:r>
        <w:rPr>
          <w:b/>
          <w:bCs/>
          <w:i/>
          <w:iCs/>
          <w:sz w:val="20"/>
          <w:szCs w:val="20"/>
        </w:rPr>
        <w:t xml:space="preserve">Oral: </w:t>
      </w:r>
      <w:r>
        <w:rPr>
          <w:sz w:val="20"/>
          <w:szCs w:val="20"/>
        </w:rPr>
        <w:t xml:space="preserve">Diferencie o standard probatório exigido para a decretação da prisão preventiva daquele exigido para a pronúncia e para a sentença condenatória.</w:t>
      </w:r>
    </w:p>
    <w:p>
      <w:pPr>
        <w:spacing w:after="60" w:before="160"/>
      </w:pPr>
      <w:r>
        <w:rPr>
          <w:b/>
          <w:bCs/>
          <w:color w:val="333333"/>
          <w:sz w:val="21"/>
          <w:szCs w:val="21"/>
        </w:rPr>
        <w:t xml:space="preserve">🔗 Conexões</w:t>
      </w:r>
    </w:p>
    <w:p>
      <w:pPr>
        <w:spacing w:after="100"/>
      </w:pPr>
      <w:r>
        <w:rPr>
          <w:sz w:val="20"/>
          <w:szCs w:val="20"/>
        </w:rPr>
        <w:t xml:space="preserve">Art. 312, 395, III, e 413, CPP; TRF1-2023-FGV, TJSC-2022-FGV, TJPR-2021-FGV, DPEMT-2022-FCC (todas cobraram o tema).</w:t>
      </w:r>
    </w:p>
    <w:p>
      <w:pPr>
        <w:pBdr>
          <w:bottom w:val="single" w:color="8B1A1A" w:sz="12" w:space="4"/>
        </w:pBdr>
        <w:spacing w:after="200" w:before="120"/>
      </w:pPr>
    </w:p>
    <w:p>
      <w:pPr>
        <w:shd w:fill="FBEAEA" w:color="auto" w:val="clear"/>
        <w:spacing w:after="40" w:before="240"/>
      </w:pPr>
      <w:bookmarkStart w:name="ficha_2" w:id="1"/>
      <w:r>
        <w:rPr>
          <w:b/>
          <w:bCs/>
          <w:color w:val="8B1A1A"/>
          <w:sz w:val="24"/>
          <w:szCs w:val="24"/>
        </w:rPr>
        <w:t xml:space="preserve">📌 1.2  Depoimento indireto (hearsay) não fundamenta a pronúncia</w:t>
      </w:r>
      <w:bookmarkEnd w:id="1"/>
    </w:p>
    <w:p>
      <w:pPr>
        <w:spacing w:after="60"/>
      </w:pPr>
      <w:r>
        <w:rPr>
          <w:b/>
          <w:bCs/>
          <w:color w:val="8B1A1A"/>
          <w:sz w:val="20"/>
          <w:szCs w:val="20"/>
        </w:rPr>
        <w:t xml:space="preserve">Tribunal: </w:t>
      </w:r>
      <w:r>
        <w:rPr>
          <w:sz w:val="20"/>
          <w:szCs w:val="20"/>
        </w:rPr>
        <w:t xml:space="preserve">STJ   |   Órgão: 5ª Turma</w:t>
      </w:r>
    </w:p>
    <w:p>
      <w:pPr>
        <w:spacing w:after="60"/>
      </w:pPr>
      <w:r>
        <w:rPr>
          <w:b/>
          <w:bCs/>
          <w:color w:val="8B1A1A"/>
          <w:sz w:val="20"/>
          <w:szCs w:val="20"/>
        </w:rPr>
        <w:t xml:space="preserve">Processo/Relator/Data: </w:t>
      </w:r>
      <w:r>
        <w:rPr>
          <w:sz w:val="20"/>
          <w:szCs w:val="20"/>
        </w:rPr>
        <w:t xml:space="preserve">REsp 1.916.733-MG, Rel. Min. Ribeiro Dantas, j. 23/11/2021 (Info 719)</w:t>
      </w:r>
    </w:p>
    <w:p>
      <w:pPr>
        <w:spacing w:after="60"/>
      </w:pPr>
      <w:r>
        <w:rPr>
          <w:b/>
          <w:bCs/>
          <w:color w:val="8B1A1A"/>
          <w:sz w:val="20"/>
          <w:szCs w:val="20"/>
        </w:rPr>
        <w:t xml:space="preserve">Sistemática: </w:t>
      </w:r>
      <w:r>
        <w:rPr>
          <w:sz w:val="20"/>
          <w:szCs w:val="20"/>
        </w:rPr>
        <w:t xml:space="preserve">Caso isolado</w:t>
      </w:r>
    </w:p>
    <w:p>
      <w:pPr>
        <w:spacing w:after="60" w:before="160"/>
      </w:pPr>
      <w:r>
        <w:rPr>
          <w:b/>
          <w:bCs/>
          <w:color w:val="333333"/>
          <w:sz w:val="21"/>
          <w:szCs w:val="21"/>
        </w:rPr>
        <w:t xml:space="preserve">📍 Tese fixada / Decisão</w:t>
      </w:r>
    </w:p>
    <w:p>
      <w:pPr>
        <w:spacing w:after="100"/>
      </w:pPr>
      <w:r>
        <w:rPr>
          <w:i/>
          <w:iCs/>
          <w:sz w:val="20"/>
          <w:szCs w:val="20"/>
        </w:rPr>
        <w:t xml:space="preserve">As qualificadoras do crime de homicídio fundadas exclusivamente em depoimento indireto (hearsay testimony) violam o art. 155 do CPP, não podendo lastrear a decisão de pronúncia.</w:t>
      </w:r>
    </w:p>
    <w:p>
      <w:pPr>
        <w:spacing w:after="60" w:before="160"/>
      </w:pPr>
      <w:r>
        <w:rPr>
          <w:b/>
          <w:bCs/>
          <w:color w:val="333333"/>
          <w:sz w:val="21"/>
          <w:szCs w:val="21"/>
        </w:rPr>
        <w:t xml:space="preserve">📚 Resumo do caso</w:t>
      </w:r>
    </w:p>
    <w:p>
      <w:pPr>
        <w:spacing w:after="100"/>
      </w:pPr>
      <w:r>
        <w:rPr>
          <w:sz w:val="20"/>
          <w:szCs w:val="20"/>
        </w:rPr>
        <w:t xml:space="preserve">O caso envolveu qualificadoras de homicídio baseadas apenas no depoimento, no inquérito, de uma testemunha que "ouviu dizer" dos fatos (testemunho indireto). O STJ cassou a pronúncia, afirmando que o art. 155 do CPP — que veda fundamentar a condenação exclusivamente em elementos do inquérito — também se aplica aos veredictos condenatórios do Tribunal do Júri e à própria pronúncia, que deve estar lastreada em prova produzida sob o crivo do contraditório judicial.</w:t>
      </w:r>
    </w:p>
    <w:p>
      <w:pPr>
        <w:spacing w:after="60" w:before="160"/>
      </w:pPr>
      <w:r>
        <w:rPr>
          <w:b/>
          <w:bCs/>
          <w:color w:val="333333"/>
          <w:sz w:val="21"/>
          <w:szCs w:val="21"/>
        </w:rPr>
        <w:t xml:space="preserve">🎯 Como pode ser cobrado em prova</w:t>
      </w:r>
    </w:p>
    <w:p>
      <w:pPr>
        <w:spacing w:after="60"/>
        <w:ind w:left="260"/>
      </w:pPr>
      <w:r>
        <w:rPr>
          <w:b/>
          <w:bCs/>
          <w:i/>
          <w:iCs/>
          <w:sz w:val="20"/>
          <w:szCs w:val="20"/>
        </w:rPr>
        <w:t xml:space="preserve">Objetiva: </w:t>
      </w:r>
      <w:r>
        <w:rPr>
          <w:sz w:val="20"/>
          <w:szCs w:val="20"/>
        </w:rPr>
        <w:t xml:space="preserve">Assertivas testando se o art. 155 do CPP se aplicaria "apenas" à sentença condenatória (errado — aplica-se também à pronúncia e ao Júri) ou se o depoimento indireto colhido no inquérito, por si só, poderia justificar qualificadora.</w:t>
      </w:r>
    </w:p>
    <w:p>
      <w:pPr>
        <w:spacing w:after="60"/>
        <w:ind w:left="260"/>
      </w:pPr>
      <w:r>
        <w:rPr>
          <w:b/>
          <w:bCs/>
          <w:i/>
          <w:iCs/>
          <w:sz w:val="20"/>
          <w:szCs w:val="20"/>
        </w:rPr>
        <w:t xml:space="preserve">Discursiva: </w:t>
      </w:r>
      <w:r>
        <w:rPr>
          <w:sz w:val="20"/>
          <w:szCs w:val="20"/>
        </w:rPr>
        <w:t xml:space="preserve">Questão de pronúncia em processo de júri na qual a única prova de uma qualificadora seja um depoimento por "ouvir dizer": o candidato deve reconhecer a impossibilidade de manter a qualificadora nessas condições.</w:t>
      </w:r>
    </w:p>
    <w:p>
      <w:pPr>
        <w:spacing w:after="60"/>
        <w:ind w:left="260"/>
      </w:pPr>
      <w:r>
        <w:rPr>
          <w:b/>
          <w:bCs/>
          <w:i/>
          <w:iCs/>
          <w:sz w:val="20"/>
          <w:szCs w:val="20"/>
        </w:rPr>
        <w:t xml:space="preserve">Oral: </w:t>
      </w:r>
      <w:r>
        <w:rPr>
          <w:sz w:val="20"/>
          <w:szCs w:val="20"/>
        </w:rPr>
        <w:t xml:space="preserve">O depoimento indireto (hearsay) pode fundamentar a pronúncia? E a condenação pelo Tribunal do Júri?</w:t>
      </w:r>
    </w:p>
    <w:p>
      <w:pPr>
        <w:spacing w:after="60" w:before="160"/>
      </w:pPr>
      <w:r>
        <w:rPr>
          <w:b/>
          <w:bCs/>
          <w:color w:val="333333"/>
          <w:sz w:val="21"/>
          <w:szCs w:val="21"/>
        </w:rPr>
        <w:t xml:space="preserve">🔗 Conexões</w:t>
      </w:r>
    </w:p>
    <w:p>
      <w:pPr>
        <w:spacing w:after="100"/>
      </w:pPr>
      <w:r>
        <w:rPr>
          <w:sz w:val="20"/>
          <w:szCs w:val="20"/>
        </w:rPr>
        <w:t xml:space="preserve">Art. 155, caput, CPP; art. 209, §1º, CPP (testemunha referida); TJMG-2022-FGV, DPESE-2022-CESPE (cobraram o mesmo Info 719).</w:t>
      </w:r>
    </w:p>
    <w:p>
      <w:pPr>
        <w:pBdr>
          <w:bottom w:val="single" w:color="8B1A1A" w:sz="12" w:space="4"/>
        </w:pBdr>
        <w:spacing w:after="200" w:before="120"/>
      </w:pPr>
    </w:p>
    <w:p>
      <w:pPr>
        <w:shd w:fill="FBEAEA" w:color="auto" w:val="clear"/>
        <w:spacing w:after="40" w:before="240"/>
      </w:pPr>
      <w:bookmarkStart w:name="ficha_3" w:id="1"/>
      <w:r>
        <w:rPr>
          <w:b/>
          <w:bCs/>
          <w:color w:val="8B1A1A"/>
          <w:sz w:val="24"/>
          <w:szCs w:val="24"/>
        </w:rPr>
        <w:t xml:space="preserve">📌 1.3  Compartilhamento de provas de ação cível extinta sem resolução de mérito</w:t>
      </w:r>
      <w:bookmarkEnd w:id="1"/>
    </w:p>
    <w:p>
      <w:pPr>
        <w:spacing w:after="60"/>
      </w:pPr>
      <w:r>
        <w:rPr>
          <w:b/>
          <w:bCs/>
          <w:color w:val="8B1A1A"/>
          <w:sz w:val="20"/>
          <w:szCs w:val="20"/>
        </w:rPr>
        <w:t xml:space="preserve">Tribunal: </w:t>
      </w:r>
      <w:r>
        <w:rPr>
          <w:sz w:val="20"/>
          <w:szCs w:val="20"/>
        </w:rPr>
        <w:t xml:space="preserve">STJ   |   Órgão: 6ª Turma</w:t>
      </w:r>
    </w:p>
    <w:p>
      <w:pPr>
        <w:spacing w:after="60"/>
      </w:pPr>
      <w:r>
        <w:rPr>
          <w:b/>
          <w:bCs/>
          <w:color w:val="8B1A1A"/>
          <w:sz w:val="20"/>
          <w:szCs w:val="20"/>
        </w:rPr>
        <w:t xml:space="preserve">Processo/Relator/Data: </w:t>
      </w:r>
      <w:r>
        <w:rPr>
          <w:sz w:val="20"/>
          <w:szCs w:val="20"/>
        </w:rPr>
        <w:t xml:space="preserve">AgRg no RMS 77.635-SP, Rel. Min. Antonio Saldanha Palheiro, Rel. p/ acórdão Min. Sebastião Reis Júnior, j. 12/05/2026 (Info 893)</w:t>
      </w:r>
    </w:p>
    <w:p>
      <w:pPr>
        <w:spacing w:after="60"/>
      </w:pPr>
      <w:r>
        <w:rPr>
          <w:b/>
          <w:bCs/>
          <w:color w:val="8B1A1A"/>
          <w:sz w:val="20"/>
          <w:szCs w:val="20"/>
        </w:rPr>
        <w:t xml:space="preserve">Sistemática: </w:t>
      </w:r>
      <w:r>
        <w:rPr>
          <w:sz w:val="20"/>
          <w:szCs w:val="20"/>
        </w:rPr>
        <w:t xml:space="preserve">Caso isolado</w:t>
      </w:r>
    </w:p>
    <w:p>
      <w:pPr>
        <w:spacing w:after="60" w:before="160"/>
      </w:pPr>
      <w:r>
        <w:rPr>
          <w:b/>
          <w:bCs/>
          <w:color w:val="333333"/>
          <w:sz w:val="21"/>
          <w:szCs w:val="21"/>
        </w:rPr>
        <w:t xml:space="preserve">📍 Tese fixada / Decisão</w:t>
      </w:r>
    </w:p>
    <w:p>
      <w:pPr>
        <w:spacing w:after="100"/>
      </w:pPr>
      <w:r>
        <w:rPr>
          <w:i/>
          <w:iCs/>
          <w:sz w:val="20"/>
          <w:szCs w:val="20"/>
        </w:rPr>
        <w:t xml:space="preserve">A extinção, sem resolução de mérito, de ação cível de produção antecipada de provas por inadequação da via eleita não implica, por si só, inutilização das provas, se ausente declaração de ilicitude, podendo elas ser compartilhadas para fins penais.</w:t>
      </w:r>
    </w:p>
    <w:p>
      <w:pPr>
        <w:spacing w:after="60" w:before="160"/>
      </w:pPr>
      <w:r>
        <w:rPr>
          <w:b/>
          <w:bCs/>
          <w:color w:val="333333"/>
          <w:sz w:val="21"/>
          <w:szCs w:val="21"/>
        </w:rPr>
        <w:t xml:space="preserve">📚 Resumo do caso</w:t>
      </w:r>
    </w:p>
    <w:p>
      <w:pPr>
        <w:spacing w:after="100"/>
      </w:pPr>
      <w:r>
        <w:rPr>
          <w:sz w:val="20"/>
          <w:szCs w:val="20"/>
        </w:rPr>
        <w:t xml:space="preserve">Provas obtidas em busca e apreensão determinada em ação cível de produção antecipada de provas foram autorizadas para compartilhamento com investigação criminal por manipulação de mercado. A ação cível foi depois extinta sem mérito por falta de interesse de agir. O STJ decidiu que a extinção da via cível, por si só, não invalida as provas nela colhidas, pois não houve declaração de ilicitude, prevalecendo o princípio da comunhão das provas.</w:t>
      </w:r>
    </w:p>
    <w:p>
      <w:pPr>
        <w:spacing w:after="60" w:before="160"/>
      </w:pPr>
      <w:r>
        <w:rPr>
          <w:b/>
          <w:bCs/>
          <w:color w:val="333333"/>
          <w:sz w:val="21"/>
          <w:szCs w:val="21"/>
        </w:rPr>
        <w:t xml:space="preserve">🎯 Como pode ser cobrado em prova</w:t>
      </w:r>
    </w:p>
    <w:p>
      <w:pPr>
        <w:spacing w:after="60"/>
        <w:ind w:left="260"/>
      </w:pPr>
      <w:r>
        <w:rPr>
          <w:b/>
          <w:bCs/>
          <w:i/>
          <w:iCs/>
          <w:sz w:val="20"/>
          <w:szCs w:val="20"/>
        </w:rPr>
        <w:t xml:space="preserve">Objetiva: </w:t>
      </w:r>
      <w:r>
        <w:rPr>
          <w:sz w:val="20"/>
          <w:szCs w:val="20"/>
        </w:rPr>
        <w:t xml:space="preserve">Alternativa que confunda "extinção sem resolução de mérito" com "declaração de ilicitude da prova" (são coisas distintas).</w:t>
      </w:r>
    </w:p>
    <w:p>
      <w:pPr>
        <w:spacing w:after="60"/>
        <w:ind w:left="260"/>
      </w:pPr>
      <w:r>
        <w:rPr>
          <w:b/>
          <w:bCs/>
          <w:i/>
          <w:iCs/>
          <w:sz w:val="20"/>
          <w:szCs w:val="20"/>
        </w:rPr>
        <w:t xml:space="preserve">Discursiva: </w:t>
      </w:r>
      <w:r>
        <w:rPr>
          <w:sz w:val="20"/>
          <w:szCs w:val="20"/>
        </w:rPr>
        <w:t xml:space="preserve">Cenário de compartilhamento de provas entre esferas cível e penal em que a ação de origem tenha sido extinta por vício processual — o candidato deve diferenciar vício de via processual de vício de ilicitude da prova.</w:t>
      </w:r>
    </w:p>
    <w:p>
      <w:pPr>
        <w:spacing w:after="60"/>
        <w:ind w:left="260"/>
      </w:pPr>
      <w:r>
        <w:rPr>
          <w:b/>
          <w:bCs/>
          <w:i/>
          <w:iCs/>
          <w:sz w:val="20"/>
          <w:szCs w:val="20"/>
        </w:rPr>
        <w:t xml:space="preserve">Oral: </w:t>
      </w:r>
      <w:r>
        <w:rPr>
          <w:sz w:val="20"/>
          <w:szCs w:val="20"/>
        </w:rPr>
        <w:t xml:space="preserve">É possível compartilhar, com o processo penal, provas produzidas em ação cível depois extinta sem resolução de mérito?</w:t>
      </w:r>
    </w:p>
    <w:p>
      <w:pPr>
        <w:spacing w:after="60" w:before="160"/>
      </w:pPr>
      <w:r>
        <w:rPr>
          <w:b/>
          <w:bCs/>
          <w:color w:val="333333"/>
          <w:sz w:val="21"/>
          <w:szCs w:val="21"/>
        </w:rPr>
        <w:t xml:space="preserve">🔗 Conexões</w:t>
      </w:r>
    </w:p>
    <w:p>
      <w:pPr>
        <w:spacing w:after="100"/>
      </w:pPr>
      <w:r>
        <w:rPr>
          <w:sz w:val="20"/>
          <w:szCs w:val="20"/>
        </w:rPr>
        <w:t xml:space="preserve">Princípio da comunhão das provas; art. 157, CPP (prova ilícita).</w:t>
      </w:r>
    </w:p>
    <w:p>
      <w:pPr>
        <w:pBdr>
          <w:bottom w:val="single" w:color="8B1A1A" w:sz="12" w:space="4"/>
        </w:pBdr>
        <w:spacing w:after="200" w:before="120"/>
      </w:pPr>
    </w:p>
    <w:p>
      <w:pPr>
        <w:pStyle w:val="Heading1"/>
        <w:spacing w:after="160" w:before="320"/>
      </w:pPr>
      <w:bookmarkStart w:name="subtema_2" w:id="1"/>
      <w:r>
        <w:t xml:space="preserve">2. Provas Ilícitas, Ilicitude por Derivação e suas Exceções (art. 157, CPP)</w:t>
      </w:r>
      <w:bookmarkEnd w:id="1"/>
    </w:p>
    <w:p>
      <w:pPr>
        <w:shd w:fill="FBEAEA" w:color="auto" w:val="clear"/>
        <w:spacing w:after="40" w:before="240"/>
      </w:pPr>
      <w:bookmarkStart w:name="ficha_4" w:id="1"/>
      <w:r>
        <w:rPr>
          <w:b/>
          <w:bCs/>
          <w:color w:val="8B1A1A"/>
          <w:sz w:val="24"/>
          <w:szCs w:val="24"/>
        </w:rPr>
        <w:t xml:space="preserve">📌 2.1  Teoria dos frutos da árvore envenenada, fonte independente e descoberta inevitável</w:t>
      </w:r>
      <w:bookmarkEnd w:id="1"/>
    </w:p>
    <w:p>
      <w:pPr>
        <w:spacing w:after="60"/>
      </w:pPr>
      <w:r>
        <w:rPr>
          <w:b/>
          <w:bCs/>
          <w:color w:val="8B1A1A"/>
          <w:sz w:val="20"/>
          <w:szCs w:val="20"/>
        </w:rPr>
        <w:t xml:space="preserve">Tribunal: </w:t>
      </w:r>
      <w:r>
        <w:rPr>
          <w:sz w:val="20"/>
          <w:szCs w:val="20"/>
        </w:rPr>
        <w:t xml:space="preserve">STF / STJ   |   Órgão: Diversas Turmas</w:t>
      </w:r>
    </w:p>
    <w:p>
      <w:pPr>
        <w:spacing w:after="60"/>
      </w:pPr>
      <w:r>
        <w:rPr>
          <w:b/>
          <w:bCs/>
          <w:color w:val="8B1A1A"/>
          <w:sz w:val="20"/>
          <w:szCs w:val="20"/>
        </w:rPr>
        <w:t xml:space="preserve">Processo/Relator/Data: </w:t>
      </w:r>
      <w:r>
        <w:rPr>
          <w:sz w:val="20"/>
          <w:szCs w:val="20"/>
        </w:rPr>
        <w:t xml:space="preserve">Base legal: art. 157, §§1º e 2º, CPP (Lei 11.690/2008); STF, HC 73.351 (origem da teoria no Brasil, 1996); reiterada em incontáveis precedentes recentes</w:t>
      </w:r>
    </w:p>
    <w:p>
      <w:pPr>
        <w:spacing w:after="60"/>
      </w:pPr>
      <w:r>
        <w:rPr>
          <w:b/>
          <w:bCs/>
          <w:color w:val="8B1A1A"/>
          <w:sz w:val="20"/>
          <w:szCs w:val="20"/>
        </w:rPr>
        <w:t xml:space="preserve">Sistemática: </w:t>
      </w:r>
      <w:r>
        <w:rPr>
          <w:sz w:val="20"/>
          <w:szCs w:val="20"/>
        </w:rPr>
        <w:t xml:space="preserve">Tese consolidada (doutrina + jurisprudência pacífica)</w:t>
      </w:r>
    </w:p>
    <w:p>
      <w:pPr>
        <w:spacing w:after="60" w:before="160"/>
      </w:pPr>
      <w:r>
        <w:rPr>
          <w:b/>
          <w:bCs/>
          <w:color w:val="333333"/>
          <w:sz w:val="21"/>
          <w:szCs w:val="21"/>
        </w:rPr>
        <w:t xml:space="preserve">📍 Tese fixada / Decisão</w:t>
      </w:r>
    </w:p>
    <w:p>
      <w:pPr>
        <w:spacing w:after="100"/>
      </w:pPr>
      <w:r>
        <w:rPr>
          <w:i/>
          <w:iCs/>
          <w:sz w:val="20"/>
          <w:szCs w:val="20"/>
        </w:rPr>
        <w:t xml:space="preserve">São inadmissíveis as provas derivadas de prova ilícita (teoria dos frutos da árvore envenenada), salvo (i) quando não evidenciado o nexo de causalidade entre elas (fonte independente) ou (ii) quando a prova seria inevitavelmente descoberta por meios lícitos e regulares de investigação (descoberta inevitável).</w:t>
      </w:r>
    </w:p>
    <w:p>
      <w:pPr>
        <w:spacing w:after="60" w:before="160"/>
      </w:pPr>
      <w:r>
        <w:rPr>
          <w:b/>
          <w:bCs/>
          <w:color w:val="333333"/>
          <w:sz w:val="21"/>
          <w:szCs w:val="21"/>
        </w:rPr>
        <w:t xml:space="preserve">📚 Resumo do caso</w:t>
      </w:r>
    </w:p>
    <w:p>
      <w:pPr>
        <w:spacing w:after="100"/>
      </w:pPr>
      <w:r>
        <w:rPr>
          <w:sz w:val="20"/>
          <w:szCs w:val="20"/>
        </w:rPr>
        <w:t xml:space="preserve">É o tema mais recorrente de toda a matéria "Provas" nos cadernos de questões FGV analisados. O art. 157, §1º, do CPP positivou a teoria da ilicitude por derivação; o §2º, apesar de nominalmente tratar de "fonte independente", conceitua, segundo a doutrina majoritária (Renato Brasileiro, Eugênio Pacelli), a teoria da descoberta inevitável. A distinção entre as duas é frequentemente cobrada: na fonte independente não há nexo causal entre as provas; na descoberta inevitável há nexo causal, mas a prova seria de qualquer modo obtida por vias regulares.</w:t>
      </w:r>
    </w:p>
    <w:p>
      <w:pPr>
        <w:spacing w:after="60" w:before="160"/>
      </w:pPr>
      <w:r>
        <w:rPr>
          <w:b/>
          <w:bCs/>
          <w:color w:val="333333"/>
          <w:sz w:val="21"/>
          <w:szCs w:val="21"/>
        </w:rPr>
        <w:t xml:space="preserve">🎯 Como pode ser cobrado em prova</w:t>
      </w:r>
    </w:p>
    <w:p>
      <w:pPr>
        <w:spacing w:after="60"/>
        <w:ind w:left="260"/>
      </w:pPr>
      <w:r>
        <w:rPr>
          <w:b/>
          <w:bCs/>
          <w:i/>
          <w:iCs/>
          <w:sz w:val="20"/>
          <w:szCs w:val="20"/>
        </w:rPr>
        <w:t xml:space="preserve">Objetiva: </w:t>
      </w:r>
      <w:r>
        <w:rPr>
          <w:sz w:val="20"/>
          <w:szCs w:val="20"/>
        </w:rPr>
        <w:t xml:space="preserve">Confundir os conceitos dos §§1º e 2º do art. 157; questionar se basta a existência de nexo de causalidade remoto para contaminar toda a cadeia probatória (não basta — é preciso nexo causal efetivo, sem as exceções legais).</w:t>
      </w:r>
    </w:p>
    <w:p>
      <w:pPr>
        <w:spacing w:after="60"/>
        <w:ind w:left="260"/>
      </w:pPr>
      <w:r>
        <w:rPr>
          <w:b/>
          <w:bCs/>
          <w:i/>
          <w:iCs/>
          <w:sz w:val="20"/>
          <w:szCs w:val="20"/>
        </w:rPr>
        <w:t xml:space="preserve">Discursiva: </w:t>
      </w:r>
      <w:r>
        <w:rPr>
          <w:sz w:val="20"/>
          <w:szCs w:val="20"/>
        </w:rPr>
        <w:t xml:space="preserve">Caso de busca e apreensão fundada em informação obtida por interceptação telefônica ilegal, exigindo do candidato identificar se há prova ilícita por derivação, fonte independente ou descoberta inevitável.</w:t>
      </w:r>
    </w:p>
    <w:p>
      <w:pPr>
        <w:spacing w:after="60"/>
        <w:ind w:left="260"/>
      </w:pPr>
      <w:r>
        <w:rPr>
          <w:b/>
          <w:bCs/>
          <w:i/>
          <w:iCs/>
          <w:sz w:val="20"/>
          <w:szCs w:val="20"/>
        </w:rPr>
        <w:t xml:space="preserve">Oral: </w:t>
      </w:r>
      <w:r>
        <w:rPr>
          <w:sz w:val="20"/>
          <w:szCs w:val="20"/>
        </w:rPr>
        <w:t xml:space="preserve">Diferencie a teoria da fonte independente da teoria da descoberta inevitável, à luz do art. 157 do CPP.</w:t>
      </w:r>
    </w:p>
    <w:p>
      <w:pPr>
        <w:spacing w:after="60" w:before="160"/>
      </w:pPr>
      <w:r>
        <w:rPr>
          <w:b/>
          <w:bCs/>
          <w:color w:val="333333"/>
          <w:sz w:val="21"/>
          <w:szCs w:val="21"/>
        </w:rPr>
        <w:t xml:space="preserve">🔗 Conexões</w:t>
      </w:r>
    </w:p>
    <w:p>
      <w:pPr>
        <w:spacing w:after="100"/>
      </w:pPr>
      <w:r>
        <w:rPr>
          <w:sz w:val="20"/>
          <w:szCs w:val="20"/>
        </w:rPr>
        <w:t xml:space="preserve">Ver fichas seguintes (2.2 a 2.5) para aplicações concretas recentes; Cartórios/TJSP-2024, MPM-2021, TJGO-2023, PF-2025 (todos cobraram a distinção).</w:t>
      </w:r>
    </w:p>
    <w:p>
      <w:pPr>
        <w:pBdr>
          <w:bottom w:val="single" w:color="8B1A1A" w:sz="12" w:space="4"/>
        </w:pBdr>
        <w:spacing w:after="200" w:before="120"/>
      </w:pPr>
    </w:p>
    <w:p>
      <w:pPr>
        <w:shd w:fill="FBEAEA" w:color="auto" w:val="clear"/>
        <w:spacing w:after="40" w:before="240"/>
      </w:pPr>
      <w:bookmarkStart w:name="ficha_5" w:id="1"/>
      <w:r>
        <w:rPr>
          <w:b/>
          <w:bCs/>
          <w:color w:val="8B1A1A"/>
          <w:sz w:val="24"/>
          <w:szCs w:val="24"/>
        </w:rPr>
        <w:t xml:space="preserve">📌 2.2  Fonte independente após novo acesso lícito a celular (whatsapp)</w:t>
      </w:r>
      <w:bookmarkEnd w:id="1"/>
    </w:p>
    <w:p>
      <w:pPr>
        <w:spacing w:after="60"/>
      </w:pPr>
      <w:r>
        <w:rPr>
          <w:b/>
          <w:bCs/>
          <w:color w:val="8B1A1A"/>
          <w:sz w:val="20"/>
          <w:szCs w:val="20"/>
        </w:rPr>
        <w:t xml:space="preserve">Tribunal: </w:t>
      </w:r>
      <w:r>
        <w:rPr>
          <w:sz w:val="20"/>
          <w:szCs w:val="20"/>
        </w:rPr>
        <w:t xml:space="preserve">STJ   |   Órgão: 6ª Turma</w:t>
      </w:r>
    </w:p>
    <w:p>
      <w:pPr>
        <w:spacing w:after="60"/>
      </w:pPr>
      <w:r>
        <w:rPr>
          <w:b/>
          <w:bCs/>
          <w:color w:val="8B1A1A"/>
          <w:sz w:val="20"/>
          <w:szCs w:val="20"/>
        </w:rPr>
        <w:t xml:space="preserve">Processo/Relator/Data: </w:t>
      </w:r>
      <w:r>
        <w:rPr>
          <w:sz w:val="20"/>
          <w:szCs w:val="20"/>
        </w:rPr>
        <w:t xml:space="preserve">HC 1.035.054-SP, Rel. Min. Sebastião Reis Júnior, j. 18/11/2025 (Info 873)</w:t>
      </w:r>
    </w:p>
    <w:p>
      <w:pPr>
        <w:spacing w:after="60"/>
      </w:pPr>
      <w:r>
        <w:rPr>
          <w:b/>
          <w:bCs/>
          <w:color w:val="8B1A1A"/>
          <w:sz w:val="20"/>
          <w:szCs w:val="20"/>
        </w:rPr>
        <w:t xml:space="preserve">Sistemática: </w:t>
      </w:r>
      <w:r>
        <w:rPr>
          <w:sz w:val="20"/>
          <w:szCs w:val="20"/>
        </w:rPr>
        <w:t xml:space="preserve">Caso isolado</w:t>
      </w:r>
    </w:p>
    <w:p>
      <w:pPr>
        <w:spacing w:after="60" w:before="160"/>
      </w:pPr>
      <w:r>
        <w:rPr>
          <w:b/>
          <w:bCs/>
          <w:color w:val="333333"/>
          <w:sz w:val="21"/>
          <w:szCs w:val="21"/>
        </w:rPr>
        <w:t xml:space="preserve">📍 Tese fixada / Decisão</w:t>
      </w:r>
    </w:p>
    <w:p>
      <w:pPr>
        <w:spacing w:after="100"/>
      </w:pPr>
      <w:r>
        <w:rPr>
          <w:i/>
          <w:iCs/>
          <w:sz w:val="20"/>
          <w:szCs w:val="20"/>
        </w:rPr>
        <w:t xml:space="preserve">Ainda que ilícito o primeiro acesso a dados de celular (sem autorização judicial), a posterior extração dos mesmos dados com autorização judicial caracteriza prova de fonte independente (art. 157, §2º, CPP), pois era previsível que a investigação, seguindo seus trâmites regulares, obtivesse essa autorização.</w:t>
      </w:r>
    </w:p>
    <w:p>
      <w:pPr>
        <w:spacing w:after="60" w:before="160"/>
      </w:pPr>
      <w:r>
        <w:rPr>
          <w:b/>
          <w:bCs/>
          <w:color w:val="333333"/>
          <w:sz w:val="21"/>
          <w:szCs w:val="21"/>
        </w:rPr>
        <w:t xml:space="preserve">📚 Resumo do caso</w:t>
      </w:r>
    </w:p>
    <w:p>
      <w:pPr>
        <w:spacing w:after="100"/>
      </w:pPr>
      <w:r>
        <w:rPr>
          <w:sz w:val="20"/>
          <w:szCs w:val="20"/>
        </w:rPr>
        <w:t xml:space="preserve">Após prisão em flagrante por tráfico de drogas, a polícia acessou, sem autorização judicial, prints de conversas do WhatsApp do celular apreendido. O MP reconheceu a ilicitude, requereu o desentranhamento e, na mesma oportunidade, pediu e obteve autorização judicial para nova extração dos dados. O STJ considerou a segunda extração lícita, por fonte independente, afastando a tese defensiva de contaminação pela teoria dos frutos da árvore envenenada.</w:t>
      </w:r>
    </w:p>
    <w:p>
      <w:pPr>
        <w:spacing w:after="60" w:before="160"/>
      </w:pPr>
      <w:r>
        <w:rPr>
          <w:b/>
          <w:bCs/>
          <w:color w:val="333333"/>
          <w:sz w:val="21"/>
          <w:szCs w:val="21"/>
        </w:rPr>
        <w:t xml:space="preserve">🎯 Como pode ser cobrado em prova</w:t>
      </w:r>
    </w:p>
    <w:p>
      <w:pPr>
        <w:spacing w:after="60"/>
        <w:ind w:left="260"/>
      </w:pPr>
      <w:r>
        <w:rPr>
          <w:b/>
          <w:bCs/>
          <w:i/>
          <w:iCs/>
          <w:sz w:val="20"/>
          <w:szCs w:val="20"/>
        </w:rPr>
        <w:t xml:space="preserve">Objetiva: </w:t>
      </w:r>
      <w:r>
        <w:rPr>
          <w:sz w:val="20"/>
          <w:szCs w:val="20"/>
        </w:rPr>
        <w:t xml:space="preserve">Alternativa que sustente que qualquer acesso posterior aos mesmos dados estaria sempre contaminado pelo vício inicial (incorreta, diante da fonte independente).</w:t>
      </w:r>
    </w:p>
    <w:p>
      <w:pPr>
        <w:spacing w:after="60"/>
        <w:ind w:left="260"/>
      </w:pPr>
      <w:r>
        <w:rPr>
          <w:b/>
          <w:bCs/>
          <w:i/>
          <w:iCs/>
          <w:sz w:val="20"/>
          <w:szCs w:val="20"/>
        </w:rPr>
        <w:t xml:space="preserve">Discursiva: </w:t>
      </w:r>
      <w:r>
        <w:rPr>
          <w:sz w:val="20"/>
          <w:szCs w:val="20"/>
        </w:rPr>
        <w:t xml:space="preserve">Caso de celular apreendido em flagrante com dois momentos de extração de dados (um irregular, outro com autorização judicial) — exige aplicação de fonte independente.</w:t>
      </w:r>
    </w:p>
    <w:p>
      <w:pPr>
        <w:spacing w:after="60"/>
        <w:ind w:left="260"/>
      </w:pPr>
      <w:r>
        <w:rPr>
          <w:b/>
          <w:bCs/>
          <w:i/>
          <w:iCs/>
          <w:sz w:val="20"/>
          <w:szCs w:val="20"/>
        </w:rPr>
        <w:t xml:space="preserve">Oral: </w:t>
      </w:r>
      <w:r>
        <w:rPr>
          <w:sz w:val="20"/>
          <w:szCs w:val="20"/>
        </w:rPr>
        <w:t xml:space="preserve">Um primeiro acesso ilícito a dados de celular contamina definitivamente uma segunda extração, já com autorização judicial?</w:t>
      </w:r>
    </w:p>
    <w:p>
      <w:pPr>
        <w:spacing w:after="60" w:before="160"/>
      </w:pPr>
      <w:r>
        <w:rPr>
          <w:b/>
          <w:bCs/>
          <w:color w:val="333333"/>
          <w:sz w:val="21"/>
          <w:szCs w:val="21"/>
        </w:rPr>
        <w:t xml:space="preserve">🔗 Conexões</w:t>
      </w:r>
    </w:p>
    <w:p>
      <w:pPr>
        <w:spacing w:after="100"/>
      </w:pPr>
      <w:r>
        <w:rPr>
          <w:sz w:val="20"/>
          <w:szCs w:val="20"/>
        </w:rPr>
        <w:t xml:space="preserve">Art. 157, §2º, CPP; STF, Tema 977/RG (ficha 9.1); ficha 2.1.</w:t>
      </w:r>
    </w:p>
    <w:p>
      <w:pPr>
        <w:pBdr>
          <w:bottom w:val="single" w:color="8B1A1A" w:sz="12" w:space="4"/>
        </w:pBdr>
        <w:spacing w:after="200" w:before="120"/>
      </w:pPr>
    </w:p>
    <w:p>
      <w:pPr>
        <w:shd w:fill="FBEAEA" w:color="auto" w:val="clear"/>
        <w:spacing w:after="40" w:before="240"/>
      </w:pPr>
      <w:bookmarkStart w:name="ficha_6" w:id="1"/>
      <w:r>
        <w:rPr>
          <w:b/>
          <w:bCs/>
          <w:color w:val="8B1A1A"/>
          <w:sz w:val="24"/>
          <w:szCs w:val="24"/>
        </w:rPr>
        <w:t xml:space="preserve">📌 2.3  Prisão em flagrante ilegal contamina atos investigativos subsequentes</w:t>
      </w:r>
      <w:bookmarkEnd w:id="1"/>
    </w:p>
    <w:p>
      <w:pPr>
        <w:spacing w:after="60"/>
      </w:pPr>
      <w:r>
        <w:rPr>
          <w:b/>
          <w:bCs/>
          <w:color w:val="8B1A1A"/>
          <w:sz w:val="20"/>
          <w:szCs w:val="20"/>
        </w:rPr>
        <w:t xml:space="preserve">Tribunal: </w:t>
      </w:r>
      <w:r>
        <w:rPr>
          <w:sz w:val="20"/>
          <w:szCs w:val="20"/>
        </w:rPr>
        <w:t xml:space="preserve">STJ   |   Órgão: 5ª Turma</w:t>
      </w:r>
    </w:p>
    <w:p>
      <w:pPr>
        <w:spacing w:after="60"/>
      </w:pPr>
      <w:r>
        <w:rPr>
          <w:b/>
          <w:bCs/>
          <w:color w:val="8B1A1A"/>
          <w:sz w:val="20"/>
          <w:szCs w:val="20"/>
        </w:rPr>
        <w:t xml:space="preserve">Processo/Relator/Data: </w:t>
      </w:r>
      <w:r>
        <w:rPr>
          <w:sz w:val="20"/>
          <w:szCs w:val="20"/>
        </w:rPr>
        <w:t xml:space="preserve">AgRg no HC 1.041.047-GO, Rel. Min. Maria Marluce Caldas, j. 22/04/2026 (Info 891)</w:t>
      </w:r>
    </w:p>
    <w:p>
      <w:pPr>
        <w:spacing w:after="60"/>
      </w:pPr>
      <w:r>
        <w:rPr>
          <w:b/>
          <w:bCs/>
          <w:color w:val="8B1A1A"/>
          <w:sz w:val="20"/>
          <w:szCs w:val="20"/>
        </w:rPr>
        <w:t xml:space="preserve">Sistemática: </w:t>
      </w:r>
      <w:r>
        <w:rPr>
          <w:sz w:val="20"/>
          <w:szCs w:val="20"/>
        </w:rPr>
        <w:t xml:space="preserve">Caso isolado</w:t>
      </w:r>
    </w:p>
    <w:p>
      <w:pPr>
        <w:spacing w:after="60" w:before="160"/>
      </w:pPr>
      <w:r>
        <w:rPr>
          <w:b/>
          <w:bCs/>
          <w:color w:val="333333"/>
          <w:sz w:val="21"/>
          <w:szCs w:val="21"/>
        </w:rPr>
        <w:t xml:space="preserve">📍 Tese fixada / Decisão</w:t>
      </w:r>
    </w:p>
    <w:p>
      <w:pPr>
        <w:spacing w:after="100"/>
      </w:pPr>
      <w:r>
        <w:rPr>
          <w:i/>
          <w:iCs/>
          <w:sz w:val="20"/>
          <w:szCs w:val="20"/>
        </w:rPr>
        <w:t xml:space="preserve">A ilicitude da prisão em flagrante, por ausência das hipóteses do art. 302 do CPP, contamina os atos investigativos subsequentes (interrogatórios, apreensão e dados de celulares). O consentimento do investigado ou a autorização judicial posterior não afastam a nulidade quando evidenciado o nexo causal e inexistente fonte independente.</w:t>
      </w:r>
    </w:p>
    <w:p>
      <w:pPr>
        <w:spacing w:after="60" w:before="160"/>
      </w:pPr>
      <w:r>
        <w:rPr>
          <w:b/>
          <w:bCs/>
          <w:color w:val="333333"/>
          <w:sz w:val="21"/>
          <w:szCs w:val="21"/>
        </w:rPr>
        <w:t xml:space="preserve">📚 Resumo do caso</w:t>
      </w:r>
    </w:p>
    <w:p>
      <w:pPr>
        <w:spacing w:after="100"/>
      </w:pPr>
      <w:r>
        <w:rPr>
          <w:sz w:val="20"/>
          <w:szCs w:val="20"/>
        </w:rPr>
        <w:t xml:space="preserve">Policiais prenderam em flagrante dois suspeitos de estelionato sem que estivessem em situação de flagrância (art. 302, CPP), apreendendo seus celulares com consentimento dos presos para acesso aos dados. O STJ reconheceu a ilegalidade da prisão e, por decorrência, a nulidade de todo o material colhido a partir dela — inclusive com consentimento —, por ausência de fonte independente.</w:t>
      </w:r>
    </w:p>
    <w:p>
      <w:pPr>
        <w:spacing w:after="60" w:before="160"/>
      </w:pPr>
      <w:r>
        <w:rPr>
          <w:b/>
          <w:bCs/>
          <w:color w:val="333333"/>
          <w:sz w:val="21"/>
          <w:szCs w:val="21"/>
        </w:rPr>
        <w:t xml:space="preserve">🎯 Como pode ser cobrado em prova</w:t>
      </w:r>
    </w:p>
    <w:p>
      <w:pPr>
        <w:spacing w:after="60"/>
        <w:ind w:left="260"/>
      </w:pPr>
      <w:r>
        <w:rPr>
          <w:b/>
          <w:bCs/>
          <w:i/>
          <w:iCs/>
          <w:sz w:val="20"/>
          <w:szCs w:val="20"/>
        </w:rPr>
        <w:t xml:space="preserve">Objetiva: </w:t>
      </w:r>
      <w:r>
        <w:rPr>
          <w:sz w:val="20"/>
          <w:szCs w:val="20"/>
        </w:rPr>
        <w:t xml:space="preserve">Alternativa sugerindo que o consentimento do investigado sempre "purifica" a prova (incorreto, quando há nexo causal com prisão ilegal).</w:t>
      </w:r>
    </w:p>
    <w:p>
      <w:pPr>
        <w:spacing w:after="60"/>
        <w:ind w:left="260"/>
      </w:pPr>
      <w:r>
        <w:rPr>
          <w:b/>
          <w:bCs/>
          <w:i/>
          <w:iCs/>
          <w:sz w:val="20"/>
          <w:szCs w:val="20"/>
        </w:rPr>
        <w:t xml:space="preserve">Discursiva: </w:t>
      </w:r>
      <w:r>
        <w:rPr>
          <w:sz w:val="20"/>
          <w:szCs w:val="20"/>
        </w:rPr>
        <w:t xml:space="preserve">HC contra condenação lastreada em provas obtidas após prisão em flagrante irregular, mesmo com aquiescência do preso.</w:t>
      </w:r>
    </w:p>
    <w:p>
      <w:pPr>
        <w:spacing w:after="60"/>
        <w:ind w:left="260"/>
      </w:pPr>
      <w:r>
        <w:rPr>
          <w:b/>
          <w:bCs/>
          <w:i/>
          <w:iCs/>
          <w:sz w:val="20"/>
          <w:szCs w:val="20"/>
        </w:rPr>
        <w:t xml:space="preserve">Oral: </w:t>
      </w:r>
      <w:r>
        <w:rPr>
          <w:sz w:val="20"/>
          <w:szCs w:val="20"/>
        </w:rPr>
        <w:t xml:space="preserve">O consentimento do preso para acesso ao celular afasta a ilicitude decorrente de prisão em flagrante irregular?</w:t>
      </w:r>
    </w:p>
    <w:p>
      <w:pPr>
        <w:spacing w:after="60" w:before="160"/>
      </w:pPr>
      <w:r>
        <w:rPr>
          <w:b/>
          <w:bCs/>
          <w:color w:val="333333"/>
          <w:sz w:val="21"/>
          <w:szCs w:val="21"/>
        </w:rPr>
        <w:t xml:space="preserve">🔗 Conexões</w:t>
      </w:r>
    </w:p>
    <w:p>
      <w:pPr>
        <w:spacing w:after="100"/>
      </w:pPr>
      <w:r>
        <w:rPr>
          <w:sz w:val="20"/>
          <w:szCs w:val="20"/>
        </w:rPr>
        <w:t xml:space="preserve">Art. 302, CPP; teoria dos frutos da árvore envenenada (ficha 2.1); contraste com ficha 2.2 (fonte independente reconhecida).</w:t>
      </w:r>
    </w:p>
    <w:p>
      <w:pPr>
        <w:pBdr>
          <w:bottom w:val="single" w:color="8B1A1A" w:sz="12" w:space="4"/>
        </w:pBdr>
        <w:spacing w:after="200" w:before="120"/>
      </w:pPr>
    </w:p>
    <w:p>
      <w:pPr>
        <w:shd w:fill="FBEAEA" w:color="auto" w:val="clear"/>
        <w:spacing w:after="40" w:before="240"/>
      </w:pPr>
      <w:bookmarkStart w:name="ficha_7" w:id="1"/>
      <w:r>
        <w:rPr>
          <w:b/>
          <w:bCs/>
          <w:color w:val="8B1A1A"/>
          <w:sz w:val="24"/>
          <w:szCs w:val="24"/>
        </w:rPr>
        <w:t xml:space="preserve">📌 2.4  Ilicitude da revista íntima não contamina a busca domiciliar (ausência de nexo causal)</w:t>
      </w:r>
      <w:bookmarkEnd w:id="1"/>
    </w:p>
    <w:p>
      <w:pPr>
        <w:spacing w:after="60"/>
      </w:pPr>
      <w:r>
        <w:rPr>
          <w:b/>
          <w:bCs/>
          <w:color w:val="8B1A1A"/>
          <w:sz w:val="20"/>
          <w:szCs w:val="20"/>
        </w:rPr>
        <w:t xml:space="preserve">Tribunal: </w:t>
      </w:r>
      <w:r>
        <w:rPr>
          <w:sz w:val="20"/>
          <w:szCs w:val="20"/>
        </w:rPr>
        <w:t xml:space="preserve">STJ   |   Órgão: 6ª Turma</w:t>
      </w:r>
    </w:p>
    <w:p>
      <w:pPr>
        <w:spacing w:after="60"/>
      </w:pPr>
      <w:r>
        <w:rPr>
          <w:b/>
          <w:bCs/>
          <w:color w:val="8B1A1A"/>
          <w:sz w:val="20"/>
          <w:szCs w:val="20"/>
        </w:rPr>
        <w:t xml:space="preserve">Processo/Relator/Data: </w:t>
      </w:r>
      <w:r>
        <w:rPr>
          <w:sz w:val="20"/>
          <w:szCs w:val="20"/>
        </w:rPr>
        <w:t xml:space="preserve">REsp 2.159.111-RS, Rel. Min. Rogerio Schietti Cruz, j. 06/05/2025 (Info 854)</w:t>
      </w:r>
    </w:p>
    <w:p>
      <w:pPr>
        <w:spacing w:after="60"/>
      </w:pPr>
      <w:r>
        <w:rPr>
          <w:b/>
          <w:bCs/>
          <w:color w:val="8B1A1A"/>
          <w:sz w:val="20"/>
          <w:szCs w:val="20"/>
        </w:rPr>
        <w:t xml:space="preserve">Sistemática: </w:t>
      </w:r>
      <w:r>
        <w:rPr>
          <w:sz w:val="20"/>
          <w:szCs w:val="20"/>
        </w:rPr>
        <w:t xml:space="preserve">Caso isolado</w:t>
      </w:r>
    </w:p>
    <w:p>
      <w:pPr>
        <w:spacing w:after="60" w:before="160"/>
      </w:pPr>
      <w:r>
        <w:rPr>
          <w:b/>
          <w:bCs/>
          <w:color w:val="333333"/>
          <w:sz w:val="21"/>
          <w:szCs w:val="21"/>
        </w:rPr>
        <w:t xml:space="preserve">📍 Tese fixada / Decisão</w:t>
      </w:r>
    </w:p>
    <w:p>
      <w:pPr>
        <w:spacing w:after="100"/>
      </w:pPr>
      <w:r>
        <w:rPr>
          <w:i/>
          <w:iCs/>
          <w:sz w:val="20"/>
          <w:szCs w:val="20"/>
        </w:rPr>
        <w:t xml:space="preserve">São ilícitas as revistas íntimas desnecessárias e injustificadas, mas essa ilicitude não contamina, por derivação, as provas colhidas na busca domiciliar realizada no mesmo procedimento, por inexistência de nexo de causalidade entre os dois meios de obtenção de prova.</w:t>
      </w:r>
    </w:p>
    <w:p>
      <w:pPr>
        <w:spacing w:after="60" w:before="160"/>
      </w:pPr>
      <w:r>
        <w:rPr>
          <w:b/>
          <w:bCs/>
          <w:color w:val="333333"/>
          <w:sz w:val="21"/>
          <w:szCs w:val="21"/>
        </w:rPr>
        <w:t xml:space="preserve">📚 Resumo do caso</w:t>
      </w:r>
    </w:p>
    <w:p>
      <w:pPr>
        <w:spacing w:after="100"/>
      </w:pPr>
      <w:r>
        <w:rPr>
          <w:sz w:val="20"/>
          <w:szCs w:val="20"/>
        </w:rPr>
        <w:t xml:space="preserve">Durante o cumprimento de mandado de busca domiciliar que resultou na apreensão de drogas, a investigada foi submetida a revista íntima vexatória e injustificada, sem que nada fosse encontrado em seu corpo. O STJ reconheceu a ilicitude da revista íntima (grave violação à dignidade da pessoa humana), mas manteve a validade das provas apreendidas na residência, por não haver nexo causal entre os dois atos.</w:t>
      </w:r>
    </w:p>
    <w:p>
      <w:pPr>
        <w:spacing w:after="60" w:before="160"/>
      </w:pPr>
      <w:r>
        <w:rPr>
          <w:b/>
          <w:bCs/>
          <w:color w:val="333333"/>
          <w:sz w:val="21"/>
          <w:szCs w:val="21"/>
        </w:rPr>
        <w:t xml:space="preserve">🎯 Como pode ser cobrado em prova</w:t>
      </w:r>
    </w:p>
    <w:p>
      <w:pPr>
        <w:spacing w:after="60"/>
        <w:ind w:left="260"/>
      </w:pPr>
      <w:r>
        <w:rPr>
          <w:b/>
          <w:bCs/>
          <w:i/>
          <w:iCs/>
          <w:sz w:val="20"/>
          <w:szCs w:val="20"/>
        </w:rPr>
        <w:t xml:space="preserve">Objetiva: </w:t>
      </w:r>
      <w:r>
        <w:rPr>
          <w:sz w:val="20"/>
          <w:szCs w:val="20"/>
        </w:rPr>
        <w:t xml:space="preserve">Alternativa que generalize a nulidade de toda a diligência por causa de um ato ilícito acessório e sem nexo causal com a prova principal.</w:t>
      </w:r>
    </w:p>
    <w:p>
      <w:pPr>
        <w:spacing w:after="60"/>
        <w:ind w:left="260"/>
      </w:pPr>
      <w:r>
        <w:rPr>
          <w:b/>
          <w:bCs/>
          <w:i/>
          <w:iCs/>
          <w:sz w:val="20"/>
          <w:szCs w:val="20"/>
        </w:rPr>
        <w:t xml:space="preserve">Discursiva: </w:t>
      </w:r>
      <w:r>
        <w:rPr>
          <w:sz w:val="20"/>
          <w:szCs w:val="20"/>
        </w:rPr>
        <w:t xml:space="preserve">Caso de busca domiciliar válida acompanhada de excesso ilícito da polícia (revista vexatória): pede-se a distinção entre a prova principal e o ato acessório ilícito, e eventual responsabilização dos agentes.</w:t>
      </w:r>
    </w:p>
    <w:p>
      <w:pPr>
        <w:spacing w:after="60"/>
        <w:ind w:left="260"/>
      </w:pPr>
      <w:r>
        <w:rPr>
          <w:b/>
          <w:bCs/>
          <w:i/>
          <w:iCs/>
          <w:sz w:val="20"/>
          <w:szCs w:val="20"/>
        </w:rPr>
        <w:t xml:space="preserve">Oral: </w:t>
      </w:r>
      <w:r>
        <w:rPr>
          <w:sz w:val="20"/>
          <w:szCs w:val="20"/>
        </w:rPr>
        <w:t xml:space="preserve">Um excesso ilícito cometido pela polícia durante o cumprimento de mandado de busca contamina, necessariamente, as provas nele colhidas?</w:t>
      </w:r>
    </w:p>
    <w:p>
      <w:pPr>
        <w:spacing w:after="60" w:before="160"/>
      </w:pPr>
      <w:r>
        <w:rPr>
          <w:b/>
          <w:bCs/>
          <w:color w:val="333333"/>
          <w:sz w:val="21"/>
          <w:szCs w:val="21"/>
        </w:rPr>
        <w:t xml:space="preserve">🔗 Conexões</w:t>
      </w:r>
    </w:p>
    <w:p>
      <w:pPr>
        <w:spacing w:after="100"/>
      </w:pPr>
      <w:r>
        <w:rPr>
          <w:sz w:val="20"/>
          <w:szCs w:val="20"/>
        </w:rPr>
        <w:t xml:space="preserve">Fonte independente / ausência de nexo causal (ficha 2.1); dignidade da pessoa humana (art. 1º, III, CF).</w:t>
      </w:r>
    </w:p>
    <w:p>
      <w:pPr>
        <w:pBdr>
          <w:bottom w:val="single" w:color="8B1A1A" w:sz="12" w:space="4"/>
        </w:pBdr>
        <w:spacing w:after="200" w:before="120"/>
      </w:pPr>
    </w:p>
    <w:p>
      <w:pPr>
        <w:shd w:fill="FBEAEA" w:color="auto" w:val="clear"/>
        <w:spacing w:after="40" w:before="240"/>
      </w:pPr>
      <w:bookmarkStart w:name="ficha_8" w:id="1"/>
      <w:r>
        <w:rPr>
          <w:b/>
          <w:bCs/>
          <w:color w:val="8B1A1A"/>
          <w:sz w:val="24"/>
          <w:szCs w:val="24"/>
        </w:rPr>
        <w:t xml:space="preserve">📌 2.5  Cooperação jurídica internacional: prova utilizada em processo conexo</w:t>
      </w:r>
      <w:bookmarkEnd w:id="1"/>
    </w:p>
    <w:p>
      <w:pPr>
        <w:spacing w:after="60"/>
      </w:pPr>
      <w:r>
        <w:rPr>
          <w:b/>
          <w:bCs/>
          <w:color w:val="8B1A1A"/>
          <w:sz w:val="20"/>
          <w:szCs w:val="20"/>
        </w:rPr>
        <w:t xml:space="preserve">Tribunal: </w:t>
      </w:r>
      <w:r>
        <w:rPr>
          <w:sz w:val="20"/>
          <w:szCs w:val="20"/>
        </w:rPr>
        <w:t xml:space="preserve">STF   |   Órgão: 2ª Turma</w:t>
      </w:r>
    </w:p>
    <w:p>
      <w:pPr>
        <w:spacing w:after="60"/>
      </w:pPr>
      <w:r>
        <w:rPr>
          <w:b/>
          <w:bCs/>
          <w:color w:val="8B1A1A"/>
          <w:sz w:val="20"/>
          <w:szCs w:val="20"/>
        </w:rPr>
        <w:t xml:space="preserve">Processo/Relator/Data: </w:t>
      </w:r>
      <w:r>
        <w:rPr>
          <w:sz w:val="20"/>
          <w:szCs w:val="20"/>
        </w:rPr>
        <w:t xml:space="preserve">HC 209.854 AgR/PR, Rel. Min. Edson Fachin, j. 17/06/2025 (Info 1183)</w:t>
      </w:r>
    </w:p>
    <w:p>
      <w:pPr>
        <w:spacing w:after="60"/>
      </w:pPr>
      <w:r>
        <w:rPr>
          <w:b/>
          <w:bCs/>
          <w:color w:val="8B1A1A"/>
          <w:sz w:val="20"/>
          <w:szCs w:val="20"/>
        </w:rPr>
        <w:t xml:space="preserve">Sistemática: </w:t>
      </w:r>
      <w:r>
        <w:rPr>
          <w:sz w:val="20"/>
          <w:szCs w:val="20"/>
        </w:rPr>
        <w:t xml:space="preserve">Caso isolado</w:t>
      </w:r>
    </w:p>
    <w:p>
      <w:pPr>
        <w:spacing w:after="60" w:before="160"/>
      </w:pPr>
      <w:r>
        <w:rPr>
          <w:b/>
          <w:bCs/>
          <w:color w:val="333333"/>
          <w:sz w:val="21"/>
          <w:szCs w:val="21"/>
        </w:rPr>
        <w:t xml:space="preserve">📍 Tese fixada / Decisão</w:t>
      </w:r>
    </w:p>
    <w:p>
      <w:pPr>
        <w:spacing w:after="100"/>
      </w:pPr>
      <w:r>
        <w:rPr>
          <w:i/>
          <w:iCs/>
          <w:sz w:val="20"/>
          <w:szCs w:val="20"/>
        </w:rPr>
        <w:t xml:space="preserve">Não há violação ao princípio da especialidade da cooperação jurídica internacional, tampouco quebra da cadeia de custódia, quando demonstrada a conexão entre os fatos que justificou o uso de documentos obtidos no exterior também em ação penal conexa à mencionada no pedido de cooperação.</w:t>
      </w:r>
    </w:p>
    <w:p>
      <w:pPr>
        <w:spacing w:after="60" w:before="160"/>
      </w:pPr>
      <w:r>
        <w:rPr>
          <w:b/>
          <w:bCs/>
          <w:color w:val="333333"/>
          <w:sz w:val="21"/>
          <w:szCs w:val="21"/>
        </w:rPr>
        <w:t xml:space="preserve">📚 Resumo do caso</w:t>
      </w:r>
    </w:p>
    <w:p>
      <w:pPr>
        <w:spacing w:after="100"/>
      </w:pPr>
      <w:r>
        <w:rPr>
          <w:sz w:val="20"/>
          <w:szCs w:val="20"/>
        </w:rPr>
        <w:t xml:space="preserve">Documentos bancários obtidos de Luxemburgo para instruir ação penal contra um ex-diretor da Petrobras foram depois usados para denunciar um doleiro por lavagem de dinheiro, em ação penal conexa. A defesa alegou violação ao princípio da especialidade e quebra de cadeia de custódia. O STF afastou ambas as teses, por haver conexão direta entre os fatos e regularidade no trâmite da cooperação.</w:t>
      </w:r>
    </w:p>
    <w:p>
      <w:pPr>
        <w:spacing w:after="60" w:before="160"/>
      </w:pPr>
      <w:r>
        <w:rPr>
          <w:b/>
          <w:bCs/>
          <w:color w:val="333333"/>
          <w:sz w:val="21"/>
          <w:szCs w:val="21"/>
        </w:rPr>
        <w:t xml:space="preserve">🎯 Como pode ser cobrado em prova</w:t>
      </w:r>
    </w:p>
    <w:p>
      <w:pPr>
        <w:spacing w:after="60"/>
        <w:ind w:left="260"/>
      </w:pPr>
      <w:r>
        <w:rPr>
          <w:b/>
          <w:bCs/>
          <w:i/>
          <w:iCs/>
          <w:sz w:val="20"/>
          <w:szCs w:val="20"/>
        </w:rPr>
        <w:t xml:space="preserve">Objetiva: </w:t>
      </w:r>
      <w:r>
        <w:rPr>
          <w:sz w:val="20"/>
          <w:szCs w:val="20"/>
        </w:rPr>
        <w:t xml:space="preserve">Alternativa que trate o princípio da especialidade como absoluto, impedindo qualquer uso da prova fora do processo original (incorreto, se há conexão).</w:t>
      </w:r>
    </w:p>
    <w:p>
      <w:pPr>
        <w:spacing w:after="60"/>
        <w:ind w:left="260"/>
      </w:pPr>
      <w:r>
        <w:rPr>
          <w:b/>
          <w:bCs/>
          <w:i/>
          <w:iCs/>
          <w:sz w:val="20"/>
          <w:szCs w:val="20"/>
        </w:rPr>
        <w:t xml:space="preserve">Discursiva: </w:t>
      </w:r>
      <w:r>
        <w:rPr>
          <w:sz w:val="20"/>
          <w:szCs w:val="20"/>
        </w:rPr>
        <w:t xml:space="preserve">Denúncia baseada em provas obtidas por cooperação internacional em processo distinto do inicialmente autorizado — exige análise da conexão fática.</w:t>
      </w:r>
    </w:p>
    <w:p>
      <w:pPr>
        <w:spacing w:after="60"/>
        <w:ind w:left="260"/>
      </w:pPr>
      <w:r>
        <w:rPr>
          <w:b/>
          <w:bCs/>
          <w:i/>
          <w:iCs/>
          <w:sz w:val="20"/>
          <w:szCs w:val="20"/>
        </w:rPr>
        <w:t xml:space="preserve">Oral: </w:t>
      </w:r>
      <w:r>
        <w:rPr>
          <w:sz w:val="20"/>
          <w:szCs w:val="20"/>
        </w:rPr>
        <w:t xml:space="preserve">O princípio da especialidade impede, de forma absoluta, o uso de provas de cooperação internacional em processos conexos?</w:t>
      </w:r>
    </w:p>
    <w:p>
      <w:pPr>
        <w:spacing w:after="60" w:before="160"/>
      </w:pPr>
      <w:r>
        <w:rPr>
          <w:b/>
          <w:bCs/>
          <w:color w:val="333333"/>
          <w:sz w:val="21"/>
          <w:szCs w:val="21"/>
        </w:rPr>
        <w:t xml:space="preserve">🔗 Conexões</w:t>
      </w:r>
    </w:p>
    <w:p>
      <w:pPr>
        <w:spacing w:after="100"/>
      </w:pPr>
      <w:r>
        <w:rPr>
          <w:sz w:val="20"/>
          <w:szCs w:val="20"/>
        </w:rPr>
        <w:t xml:space="preserve">Ficha 10.2 (lex diligentiae); cadeia de custódia (subtema 6).</w:t>
      </w:r>
    </w:p>
    <w:p>
      <w:pPr>
        <w:pBdr>
          <w:bottom w:val="single" w:color="8B1A1A" w:sz="12" w:space="4"/>
        </w:pBdr>
        <w:spacing w:after="200" w:before="120"/>
      </w:pPr>
    </w:p>
    <w:p>
      <w:pPr>
        <w:pStyle w:val="Heading1"/>
        <w:spacing w:after="160" w:before="320"/>
      </w:pPr>
      <w:bookmarkStart w:name="subtema_3" w:id="1"/>
      <w:r>
        <w:t xml:space="preserve">3. Poderes Instrutórios do Juiz e Sistema Acusatório (arts. 3º-A e 156, CPP)</w:t>
      </w:r>
      <w:bookmarkEnd w:id="1"/>
    </w:p>
    <w:p>
      <w:pPr>
        <w:shd w:fill="FBEAEA" w:color="auto" w:val="clear"/>
        <w:spacing w:after="40" w:before="240"/>
      </w:pPr>
      <w:bookmarkStart w:name="ficha_9" w:id="1"/>
      <w:r>
        <w:rPr>
          <w:b/>
          <w:bCs/>
          <w:color w:val="8B1A1A"/>
          <w:sz w:val="24"/>
          <w:szCs w:val="24"/>
        </w:rPr>
        <w:t xml:space="preserve">📌 3.1  Diligências de ofício do juiz para dirimir dúvida sobre ponto relevante (art. 156, II, CPP)</w:t>
      </w:r>
      <w:bookmarkEnd w:id="1"/>
    </w:p>
    <w:p>
      <w:pPr>
        <w:spacing w:after="60"/>
      </w:pPr>
      <w:r>
        <w:rPr>
          <w:b/>
          <w:bCs/>
          <w:color w:val="8B1A1A"/>
          <w:sz w:val="20"/>
          <w:szCs w:val="20"/>
        </w:rPr>
        <w:t xml:space="preserve">Tribunal: </w:t>
      </w:r>
      <w:r>
        <w:rPr>
          <w:sz w:val="20"/>
          <w:szCs w:val="20"/>
        </w:rPr>
        <w:t xml:space="preserve">Tese legal consolidada por reiterada jurisprudência do STJ e do STF</w:t>
      </w:r>
    </w:p>
    <w:p>
      <w:pPr>
        <w:spacing w:after="60"/>
      </w:pPr>
      <w:r>
        <w:rPr>
          <w:b/>
          <w:bCs/>
          <w:color w:val="8B1A1A"/>
          <w:sz w:val="20"/>
          <w:szCs w:val="20"/>
        </w:rPr>
        <w:t xml:space="preserve">Processo/Relator/Data: </w:t>
      </w:r>
      <w:r>
        <w:rPr>
          <w:sz w:val="20"/>
          <w:szCs w:val="20"/>
        </w:rPr>
        <w:t xml:space="preserve">Art. 156, II, CPP (Lei 11.690/2008); aplicação recorrente em julgados de todas as Turmas do STJ</w:t>
      </w:r>
    </w:p>
    <w:p>
      <w:pPr>
        <w:spacing w:after="60"/>
      </w:pPr>
      <w:r>
        <w:rPr>
          <w:b/>
          <w:bCs/>
          <w:color w:val="8B1A1A"/>
          <w:sz w:val="20"/>
          <w:szCs w:val="20"/>
        </w:rPr>
        <w:t xml:space="preserve">Sistemática: </w:t>
      </w:r>
      <w:r>
        <w:rPr>
          <w:sz w:val="20"/>
          <w:szCs w:val="20"/>
        </w:rPr>
        <w:t xml:space="preserve">Tese normativa consolidada — é o dispositivo isoladamente mais cobrado em toda a matéria "Provas" nos cadernos FGV analisados (identificado em ao menos 7 questões de 2021 a 2026)</w:t>
      </w:r>
    </w:p>
    <w:p>
      <w:pPr>
        <w:spacing w:after="60" w:before="160"/>
      </w:pPr>
      <w:r>
        <w:rPr>
          <w:b/>
          <w:bCs/>
          <w:color w:val="333333"/>
          <w:sz w:val="21"/>
          <w:szCs w:val="21"/>
        </w:rPr>
        <w:t xml:space="preserve">📍 Tese fixada / Decisão</w:t>
      </w:r>
    </w:p>
    <w:p>
      <w:pPr>
        <w:spacing w:after="100"/>
      </w:pPr>
      <w:r>
        <w:rPr>
          <w:i/>
          <w:iCs/>
          <w:sz w:val="20"/>
          <w:szCs w:val="20"/>
        </w:rPr>
        <w:t xml:space="preserve">É facultado ao juiz, de ofício, determinar, no curso da instrução ou antes de proferir sentença, a realização de diligências para dirimir dúvida sobre ponto relevante (art. 156, II, CPP) — inclusive requisitar exame pericial não requerido pelas partes (confronto balístico, exame de esperma etc.) —, sem que isso configure quebra de imparcialidade ou reabertura de prazo preclusivo.</w:t>
      </w:r>
    </w:p>
    <w:p>
      <w:pPr>
        <w:spacing w:after="60" w:before="160"/>
      </w:pPr>
      <w:r>
        <w:rPr>
          <w:b/>
          <w:bCs/>
          <w:color w:val="333333"/>
          <w:sz w:val="21"/>
          <w:szCs w:val="21"/>
        </w:rPr>
        <w:t xml:space="preserve">📚 Resumo do caso</w:t>
      </w:r>
    </w:p>
    <w:p>
      <w:pPr>
        <w:spacing w:after="100"/>
      </w:pPr>
      <w:r>
        <w:rPr>
          <w:sz w:val="20"/>
          <w:szCs w:val="20"/>
        </w:rPr>
        <w:t xml:space="preserve">Trata-se do dispositivo mais reiteradamente cobrado pela banca FGV em toda a matéria de provas no processo penal: em praticamente todos os cadernos analisados (TJMT-2024, TJPR-2023, TJMS-2023, MPRJ-2025/2026, TJPR-2021), a situação hipotética é a mesma — o juiz, de ofício, determina uma diligência probatória (perícia, exame complementar) não requerida pelo MP nem pela defesa, após a instrução e antes da sentença/pronúncia, sob o fundamento de dirimir dúvida sobre ponto relevante. A resposta correta é invariavelmente pela legalidade da iniciativa, por expressa previsão do art. 156, II, do CPP, não havendo violação à imparcialidade nem exigência de anuência das partes.</w:t>
      </w:r>
    </w:p>
    <w:p>
      <w:pPr>
        <w:spacing w:after="60" w:before="160"/>
      </w:pPr>
      <w:r>
        <w:rPr>
          <w:b/>
          <w:bCs/>
          <w:color w:val="333333"/>
          <w:sz w:val="21"/>
          <w:szCs w:val="21"/>
        </w:rPr>
        <w:t xml:space="preserve">🎯 Como pode ser cobrado em prova</w:t>
      </w:r>
    </w:p>
    <w:p>
      <w:pPr>
        <w:spacing w:after="60"/>
        <w:ind w:left="260"/>
      </w:pPr>
      <w:r>
        <w:rPr>
          <w:b/>
          <w:bCs/>
          <w:i/>
          <w:iCs/>
          <w:sz w:val="20"/>
          <w:szCs w:val="20"/>
        </w:rPr>
        <w:t xml:space="preserve">Objetiva: </w:t>
      </w:r>
      <w:r>
        <w:rPr>
          <w:sz w:val="20"/>
          <w:szCs w:val="20"/>
        </w:rPr>
        <w:t xml:space="preserve">Alternativas que condicionam a diligência de ofício à prévia concordância do MP ou da defesa (incorreto); ou que a vedam por já ter ocorrido a preclusão da fase instrutória (incorreto — o próprio art. 156, II, autoriza mesmo "antes de proferir sentença").</w:t>
      </w:r>
    </w:p>
    <w:p>
      <w:pPr>
        <w:spacing w:after="60"/>
        <w:ind w:left="260"/>
      </w:pPr>
      <w:r>
        <w:rPr>
          <w:b/>
          <w:bCs/>
          <w:i/>
          <w:iCs/>
          <w:sz w:val="20"/>
          <w:szCs w:val="20"/>
        </w:rPr>
        <w:t xml:space="preserve">Discursiva: </w:t>
      </w:r>
      <w:r>
        <w:rPr>
          <w:sz w:val="20"/>
          <w:szCs w:val="20"/>
        </w:rPr>
        <w:t xml:space="preserve">Sentença/pronúncia em que faltou prova de ponto relevante (ex.: exame de confronto balístico, exame de corpo de delito) não requerida pelas partes — pede-se que o candidato, na condição de juiz, determine a diligência de ofício, fundamentando com o art. 156, II, do CPP e a jurisprudência que resguarda a compatibilidade com o sistema acusatório.</w:t>
      </w:r>
    </w:p>
    <w:p>
      <w:pPr>
        <w:spacing w:after="60"/>
        <w:ind w:left="260"/>
      </w:pPr>
      <w:r>
        <w:rPr>
          <w:b/>
          <w:bCs/>
          <w:i/>
          <w:iCs/>
          <w:sz w:val="20"/>
          <w:szCs w:val="20"/>
        </w:rPr>
        <w:t xml:space="preserve">Oral: </w:t>
      </w:r>
      <w:r>
        <w:rPr>
          <w:sz w:val="20"/>
          <w:szCs w:val="20"/>
        </w:rPr>
        <w:t xml:space="preserve">O juiz pode determinar, de ofício, a produção de uma prova pericial não requerida pelas partes? Em que momento? Isso viola o sistema acusatório?</w:t>
      </w:r>
    </w:p>
    <w:p>
      <w:pPr>
        <w:spacing w:after="60" w:before="160"/>
      </w:pPr>
      <w:r>
        <w:rPr>
          <w:b/>
          <w:bCs/>
          <w:color w:val="333333"/>
          <w:sz w:val="21"/>
          <w:szCs w:val="21"/>
        </w:rPr>
        <w:t xml:space="preserve">🔗 Conexões</w:t>
      </w:r>
    </w:p>
    <w:p>
      <w:pPr>
        <w:spacing w:after="100"/>
      </w:pPr>
      <w:r>
        <w:rPr>
          <w:sz w:val="20"/>
          <w:szCs w:val="20"/>
        </w:rPr>
        <w:t xml:space="preserve">Art. 156, I, CPP (produção antecipada de provas urgentes); ficha 3.2 (limites da iniciativa do juiz na fase investigatória); Súmula 361-STF (não se aplica ao caso, mas correlata a temas de instrução).</w:t>
      </w:r>
    </w:p>
    <w:p>
      <w:pPr>
        <w:pBdr>
          <w:bottom w:val="single" w:color="8B1A1A" w:sz="12" w:space="4"/>
        </w:pBdr>
        <w:spacing w:after="200" w:before="120"/>
      </w:pPr>
    </w:p>
    <w:p>
      <w:pPr>
        <w:shd w:fill="FBEAEA" w:color="auto" w:val="clear"/>
        <w:spacing w:after="40" w:before="240"/>
      </w:pPr>
      <w:bookmarkStart w:name="ficha_10" w:id="1"/>
      <w:r>
        <w:rPr>
          <w:b/>
          <w:bCs/>
          <w:color w:val="8B1A1A"/>
          <w:sz w:val="24"/>
          <w:szCs w:val="24"/>
        </w:rPr>
        <w:t xml:space="preserve">📌 3.2  Juiz não pode determinar de ofício, na investigação, busca e apreensão e quebra de sigilo além do requerido</w:t>
      </w:r>
      <w:bookmarkEnd w:id="1"/>
    </w:p>
    <w:p>
      <w:pPr>
        <w:spacing w:after="60"/>
      </w:pPr>
      <w:r>
        <w:rPr>
          <w:b/>
          <w:bCs/>
          <w:color w:val="8B1A1A"/>
          <w:sz w:val="20"/>
          <w:szCs w:val="20"/>
        </w:rPr>
        <w:t xml:space="preserve">Tribunal: </w:t>
      </w:r>
      <w:r>
        <w:rPr>
          <w:sz w:val="20"/>
          <w:szCs w:val="20"/>
        </w:rPr>
        <w:t xml:space="preserve">STJ   |   Órgão: 6ª Turma</w:t>
      </w:r>
    </w:p>
    <w:p>
      <w:pPr>
        <w:spacing w:after="60"/>
      </w:pPr>
      <w:r>
        <w:rPr>
          <w:b/>
          <w:bCs/>
          <w:color w:val="8B1A1A"/>
          <w:sz w:val="20"/>
          <w:szCs w:val="20"/>
        </w:rPr>
        <w:t xml:space="preserve">Processo/Relator/Data: </w:t>
      </w:r>
      <w:r>
        <w:rPr>
          <w:sz w:val="20"/>
          <w:szCs w:val="20"/>
        </w:rPr>
        <w:t xml:space="preserve">RHC 183.425-PR, Rel. Min. Sebastião Reis Júnior, j. 21/10/2025 (Info 868)</w:t>
      </w:r>
    </w:p>
    <w:p>
      <w:pPr>
        <w:spacing w:after="60"/>
      </w:pPr>
      <w:r>
        <w:rPr>
          <w:b/>
          <w:bCs/>
          <w:color w:val="8B1A1A"/>
          <w:sz w:val="20"/>
          <w:szCs w:val="20"/>
        </w:rPr>
        <w:t xml:space="preserve">Sistemática: </w:t>
      </w:r>
      <w:r>
        <w:rPr>
          <w:sz w:val="20"/>
          <w:szCs w:val="20"/>
        </w:rPr>
        <w:t xml:space="preserve">Caso isolado</w:t>
      </w:r>
    </w:p>
    <w:p>
      <w:pPr>
        <w:spacing w:after="60" w:before="160"/>
      </w:pPr>
      <w:r>
        <w:rPr>
          <w:b/>
          <w:bCs/>
          <w:color w:val="333333"/>
          <w:sz w:val="21"/>
          <w:szCs w:val="21"/>
        </w:rPr>
        <w:t xml:space="preserve">📍 Tese fixada / Decisão</w:t>
      </w:r>
    </w:p>
    <w:p>
      <w:pPr>
        <w:spacing w:after="100"/>
      </w:pPr>
      <w:r>
        <w:rPr>
          <w:i/>
          <w:iCs/>
          <w:sz w:val="20"/>
          <w:szCs w:val="20"/>
        </w:rPr>
        <w:t xml:space="preserve">A determinação, de ofício, pelo juiz, de busca e apreensão de dispositivos eletrônicos e de quebra de sigilo telemático, sem provocação do MP ou da autoridade policial, na fase de investigação, viola o sistema acusatório (art. 3º-A, CPP), ainda que o art. 242 do CPP autorize, em tese, a busca de ofício.</w:t>
      </w:r>
    </w:p>
    <w:p>
      <w:pPr>
        <w:spacing w:after="60" w:before="160"/>
      </w:pPr>
      <w:r>
        <w:rPr>
          <w:b/>
          <w:bCs/>
          <w:color w:val="333333"/>
          <w:sz w:val="21"/>
          <w:szCs w:val="21"/>
        </w:rPr>
        <w:t xml:space="preserve">📚 Resumo do caso</w:t>
      </w:r>
    </w:p>
    <w:p>
      <w:pPr>
        <w:spacing w:after="100"/>
      </w:pPr>
      <w:r>
        <w:rPr>
          <w:sz w:val="20"/>
          <w:szCs w:val="20"/>
        </w:rPr>
        <w:t xml:space="preserve">Delegado pediu apenas busca e apreensão de um veículo. O juiz, sem qualquer requerimento, ampliou a decisão para autorizar busca domiciliar, apreensão de todos os dispositivos eletrônicos e quebra de sigilo telemático amplo. O STJ considerou a decisão ilegal, por violação ao sistema acusatório: mesmo o art. 242 do CPP (busca de ofício) deve ser interpretado à luz do modelo acusatório da Lei 13.964/2019, vedando-se iniciativa judicial invasiva na fase pré-processual sem provocação.</w:t>
      </w:r>
    </w:p>
    <w:p>
      <w:pPr>
        <w:spacing w:after="60" w:before="160"/>
      </w:pPr>
      <w:r>
        <w:rPr>
          <w:b/>
          <w:bCs/>
          <w:color w:val="333333"/>
          <w:sz w:val="21"/>
          <w:szCs w:val="21"/>
        </w:rPr>
        <w:t xml:space="preserve">🎯 Como pode ser cobrado em prova</w:t>
      </w:r>
    </w:p>
    <w:p>
      <w:pPr>
        <w:spacing w:after="60"/>
        <w:ind w:left="260"/>
      </w:pPr>
      <w:r>
        <w:rPr>
          <w:b/>
          <w:bCs/>
          <w:i/>
          <w:iCs/>
          <w:sz w:val="20"/>
          <w:szCs w:val="20"/>
        </w:rPr>
        <w:t xml:space="preserve">Objetiva: </w:t>
      </w:r>
      <w:r>
        <w:rPr>
          <w:sz w:val="20"/>
          <w:szCs w:val="20"/>
        </w:rPr>
        <w:t xml:space="preserve">Contrastar com a ficha 3.1: aqui a vedação é para medidas invasivas na fase de INVESTIGAÇÃO, sem provocação; lá a permissão é para diligências instrutórias durante o PROCESSO, para dirimir dúvida. É comum a banca explorar essa distinção temporal/de contexto.</w:t>
      </w:r>
    </w:p>
    <w:p>
      <w:pPr>
        <w:spacing w:after="60"/>
        <w:ind w:left="260"/>
      </w:pPr>
      <w:r>
        <w:rPr>
          <w:b/>
          <w:bCs/>
          <w:i/>
          <w:iCs/>
          <w:sz w:val="20"/>
          <w:szCs w:val="20"/>
        </w:rPr>
        <w:t xml:space="preserve">Discursiva: </w:t>
      </w:r>
      <w:r>
        <w:rPr>
          <w:sz w:val="20"/>
          <w:szCs w:val="20"/>
        </w:rPr>
        <w:t xml:space="preserve">Caso de decisão judicial na fase inquisitorial que extrapola o pedido da autoridade policial, determinando medida invasiva de ofício — pede-se a identificação da nulidade por violação ao sistema acusatório.</w:t>
      </w:r>
    </w:p>
    <w:p>
      <w:pPr>
        <w:spacing w:after="60"/>
        <w:ind w:left="260"/>
      </w:pPr>
      <w:r>
        <w:rPr>
          <w:b/>
          <w:bCs/>
          <w:i/>
          <w:iCs/>
          <w:sz w:val="20"/>
          <w:szCs w:val="20"/>
        </w:rPr>
        <w:t xml:space="preserve">Oral: </w:t>
      </w:r>
      <w:r>
        <w:rPr>
          <w:sz w:val="20"/>
          <w:szCs w:val="20"/>
        </w:rPr>
        <w:t xml:space="preserve">Existe diferença entre a iniciativa do juiz na fase de investigação e na fase de instrução processual, à luz do sistema acusatório?</w:t>
      </w:r>
    </w:p>
    <w:p>
      <w:pPr>
        <w:spacing w:after="60" w:before="160"/>
      </w:pPr>
      <w:r>
        <w:rPr>
          <w:b/>
          <w:bCs/>
          <w:color w:val="333333"/>
          <w:sz w:val="21"/>
          <w:szCs w:val="21"/>
        </w:rPr>
        <w:t xml:space="preserve">🔗 Conexões</w:t>
      </w:r>
    </w:p>
    <w:p>
      <w:pPr>
        <w:spacing w:after="100"/>
      </w:pPr>
      <w:r>
        <w:rPr>
          <w:sz w:val="20"/>
          <w:szCs w:val="20"/>
        </w:rPr>
        <w:t xml:space="preserve">Art. 3º-A, CPP (Lei 13.964/2019); art. 242, CPP; ficha 3.1 (contraste).</w:t>
      </w:r>
    </w:p>
    <w:p>
      <w:pPr>
        <w:pBdr>
          <w:bottom w:val="single" w:color="8B1A1A" w:sz="12" w:space="4"/>
        </w:pBdr>
        <w:spacing w:after="200" w:before="120"/>
      </w:pPr>
    </w:p>
    <w:p>
      <w:pPr>
        <w:shd w:fill="FBEAEA" w:color="auto" w:val="clear"/>
        <w:spacing w:after="40" w:before="240"/>
      </w:pPr>
      <w:bookmarkStart w:name="ficha_11" w:id="1"/>
      <w:r>
        <w:rPr>
          <w:b/>
          <w:bCs/>
          <w:color w:val="8B1A1A"/>
          <w:sz w:val="24"/>
          <w:szCs w:val="24"/>
        </w:rPr>
        <w:t xml:space="preserve">📌 3.3  Juiz que assume postura inquisitorial na inquirição viola o art. 212 do CPP</w:t>
      </w:r>
      <w:bookmarkEnd w:id="1"/>
    </w:p>
    <w:p>
      <w:pPr>
        <w:spacing w:after="60"/>
      </w:pPr>
      <w:r>
        <w:rPr>
          <w:b/>
          <w:bCs/>
          <w:color w:val="8B1A1A"/>
          <w:sz w:val="20"/>
          <w:szCs w:val="20"/>
        </w:rPr>
        <w:t xml:space="preserve">Tribunal: </w:t>
      </w:r>
      <w:r>
        <w:rPr>
          <w:sz w:val="20"/>
          <w:szCs w:val="20"/>
        </w:rPr>
        <w:t xml:space="preserve">STJ   |   Órgão: 6ª Turma</w:t>
      </w:r>
    </w:p>
    <w:p>
      <w:pPr>
        <w:spacing w:after="60"/>
      </w:pPr>
      <w:r>
        <w:rPr>
          <w:b/>
          <w:bCs/>
          <w:color w:val="8B1A1A"/>
          <w:sz w:val="20"/>
          <w:szCs w:val="20"/>
        </w:rPr>
        <w:t xml:space="preserve">Processo/Relator/Data: </w:t>
      </w:r>
      <w:r>
        <w:rPr>
          <w:sz w:val="20"/>
          <w:szCs w:val="20"/>
        </w:rPr>
        <w:t xml:space="preserve">REsp 2.214.638-SC, Rel. Min. Sebastião Reis Júnior, j. 04/11/2025 (Info 872)</w:t>
      </w:r>
    </w:p>
    <w:p>
      <w:pPr>
        <w:spacing w:after="60"/>
      </w:pPr>
      <w:r>
        <w:rPr>
          <w:b/>
          <w:bCs/>
          <w:color w:val="8B1A1A"/>
          <w:sz w:val="20"/>
          <w:szCs w:val="20"/>
        </w:rPr>
        <w:t xml:space="preserve">Sistemática: </w:t>
      </w:r>
      <w:r>
        <w:rPr>
          <w:sz w:val="20"/>
          <w:szCs w:val="20"/>
        </w:rPr>
        <w:t xml:space="preserve">Caso isolado</w:t>
      </w:r>
    </w:p>
    <w:p>
      <w:pPr>
        <w:spacing w:after="60" w:before="160"/>
      </w:pPr>
      <w:r>
        <w:rPr>
          <w:b/>
          <w:bCs/>
          <w:color w:val="333333"/>
          <w:sz w:val="21"/>
          <w:szCs w:val="21"/>
        </w:rPr>
        <w:t xml:space="preserve">📍 Tese fixada / Decisão</w:t>
      </w:r>
    </w:p>
    <w:p>
      <w:pPr>
        <w:spacing w:after="100"/>
      </w:pPr>
      <w:r>
        <w:rPr>
          <w:i/>
          <w:iCs/>
          <w:sz w:val="20"/>
          <w:szCs w:val="20"/>
        </w:rPr>
        <w:t xml:space="preserve">São nulos a inquirição de testemunhas e o interrogatório protagonizados por magistrado que assume postura inquisitorial e investigativa, em lugar da atuação residual e complementar do art. 212 do CPP, por violação ao sistema acusatório e à imparcialidade.</w:t>
      </w:r>
    </w:p>
    <w:p>
      <w:pPr>
        <w:spacing w:after="60" w:before="160"/>
      </w:pPr>
      <w:r>
        <w:rPr>
          <w:b/>
          <w:bCs/>
          <w:color w:val="333333"/>
          <w:sz w:val="21"/>
          <w:szCs w:val="21"/>
        </w:rPr>
        <w:t xml:space="preserve">📚 Resumo do caso</w:t>
      </w:r>
    </w:p>
    <w:p>
      <w:pPr>
        <w:spacing w:after="100"/>
      </w:pPr>
      <w:r>
        <w:rPr>
          <w:sz w:val="20"/>
          <w:szCs w:val="20"/>
        </w:rPr>
        <w:t xml:space="preserve">Durante audiência de instrução, a juíza conduziu diretamente a inquirição das testemunhas de acusação e do próprio réu, antes das partes, formulando perguntas extensas e por vezes induzindo respostas, com finalidade nitidamente investigativa/acusatória. O STJ declarou a nulidade dos atos, por violação ao modelo de inquirição direta (cross-examination) do art. 212 do CPP, no qual a atuação do juiz deve ser complementar, e não protagonista.</w:t>
      </w:r>
    </w:p>
    <w:p>
      <w:pPr>
        <w:spacing w:after="60" w:before="160"/>
      </w:pPr>
      <w:r>
        <w:rPr>
          <w:b/>
          <w:bCs/>
          <w:color w:val="333333"/>
          <w:sz w:val="21"/>
          <w:szCs w:val="21"/>
        </w:rPr>
        <w:t xml:space="preserve">🎯 Como pode ser cobrado em prova</w:t>
      </w:r>
    </w:p>
    <w:p>
      <w:pPr>
        <w:spacing w:after="60"/>
        <w:ind w:left="260"/>
      </w:pPr>
      <w:r>
        <w:rPr>
          <w:b/>
          <w:bCs/>
          <w:i/>
          <w:iCs/>
          <w:sz w:val="20"/>
          <w:szCs w:val="20"/>
        </w:rPr>
        <w:t xml:space="preserve">Objetiva: </w:t>
      </w:r>
      <w:r>
        <w:rPr>
          <w:sz w:val="20"/>
          <w:szCs w:val="20"/>
        </w:rPr>
        <w:t xml:space="preserve">Alternativa que trate qualquer pergunta complementar do juiz como nula (incorreto — o art. 212, parágrafo único, autoriza complementação sobre pontos não esclarecidos; o vício está em o juiz assumir o protagonismo).</w:t>
      </w:r>
    </w:p>
    <w:p>
      <w:pPr>
        <w:spacing w:after="60"/>
        <w:ind w:left="260"/>
      </w:pPr>
      <w:r>
        <w:rPr>
          <w:b/>
          <w:bCs/>
          <w:i/>
          <w:iCs/>
          <w:sz w:val="20"/>
          <w:szCs w:val="20"/>
        </w:rPr>
        <w:t xml:space="preserve">Discursiva: </w:t>
      </w:r>
      <w:r>
        <w:rPr>
          <w:sz w:val="20"/>
          <w:szCs w:val="20"/>
        </w:rPr>
        <w:t xml:space="preserve">Ata de audiência de instrução em que o juiz conduz a inquirição antes das partes, de forma extensa — pede-se o reconhecimento da nulidade e a renovação do ato.</w:t>
      </w:r>
    </w:p>
    <w:p>
      <w:pPr>
        <w:spacing w:after="60"/>
        <w:ind w:left="260"/>
      </w:pPr>
      <w:r>
        <w:rPr>
          <w:b/>
          <w:bCs/>
          <w:i/>
          <w:iCs/>
          <w:sz w:val="20"/>
          <w:szCs w:val="20"/>
        </w:rPr>
        <w:t xml:space="preserve">Oral: </w:t>
      </w:r>
      <w:r>
        <w:rPr>
          <w:sz w:val="20"/>
          <w:szCs w:val="20"/>
        </w:rPr>
        <w:t xml:space="preserve">Qual é o papel do juiz na inquirição de testemunhas, à luz do art. 212 do CPP e do sistema acusatório?</w:t>
      </w:r>
    </w:p>
    <w:p>
      <w:pPr>
        <w:spacing w:after="60" w:before="160"/>
      </w:pPr>
      <w:r>
        <w:rPr>
          <w:b/>
          <w:bCs/>
          <w:color w:val="333333"/>
          <w:sz w:val="21"/>
          <w:szCs w:val="21"/>
        </w:rPr>
        <w:t xml:space="preserve">🔗 Conexões</w:t>
      </w:r>
    </w:p>
    <w:p>
      <w:pPr>
        <w:spacing w:after="100"/>
      </w:pPr>
      <w:r>
        <w:rPr>
          <w:sz w:val="20"/>
          <w:szCs w:val="20"/>
        </w:rPr>
        <w:t xml:space="preserve">Art. 212, CPP (cross-examination); TJAP-2022-FGV (mesmo dispositivo).</w:t>
      </w:r>
    </w:p>
    <w:p>
      <w:pPr>
        <w:pBdr>
          <w:bottom w:val="single" w:color="8B1A1A" w:sz="12" w:space="4"/>
        </w:pBdr>
        <w:spacing w:after="200" w:before="120"/>
      </w:pPr>
    </w:p>
    <w:p>
      <w:pPr>
        <w:pStyle w:val="Heading1"/>
        <w:spacing w:after="160" w:before="320"/>
      </w:pPr>
      <w:bookmarkStart w:name="subtema_4" w:id="1"/>
      <w:r>
        <w:t xml:space="preserve">4. Testemunhas (arts. 202 a 225, CPP)</w:t>
      </w:r>
      <w:bookmarkEnd w:id="1"/>
    </w:p>
    <w:p>
      <w:pPr>
        <w:shd w:fill="FBEAEA" w:color="auto" w:val="clear"/>
        <w:spacing w:after="40" w:before="240"/>
      </w:pPr>
      <w:bookmarkStart w:name="ficha_12" w:id="1"/>
      <w:r>
        <w:rPr>
          <w:b/>
          <w:bCs/>
          <w:color w:val="8B1A1A"/>
          <w:sz w:val="24"/>
          <w:szCs w:val="24"/>
        </w:rPr>
        <w:t xml:space="preserve">📌 4.1  Testemunha referida e oitiva de ofício pelo juiz (art. 209, CPP)</w:t>
      </w:r>
      <w:bookmarkEnd w:id="1"/>
    </w:p>
    <w:p>
      <w:pPr>
        <w:spacing w:after="60"/>
      </w:pPr>
      <w:r>
        <w:rPr>
          <w:b/>
          <w:bCs/>
          <w:color w:val="8B1A1A"/>
          <w:sz w:val="20"/>
          <w:szCs w:val="20"/>
        </w:rPr>
        <w:t xml:space="preserve">Tribunal: </w:t>
      </w:r>
      <w:r>
        <w:rPr>
          <w:sz w:val="20"/>
          <w:szCs w:val="20"/>
        </w:rPr>
        <w:t xml:space="preserve">Tese legal consolidada — segundo dispositivo mais cobrado em toda a matéria</w:t>
      </w:r>
    </w:p>
    <w:p>
      <w:pPr>
        <w:spacing w:after="60"/>
      </w:pPr>
      <w:r>
        <w:rPr>
          <w:b/>
          <w:bCs/>
          <w:color w:val="8B1A1A"/>
          <w:sz w:val="20"/>
          <w:szCs w:val="20"/>
        </w:rPr>
        <w:t xml:space="preserve">Processo/Relator/Data: </w:t>
      </w:r>
      <w:r>
        <w:rPr>
          <w:sz w:val="20"/>
          <w:szCs w:val="20"/>
        </w:rPr>
        <w:t xml:space="preserve">Art. 209, caput e §1º, CPP</w:t>
      </w:r>
    </w:p>
    <w:p>
      <w:pPr>
        <w:spacing w:after="60"/>
      </w:pPr>
      <w:r>
        <w:rPr>
          <w:b/>
          <w:bCs/>
          <w:color w:val="8B1A1A"/>
          <w:sz w:val="20"/>
          <w:szCs w:val="20"/>
        </w:rPr>
        <w:t xml:space="preserve">Sistemática: </w:t>
      </w:r>
      <w:r>
        <w:rPr>
          <w:sz w:val="20"/>
          <w:szCs w:val="20"/>
        </w:rPr>
        <w:t xml:space="preserve">Tese normativa consolidada (PCMA-2012-FGV, TJPR-2023-FGV, TJES-2023-FGV, entre outras)</w:t>
      </w:r>
    </w:p>
    <w:p>
      <w:pPr>
        <w:spacing w:after="60" w:before="160"/>
      </w:pPr>
      <w:r>
        <w:rPr>
          <w:b/>
          <w:bCs/>
          <w:color w:val="333333"/>
          <w:sz w:val="21"/>
          <w:szCs w:val="21"/>
        </w:rPr>
        <w:t xml:space="preserve">📍 Tese fixada / Decisão</w:t>
      </w:r>
    </w:p>
    <w:p>
      <w:pPr>
        <w:spacing w:after="100"/>
      </w:pPr>
      <w:r>
        <w:rPr>
          <w:i/>
          <w:iCs/>
          <w:sz w:val="20"/>
          <w:szCs w:val="20"/>
        </w:rPr>
        <w:t xml:space="preserve">O juiz, quando julgar necessário, poderá ouvir outras testemunhas além das indicadas pelas partes (testemunhas extranumerárias), bem como as pessoas a que as testemunhas se referirem (testemunha referida), mesmo sem requerimento do MP ou da defesa.</w:t>
      </w:r>
    </w:p>
    <w:p>
      <w:pPr>
        <w:spacing w:after="60" w:before="160"/>
      </w:pPr>
      <w:r>
        <w:rPr>
          <w:b/>
          <w:bCs/>
          <w:color w:val="333333"/>
          <w:sz w:val="21"/>
          <w:szCs w:val="21"/>
        </w:rPr>
        <w:t xml:space="preserve">📚 Resumo do caso</w:t>
      </w:r>
    </w:p>
    <w:p>
      <w:pPr>
        <w:spacing w:after="100"/>
      </w:pPr>
      <w:r>
        <w:rPr>
          <w:sz w:val="20"/>
          <w:szCs w:val="20"/>
        </w:rPr>
        <w:t xml:space="preserve">Assim como o art. 156, II, o art. 209 do CPP é reiteradamente testado pela FGV em cenários de audiência de instrução em que o juiz, de ofício, decide ouvir uma testemunha mencionada por outra (testemunha referida) ou uma pessoa não arrolada pelas partes. A resposta correta sempre reconhece a legalidade dessa iniciativa, sem exigir concordância das partes, com fundamento expresso no art. 209 do CPP — tema que dialoga diretamente com os limites da imparcialidade do juiz na fase de instrução.</w:t>
      </w:r>
    </w:p>
    <w:p>
      <w:pPr>
        <w:spacing w:after="60" w:before="160"/>
      </w:pPr>
      <w:r>
        <w:rPr>
          <w:b/>
          <w:bCs/>
          <w:color w:val="333333"/>
          <w:sz w:val="21"/>
          <w:szCs w:val="21"/>
        </w:rPr>
        <w:t xml:space="preserve">🎯 Como pode ser cobrado em prova</w:t>
      </w:r>
    </w:p>
    <w:p>
      <w:pPr>
        <w:spacing w:after="60"/>
        <w:ind w:left="260"/>
      </w:pPr>
      <w:r>
        <w:rPr>
          <w:b/>
          <w:bCs/>
          <w:i/>
          <w:iCs/>
          <w:sz w:val="20"/>
          <w:szCs w:val="20"/>
        </w:rPr>
        <w:t xml:space="preserve">Objetiva: </w:t>
      </w:r>
      <w:r>
        <w:rPr>
          <w:sz w:val="20"/>
          <w:szCs w:val="20"/>
        </w:rPr>
        <w:t xml:space="preserve">Alternativas que condicionem a oitiva da testemunha referida à concordância da defesa ou do MP (incorreto); ou que classifiquem a iniciativa como violação à imparcialidade (incorreto, por expressa previsão legal).</w:t>
      </w:r>
    </w:p>
    <w:p>
      <w:pPr>
        <w:spacing w:after="60"/>
        <w:ind w:left="260"/>
      </w:pPr>
      <w:r>
        <w:rPr>
          <w:b/>
          <w:bCs/>
          <w:i/>
          <w:iCs/>
          <w:sz w:val="20"/>
          <w:szCs w:val="20"/>
        </w:rPr>
        <w:t xml:space="preserve">Discursiva: </w:t>
      </w:r>
      <w:r>
        <w:rPr>
          <w:sz w:val="20"/>
          <w:szCs w:val="20"/>
        </w:rPr>
        <w:t xml:space="preserve">Audiência de instrução em que testemunha já ouvida menciona outra pessoa com conhecimento dos fatos — pede-se decisão fundamentada sobre a possibilidade de o juiz determinar sua oitiva de ofício.</w:t>
      </w:r>
    </w:p>
    <w:p>
      <w:pPr>
        <w:spacing w:after="60"/>
        <w:ind w:left="260"/>
      </w:pPr>
      <w:r>
        <w:rPr>
          <w:b/>
          <w:bCs/>
          <w:i/>
          <w:iCs/>
          <w:sz w:val="20"/>
          <w:szCs w:val="20"/>
        </w:rPr>
        <w:t xml:space="preserve">Oral: </w:t>
      </w:r>
      <w:r>
        <w:rPr>
          <w:sz w:val="20"/>
          <w:szCs w:val="20"/>
        </w:rPr>
        <w:t xml:space="preserve">O que é testemunha referida? O juiz pode determinar sua oitiva de ofício, mesmo sem requerimento das partes?</w:t>
      </w:r>
    </w:p>
    <w:p>
      <w:pPr>
        <w:spacing w:after="60" w:before="160"/>
      </w:pPr>
      <w:r>
        <w:rPr>
          <w:b/>
          <w:bCs/>
          <w:color w:val="333333"/>
          <w:sz w:val="21"/>
          <w:szCs w:val="21"/>
        </w:rPr>
        <w:t xml:space="preserve">🔗 Conexões</w:t>
      </w:r>
    </w:p>
    <w:p>
      <w:pPr>
        <w:spacing w:after="100"/>
      </w:pPr>
      <w:r>
        <w:rPr>
          <w:sz w:val="20"/>
          <w:szCs w:val="20"/>
        </w:rPr>
        <w:t xml:space="preserve">Ficha 3.1 (art. 156, II); STJ, AgRg no HC 725.552/SP, Rel. Min. Ribeiro Dantas, j. 19/04/2022 (hearsay e testemunha referida).</w:t>
      </w:r>
    </w:p>
    <w:p>
      <w:pPr>
        <w:pBdr>
          <w:bottom w:val="single" w:color="8B1A1A" w:sz="12" w:space="4"/>
        </w:pBdr>
        <w:spacing w:after="200" w:before="120"/>
      </w:pPr>
    </w:p>
    <w:p>
      <w:pPr>
        <w:shd w:fill="FBEAEA" w:color="auto" w:val="clear"/>
        <w:spacing w:after="40" w:before="240"/>
      </w:pPr>
      <w:bookmarkStart w:name="ficha_13" w:id="1"/>
      <w:r>
        <w:rPr>
          <w:b/>
          <w:bCs/>
          <w:color w:val="8B1A1A"/>
          <w:sz w:val="24"/>
          <w:szCs w:val="24"/>
        </w:rPr>
        <w:t xml:space="preserve">📌 4.2  Tribunal pode reinterrogar réu e reouvir testemunhas ouvidas de ofício em 1º grau</w:t>
      </w:r>
      <w:bookmarkEnd w:id="1"/>
    </w:p>
    <w:p>
      <w:pPr>
        <w:spacing w:after="60"/>
      </w:pPr>
      <w:r>
        <w:rPr>
          <w:b/>
          <w:bCs/>
          <w:color w:val="8B1A1A"/>
          <w:sz w:val="20"/>
          <w:szCs w:val="20"/>
        </w:rPr>
        <w:t xml:space="preserve">Tribunal: </w:t>
      </w:r>
      <w:r>
        <w:rPr>
          <w:sz w:val="20"/>
          <w:szCs w:val="20"/>
        </w:rPr>
        <w:t xml:space="preserve">STJ   |   Órgão: Seção de Direito Penal</w:t>
      </w:r>
    </w:p>
    <w:p>
      <w:pPr>
        <w:spacing w:after="60"/>
      </w:pPr>
      <w:r>
        <w:rPr>
          <w:b/>
          <w:bCs/>
          <w:color w:val="8B1A1A"/>
          <w:sz w:val="20"/>
          <w:szCs w:val="20"/>
        </w:rPr>
        <w:t xml:space="preserve">Processo/Relator/Data: </w:t>
      </w:r>
      <w:r>
        <w:rPr>
          <w:sz w:val="20"/>
          <w:szCs w:val="20"/>
        </w:rPr>
        <w:t xml:space="preserve">Precedente ilustrativo recente (caderno FGV MPRJ-2026): gabarito reconhece a legalidade tanto da oitiva de ofício em 1º grau quanto da repetição do ato em 2º grau, sem caracterizar reformatio in pejus</w:t>
      </w:r>
    </w:p>
    <w:p>
      <w:pPr>
        <w:spacing w:after="60"/>
      </w:pPr>
      <w:r>
        <w:rPr>
          <w:b/>
          <w:bCs/>
          <w:color w:val="8B1A1A"/>
          <w:sz w:val="20"/>
          <w:szCs w:val="20"/>
        </w:rPr>
        <w:t xml:space="preserve">Sistemática: </w:t>
      </w:r>
      <w:r>
        <w:rPr>
          <w:sz w:val="20"/>
          <w:szCs w:val="20"/>
        </w:rPr>
        <w:t xml:space="preserve">Caso isolado (tema testado em questão FGV MPRJ-2026, sem decisão colegiada superior específica localizada — [VERIFICAR] acórdão de referência)</w:t>
      </w:r>
    </w:p>
    <w:p>
      <w:pPr>
        <w:spacing w:after="60" w:before="160"/>
      </w:pPr>
      <w:r>
        <w:rPr>
          <w:b/>
          <w:bCs/>
          <w:color w:val="333333"/>
          <w:sz w:val="21"/>
          <w:szCs w:val="21"/>
        </w:rPr>
        <w:t xml:space="preserve">📍 Tese fixada / Decisão</w:t>
      </w:r>
    </w:p>
    <w:p>
      <w:pPr>
        <w:spacing w:after="100"/>
      </w:pPr>
      <w:r>
        <w:rPr>
          <w:i/>
          <w:iCs/>
          <w:sz w:val="20"/>
          <w:szCs w:val="20"/>
        </w:rPr>
        <w:t xml:space="preserve">O juiz pode determinar de ofício a oitiva de testemunhas não arroladas e de testemunhas referidas (art. 209, CPP); o Tribunal, no julgamento de apelação defensiva, pode proceder à repetição do interrogatório e da oitiva das mesmas testemunhas, sem que isso configure reformatio in pejus.</w:t>
      </w:r>
    </w:p>
    <w:p>
      <w:pPr>
        <w:spacing w:after="60" w:before="160"/>
      </w:pPr>
      <w:r>
        <w:rPr>
          <w:b/>
          <w:bCs/>
          <w:color w:val="333333"/>
          <w:sz w:val="21"/>
          <w:szCs w:val="21"/>
        </w:rPr>
        <w:t xml:space="preserve">📚 Resumo do caso</w:t>
      </w:r>
    </w:p>
    <w:p>
      <w:pPr>
        <w:spacing w:after="100"/>
      </w:pPr>
      <w:r>
        <w:rPr>
          <w:sz w:val="20"/>
          <w:szCs w:val="20"/>
        </w:rPr>
        <w:t xml:space="preserve">Questão elaborada pela FGV (MPRJ-2026) explora cenário em que o juiz de 1º grau ouve, de ofício, testemunha não arrolada e testemunha referida, e o Tribunal, ao julgar apelação exclusiva da defesa, decide reinterrogar o réu e reouvir as mesmas testemunhas. O gabarito reconhece a legalidade de ambas as iniciativas, com base nos poderes instrutórios residuais do juiz (art. 209, CPP) e na ausência de agravamento da situação do réu pela mera repetição do ato instrutório.</w:t>
      </w:r>
    </w:p>
    <w:p>
      <w:pPr>
        <w:spacing w:after="60" w:before="160"/>
      </w:pPr>
      <w:r>
        <w:rPr>
          <w:b/>
          <w:bCs/>
          <w:color w:val="333333"/>
          <w:sz w:val="21"/>
          <w:szCs w:val="21"/>
        </w:rPr>
        <w:t xml:space="preserve">🎯 Como pode ser cobrado em prova</w:t>
      </w:r>
    </w:p>
    <w:p>
      <w:pPr>
        <w:spacing w:after="60"/>
        <w:ind w:left="260"/>
      </w:pPr>
      <w:r>
        <w:rPr>
          <w:b/>
          <w:bCs/>
          <w:i/>
          <w:iCs/>
          <w:sz w:val="20"/>
          <w:szCs w:val="20"/>
        </w:rPr>
        <w:t xml:space="preserve">Objetiva: </w:t>
      </w:r>
      <w:r>
        <w:rPr>
          <w:sz w:val="20"/>
          <w:szCs w:val="20"/>
        </w:rPr>
        <w:t xml:space="preserve">Alternativa que trate a repetição do ato em 2º grau como reformatio in pejus (incorreto, pois não há agravamento de pena ou nova imputação, apenas repetição de prova).</w:t>
      </w:r>
    </w:p>
    <w:p>
      <w:pPr>
        <w:spacing w:after="60"/>
        <w:ind w:left="260"/>
      </w:pPr>
      <w:r>
        <w:rPr>
          <w:b/>
          <w:bCs/>
          <w:i/>
          <w:iCs/>
          <w:sz w:val="20"/>
          <w:szCs w:val="20"/>
        </w:rPr>
        <w:t xml:space="preserve">Discursiva: </w:t>
      </w:r>
      <w:r>
        <w:rPr>
          <w:sz w:val="20"/>
          <w:szCs w:val="20"/>
        </w:rPr>
        <w:t xml:space="preserve">Situação de apelação exclusiva da defesa em que o Tribunal pretende reouvir testemunhas e reinterrogar o réu — avaliar limites e legalidade da medida.</w:t>
      </w:r>
    </w:p>
    <w:p>
      <w:pPr>
        <w:spacing w:after="60"/>
        <w:ind w:left="260"/>
      </w:pPr>
      <w:r>
        <w:rPr>
          <w:b/>
          <w:bCs/>
          <w:i/>
          <w:iCs/>
          <w:sz w:val="20"/>
          <w:szCs w:val="20"/>
        </w:rPr>
        <w:t xml:space="preserve">Oral: </w:t>
      </w:r>
      <w:r>
        <w:rPr>
          <w:sz w:val="20"/>
          <w:szCs w:val="20"/>
        </w:rPr>
        <w:t xml:space="preserve">A repetição, em grau de apelação exclusiva da defesa, de atos de instrução já praticados em 1º grau configura reformatio in pejus?</w:t>
      </w:r>
    </w:p>
    <w:p>
      <w:pPr>
        <w:spacing w:after="60" w:before="160"/>
      </w:pPr>
      <w:r>
        <w:rPr>
          <w:b/>
          <w:bCs/>
          <w:color w:val="333333"/>
          <w:sz w:val="21"/>
          <w:szCs w:val="21"/>
        </w:rPr>
        <w:t xml:space="preserve">🔗 Conexões</w:t>
      </w:r>
    </w:p>
    <w:p>
      <w:pPr>
        <w:spacing w:after="100"/>
      </w:pPr>
      <w:r>
        <w:rPr>
          <w:sz w:val="20"/>
          <w:szCs w:val="20"/>
        </w:rPr>
        <w:t xml:space="preserve">Ficha 4.1 (art. 209, CPP); vedação à reformatio in pejus (art. 617, CPP).</w:t>
      </w:r>
    </w:p>
    <w:p>
      <w:pPr>
        <w:pBdr>
          <w:bottom w:val="single" w:color="8B1A1A" w:sz="12" w:space="4"/>
        </w:pBdr>
        <w:spacing w:after="200" w:before="120"/>
      </w:pPr>
    </w:p>
    <w:p>
      <w:pPr>
        <w:pStyle w:val="Heading1"/>
        <w:spacing w:after="160" w:before="320"/>
      </w:pPr>
      <w:bookmarkStart w:name="subtema_5" w:id="1"/>
      <w:r>
        <w:t xml:space="preserve">5. Reconhecimento de Pessoas (art. 226, CPP)</w:t>
      </w:r>
      <w:bookmarkEnd w:id="1"/>
    </w:p>
    <w:p>
      <w:pPr>
        <w:shd w:fill="FBEAEA" w:color="auto" w:val="clear"/>
        <w:spacing w:after="40" w:before="240"/>
      </w:pPr>
      <w:bookmarkStart w:name="ficha_14" w:id="1"/>
      <w:r>
        <w:rPr>
          <w:b/>
          <w:bCs/>
          <w:color w:val="8B1A1A"/>
          <w:sz w:val="24"/>
          <w:szCs w:val="24"/>
        </w:rPr>
        <w:t xml:space="preserve">📌 5.1  Teses sobre reconhecimento de pessoas — Tema Repetitivo 1258</w:t>
      </w:r>
      <w:bookmarkEnd w:id="1"/>
    </w:p>
    <w:p>
      <w:pPr>
        <w:spacing w:after="60"/>
      </w:pPr>
      <w:r>
        <w:rPr>
          <w:b/>
          <w:bCs/>
          <w:color w:val="8B1A1A"/>
          <w:sz w:val="20"/>
          <w:szCs w:val="20"/>
        </w:rPr>
        <w:t xml:space="preserve">Tribunal: </w:t>
      </w:r>
      <w:r>
        <w:rPr>
          <w:sz w:val="20"/>
          <w:szCs w:val="20"/>
        </w:rPr>
        <w:t xml:space="preserve">STJ   |   Órgão: 3ª Seção</w:t>
      </w:r>
    </w:p>
    <w:p>
      <w:pPr>
        <w:spacing w:after="60"/>
      </w:pPr>
      <w:r>
        <w:rPr>
          <w:b/>
          <w:bCs/>
          <w:color w:val="8B1A1A"/>
          <w:sz w:val="20"/>
          <w:szCs w:val="20"/>
        </w:rPr>
        <w:t xml:space="preserve">Processo/Relator/Data: </w:t>
      </w:r>
      <w:r>
        <w:rPr>
          <w:sz w:val="20"/>
          <w:szCs w:val="20"/>
        </w:rPr>
        <w:t xml:space="preserve">REsp 1.953.602-SP, REsp 1.987.628-SP, REsp 1.986.619-SP e REsp 1.987.651-RS, Rel. Min. Reynaldo Soares da Fonseca, julgados em 11/06/2025</w:t>
      </w:r>
    </w:p>
    <w:p>
      <w:pPr>
        <w:spacing w:after="60"/>
      </w:pPr>
      <w:r>
        <w:rPr>
          <w:b/>
          <w:bCs/>
          <w:color w:val="8B1A1A"/>
          <w:sz w:val="20"/>
          <w:szCs w:val="20"/>
        </w:rPr>
        <w:t xml:space="preserve">Sistemática: </w:t>
      </w:r>
      <w:r>
        <w:rPr>
          <w:sz w:val="20"/>
          <w:szCs w:val="20"/>
        </w:rPr>
        <w:t xml:space="preserve">Recurso Repetitivo — Tema 1258</w:t>
      </w:r>
    </w:p>
    <w:p>
      <w:pPr>
        <w:spacing w:after="60" w:before="160"/>
      </w:pPr>
      <w:r>
        <w:rPr>
          <w:b/>
          <w:bCs/>
          <w:color w:val="333333"/>
          <w:sz w:val="21"/>
          <w:szCs w:val="21"/>
        </w:rPr>
        <w:t xml:space="preserve">📍 Tese fixada / Decisão</w:t>
      </w:r>
    </w:p>
    <w:p>
      <w:pPr>
        <w:spacing w:after="100"/>
      </w:pPr>
      <w:r>
        <w:rPr>
          <w:i/>
          <w:iCs/>
          <w:sz w:val="20"/>
          <w:szCs w:val="20"/>
        </w:rPr>
        <w:t xml:space="preserve">(1) As regras do art. 226 do CPP são de observância obrigatória em sede inquisitorial e judicial, sob pena de invalidade da prova de autoria; (2) devem ser alinhadas pessoas semelhantes ao lado do suspeito; (3) o reconhecimento de pessoas é prova irrepetível — um reconhecimento inicial viciado contamina reconhecimentos posteriores; (4) o magistrado pode se convencer da autoria a partir de provas independentes e não contaminadas; (5) mesmo o reconhecimento válido deve ter congruência com as demais provas; (6) é dispensável o procedimento formal quando não se tratar de reconhecimento de desconhecido, mas de identificação de pessoa já conhecida do depoente.</w:t>
      </w:r>
    </w:p>
    <w:p>
      <w:pPr>
        <w:spacing w:after="60" w:before="160"/>
      </w:pPr>
      <w:r>
        <w:rPr>
          <w:b/>
          <w:bCs/>
          <w:color w:val="333333"/>
          <w:sz w:val="21"/>
          <w:szCs w:val="21"/>
        </w:rPr>
        <w:t xml:space="preserve">📚 Resumo do caso</w:t>
      </w:r>
    </w:p>
    <w:p>
      <w:pPr>
        <w:spacing w:after="100"/>
      </w:pPr>
      <w:r>
        <w:rPr>
          <w:sz w:val="20"/>
          <w:szCs w:val="20"/>
        </w:rPr>
        <w:t xml:space="preserve">É o precedente mais importante da matéria nos últimos cinco anos: fixado em sede de recurso repetitivo (Tema 1258), consolida e uniformiza toda a jurisprudência sobre reconhecimento de pessoas, tema historicamente sensível e recorrente em provas de Magistratura (inclusive citado nos cadernos FGV, ex. TJSC-2025 e MPGO-2024, sobre oitiva de testemunhas e reconhecimento). A tese reforça que a inobservância do art. 226 do CPP não é mera irregularidade, mas gera prova inválida, insanável mesmo por reconhecimento judicial posterior (efeito contaminante), ressalvada a possibilidade de condenação lastreada em provas autônomas e não contaminadas.</w:t>
      </w:r>
    </w:p>
    <w:p>
      <w:pPr>
        <w:spacing w:after="60" w:before="160"/>
      </w:pPr>
      <w:r>
        <w:rPr>
          <w:b/>
          <w:bCs/>
          <w:color w:val="333333"/>
          <w:sz w:val="21"/>
          <w:szCs w:val="21"/>
        </w:rPr>
        <w:t xml:space="preserve">🎯 Como pode ser cobrado em prova</w:t>
      </w:r>
    </w:p>
    <w:p>
      <w:pPr>
        <w:spacing w:after="60"/>
        <w:ind w:left="260"/>
      </w:pPr>
      <w:r>
        <w:rPr>
          <w:b/>
          <w:bCs/>
          <w:i/>
          <w:iCs/>
          <w:sz w:val="20"/>
          <w:szCs w:val="20"/>
        </w:rPr>
        <w:t xml:space="preserve">Objetiva: </w:t>
      </w:r>
      <w:r>
        <w:rPr>
          <w:sz w:val="20"/>
          <w:szCs w:val="20"/>
        </w:rPr>
        <w:t xml:space="preserve">Confundir "prova irrepetível" (reconhecimento viciado contamina o seguinte) com a possibilidade de repetir o ato para saná-lo (incorreto); ou afirmar que o rito do art. 226 é sempre obrigatório, mesmo quando o reconhecedor já conhecia previamente a pessoa (incorreto, item 6 da tese).</w:t>
      </w:r>
    </w:p>
    <w:p>
      <w:pPr>
        <w:spacing w:after="60"/>
        <w:ind w:left="260"/>
      </w:pPr>
      <w:r>
        <w:rPr>
          <w:b/>
          <w:bCs/>
          <w:i/>
          <w:iCs/>
          <w:sz w:val="20"/>
          <w:szCs w:val="20"/>
        </w:rPr>
        <w:t xml:space="preserve">Discursiva: </w:t>
      </w:r>
      <w:r>
        <w:rPr>
          <w:sz w:val="20"/>
          <w:szCs w:val="20"/>
        </w:rPr>
        <w:t xml:space="preserve">Sentença condenatória baseada em reconhecimento pessoal realizado sem observância do art. 226 do CPP, mas confirmado em juízo — pede-se a análise da validade da prova e de eventual condenação com base em outros elementos.</w:t>
      </w:r>
    </w:p>
    <w:p>
      <w:pPr>
        <w:spacing w:after="60"/>
        <w:ind w:left="260"/>
      </w:pPr>
      <w:r>
        <w:rPr>
          <w:b/>
          <w:bCs/>
          <w:i/>
          <w:iCs/>
          <w:sz w:val="20"/>
          <w:szCs w:val="20"/>
        </w:rPr>
        <w:t xml:space="preserve">Oral: </w:t>
      </w:r>
      <w:r>
        <w:rPr>
          <w:sz w:val="20"/>
          <w:szCs w:val="20"/>
        </w:rPr>
        <w:t xml:space="preserve">O reconhecimento de pessoas é uma prova repetível? O que ocorre se o primeiro reconhecimento for viciado e o segundo, formalmente correto?</w:t>
      </w:r>
    </w:p>
    <w:p>
      <w:pPr>
        <w:spacing w:after="60" w:before="160"/>
      </w:pPr>
      <w:r>
        <w:rPr>
          <w:b/>
          <w:bCs/>
          <w:color w:val="333333"/>
          <w:sz w:val="21"/>
          <w:szCs w:val="21"/>
        </w:rPr>
        <w:t xml:space="preserve">🔗 Conexões</w:t>
      </w:r>
    </w:p>
    <w:p>
      <w:pPr>
        <w:spacing w:after="100"/>
      </w:pPr>
      <w:r>
        <w:rPr>
          <w:sz w:val="20"/>
          <w:szCs w:val="20"/>
        </w:rPr>
        <w:t xml:space="preserve">Fichas 5.2 e 5.3 (aplicações concretas); Súmula e normas do CNJ sobre reconhecimento de pessoas; TJSC-2025-FGV e MPGO-2024-FGV (oitiva de testemunhas em crimes sexuais, tema correlato).</w:t>
      </w:r>
    </w:p>
    <w:p>
      <w:pPr>
        <w:pBdr>
          <w:bottom w:val="single" w:color="8B1A1A" w:sz="12" w:space="4"/>
        </w:pBdr>
        <w:spacing w:after="200" w:before="120"/>
      </w:pPr>
    </w:p>
    <w:p>
      <w:pPr>
        <w:shd w:fill="FBEAEA" w:color="auto" w:val="clear"/>
        <w:spacing w:after="40" w:before="240"/>
      </w:pPr>
      <w:bookmarkStart w:name="ficha_15" w:id="1"/>
      <w:r>
        <w:rPr>
          <w:b/>
          <w:bCs/>
          <w:color w:val="8B1A1A"/>
          <w:sz w:val="24"/>
          <w:szCs w:val="24"/>
        </w:rPr>
        <w:t xml:space="preserve">📌 5.2  Reconhecimento irregular de pessoas torna inválida a prova de autoria</w:t>
      </w:r>
      <w:bookmarkEnd w:id="1"/>
    </w:p>
    <w:p>
      <w:pPr>
        <w:spacing w:after="60"/>
      </w:pPr>
      <w:r>
        <w:rPr>
          <w:b/>
          <w:bCs/>
          <w:color w:val="8B1A1A"/>
          <w:sz w:val="20"/>
          <w:szCs w:val="20"/>
        </w:rPr>
        <w:t xml:space="preserve">Tribunal: </w:t>
      </w:r>
      <w:r>
        <w:rPr>
          <w:sz w:val="20"/>
          <w:szCs w:val="20"/>
        </w:rPr>
        <w:t xml:space="preserve">STJ   |   Órgão: 6ª Turma</w:t>
      </w:r>
    </w:p>
    <w:p>
      <w:pPr>
        <w:spacing w:after="60"/>
      </w:pPr>
      <w:r>
        <w:rPr>
          <w:b/>
          <w:bCs/>
          <w:color w:val="8B1A1A"/>
          <w:sz w:val="20"/>
          <w:szCs w:val="20"/>
        </w:rPr>
        <w:t xml:space="preserve">Processo/Relator/Data: </w:t>
      </w:r>
      <w:r>
        <w:rPr>
          <w:sz w:val="20"/>
          <w:szCs w:val="20"/>
        </w:rPr>
        <w:t xml:space="preserve">REsp 2.204.950-RJ, Rel. Min. Rogerio Schietti Cruz, j. 11/11/2025 (Info 872)</w:t>
      </w:r>
    </w:p>
    <w:p>
      <w:pPr>
        <w:spacing w:after="60"/>
      </w:pPr>
      <w:r>
        <w:rPr>
          <w:b/>
          <w:bCs/>
          <w:color w:val="8B1A1A"/>
          <w:sz w:val="20"/>
          <w:szCs w:val="20"/>
        </w:rPr>
        <w:t xml:space="preserve">Sistemática: </w:t>
      </w:r>
      <w:r>
        <w:rPr>
          <w:sz w:val="20"/>
          <w:szCs w:val="20"/>
        </w:rPr>
        <w:t xml:space="preserve">Caso isolado (aplicação do Tema 1258)</w:t>
      </w:r>
    </w:p>
    <w:p>
      <w:pPr>
        <w:spacing w:after="60" w:before="160"/>
      </w:pPr>
      <w:r>
        <w:rPr>
          <w:b/>
          <w:bCs/>
          <w:color w:val="333333"/>
          <w:sz w:val="21"/>
          <w:szCs w:val="21"/>
        </w:rPr>
        <w:t xml:space="preserve">📍 Tese fixada / Decisão</w:t>
      </w:r>
    </w:p>
    <w:p>
      <w:pPr>
        <w:spacing w:after="100"/>
      </w:pPr>
      <w:r>
        <w:rPr>
          <w:i/>
          <w:iCs/>
          <w:sz w:val="20"/>
          <w:szCs w:val="20"/>
        </w:rPr>
        <w:t xml:space="preserve">A inobservância do procedimento do art. 226 do CPP torna inválido o reconhecimento, que não pode fundamentar condenação ou decisões de menor rigor probatório (prisão preventiva, recebimento de denúncia, pronúncia), mesmo se o reconhecimento for refeito e confirmado posteriormente em juízo.</w:t>
      </w:r>
    </w:p>
    <w:p>
      <w:pPr>
        <w:spacing w:after="60" w:before="160"/>
      </w:pPr>
      <w:r>
        <w:rPr>
          <w:b/>
          <w:bCs/>
          <w:color w:val="333333"/>
          <w:sz w:val="21"/>
          <w:szCs w:val="21"/>
        </w:rPr>
        <w:t xml:space="preserve">📚 Resumo do caso</w:t>
      </w:r>
    </w:p>
    <w:p>
      <w:pPr>
        <w:spacing w:after="100"/>
      </w:pPr>
      <w:r>
        <w:rPr>
          <w:sz w:val="20"/>
          <w:szCs w:val="20"/>
        </w:rPr>
        <w:t xml:space="preserve">Julgado imediatamente posterior ao Tema 1258, aplicando concretamente a tese de que o reconhecimento de pessoas é prova irrepetível: um reconhecimento inicial viciado contamina a memória do reconhecedor, esvaziando a força probante de reconhecimentos futuros sobre o mesmo fato, ainda que formalmente corretos.</w:t>
      </w:r>
    </w:p>
    <w:p>
      <w:pPr>
        <w:spacing w:after="60" w:before="160"/>
      </w:pPr>
      <w:r>
        <w:rPr>
          <w:b/>
          <w:bCs/>
          <w:color w:val="333333"/>
          <w:sz w:val="21"/>
          <w:szCs w:val="21"/>
        </w:rPr>
        <w:t xml:space="preserve">🎯 Como pode ser cobrado em prova</w:t>
      </w:r>
    </w:p>
    <w:p>
      <w:pPr>
        <w:spacing w:after="60"/>
        <w:ind w:left="260"/>
      </w:pPr>
      <w:r>
        <w:rPr>
          <w:b/>
          <w:bCs/>
          <w:i/>
          <w:iCs/>
          <w:sz w:val="20"/>
          <w:szCs w:val="20"/>
        </w:rPr>
        <w:t xml:space="preserve">Objetiva: </w:t>
      </w:r>
      <w:r>
        <w:rPr>
          <w:sz w:val="20"/>
          <w:szCs w:val="20"/>
        </w:rPr>
        <w:t xml:space="preserve">Alternativa que sugira que basta refazer o reconhecimento em juízo, com todas as formalidades, para sanar o vício anterior (incorreto).</w:t>
      </w:r>
    </w:p>
    <w:p>
      <w:pPr>
        <w:spacing w:after="60"/>
        <w:ind w:left="260"/>
      </w:pPr>
      <w:r>
        <w:rPr>
          <w:b/>
          <w:bCs/>
          <w:i/>
          <w:iCs/>
          <w:sz w:val="20"/>
          <w:szCs w:val="20"/>
        </w:rPr>
        <w:t xml:space="preserve">Discursiva: </w:t>
      </w:r>
      <w:r>
        <w:rPr>
          <w:sz w:val="20"/>
          <w:szCs w:val="20"/>
        </w:rPr>
        <w:t xml:space="preserve">Mesmo enunciado da ficha 5.1, com ênfase na fundamentação da nulidade da condenação lastreada exclusivamente nesse reconhecimento inválido.</w:t>
      </w:r>
    </w:p>
    <w:p>
      <w:pPr>
        <w:spacing w:after="60"/>
        <w:ind w:left="260"/>
      </w:pPr>
      <w:r>
        <w:rPr>
          <w:b/>
          <w:bCs/>
          <w:i/>
          <w:iCs/>
          <w:sz w:val="20"/>
          <w:szCs w:val="20"/>
        </w:rPr>
        <w:t xml:space="preserve">Oral: </w:t>
      </w:r>
      <w:r>
        <w:rPr>
          <w:sz w:val="20"/>
          <w:szCs w:val="20"/>
        </w:rPr>
        <w:t xml:space="preserve">Um reconhecimento fotográfico irregular na fase policial pode ser "corrigido" por reconhecimento pessoal formal em juízo?</w:t>
      </w:r>
    </w:p>
    <w:p>
      <w:pPr>
        <w:spacing w:after="60" w:before="160"/>
      </w:pPr>
      <w:r>
        <w:rPr>
          <w:b/>
          <w:bCs/>
          <w:color w:val="333333"/>
          <w:sz w:val="21"/>
          <w:szCs w:val="21"/>
        </w:rPr>
        <w:t xml:space="preserve">🔗 Conexões</w:t>
      </w:r>
    </w:p>
    <w:p>
      <w:pPr>
        <w:spacing w:after="100"/>
      </w:pPr>
      <w:r>
        <w:rPr>
          <w:sz w:val="20"/>
          <w:szCs w:val="20"/>
        </w:rPr>
        <w:t xml:space="preserve">Ficha 5.1 (Tema 1258).</w:t>
      </w:r>
    </w:p>
    <w:p>
      <w:pPr>
        <w:pBdr>
          <w:bottom w:val="single" w:color="8B1A1A" w:sz="12" w:space="4"/>
        </w:pBdr>
        <w:spacing w:after="200" w:before="120"/>
      </w:pPr>
    </w:p>
    <w:p>
      <w:pPr>
        <w:shd w:fill="FBEAEA" w:color="auto" w:val="clear"/>
        <w:spacing w:after="40" w:before="240"/>
      </w:pPr>
      <w:bookmarkStart w:name="ficha_16" w:id="1"/>
      <w:r>
        <w:rPr>
          <w:b/>
          <w:bCs/>
          <w:color w:val="8B1A1A"/>
          <w:sz w:val="24"/>
          <w:szCs w:val="24"/>
        </w:rPr>
        <w:t xml:space="preserve">📌 5.3  Reconhecimento espontâneo pela vítima dispensa as formalidades do art. 226</w:t>
      </w:r>
      <w:bookmarkEnd w:id="1"/>
    </w:p>
    <w:p>
      <w:pPr>
        <w:spacing w:after="60"/>
      </w:pPr>
      <w:r>
        <w:rPr>
          <w:b/>
          <w:bCs/>
          <w:color w:val="8B1A1A"/>
          <w:sz w:val="20"/>
          <w:szCs w:val="20"/>
        </w:rPr>
        <w:t xml:space="preserve">Tribunal: </w:t>
      </w:r>
      <w:r>
        <w:rPr>
          <w:sz w:val="20"/>
          <w:szCs w:val="20"/>
        </w:rPr>
        <w:t xml:space="preserve">STJ   |   Órgão: 5ª Turma</w:t>
      </w:r>
    </w:p>
    <w:p>
      <w:pPr>
        <w:spacing w:after="60"/>
      </w:pPr>
      <w:r>
        <w:rPr>
          <w:b/>
          <w:bCs/>
          <w:color w:val="8B1A1A"/>
          <w:sz w:val="20"/>
          <w:szCs w:val="20"/>
        </w:rPr>
        <w:t xml:space="preserve">Processo/Relator/Data: </w:t>
      </w:r>
      <w:r>
        <w:rPr>
          <w:sz w:val="20"/>
          <w:szCs w:val="20"/>
        </w:rPr>
        <w:t xml:space="preserve">AgRg no HC 1.029.656-BA, Rel. Min. Ribeiro Dantas, j. 15/10/2025 (Info 30 – Edição Extraordinária)</w:t>
      </w:r>
    </w:p>
    <w:p>
      <w:pPr>
        <w:spacing w:after="60"/>
      </w:pPr>
      <w:r>
        <w:rPr>
          <w:b/>
          <w:bCs/>
          <w:color w:val="8B1A1A"/>
          <w:sz w:val="20"/>
          <w:szCs w:val="20"/>
        </w:rPr>
        <w:t xml:space="preserve">Sistemática: </w:t>
      </w:r>
      <w:r>
        <w:rPr>
          <w:sz w:val="20"/>
          <w:szCs w:val="20"/>
        </w:rPr>
        <w:t xml:space="preserve">Caso isolado</w:t>
      </w:r>
    </w:p>
    <w:p>
      <w:pPr>
        <w:spacing w:after="60" w:before="160"/>
      </w:pPr>
      <w:r>
        <w:rPr>
          <w:b/>
          <w:bCs/>
          <w:color w:val="333333"/>
          <w:sz w:val="21"/>
          <w:szCs w:val="21"/>
        </w:rPr>
        <w:t xml:space="preserve">📍 Tese fixada / Decisão</w:t>
      </w:r>
    </w:p>
    <w:p>
      <w:pPr>
        <w:spacing w:after="100"/>
      </w:pPr>
      <w:r>
        <w:rPr>
          <w:i/>
          <w:iCs/>
          <w:sz w:val="20"/>
          <w:szCs w:val="20"/>
        </w:rPr>
        <w:t xml:space="preserve">O procedimento de reconhecimento de pessoas do art. 226 do CPP é dispensável quando a vítima identifica o autor do fato com certeza, de forma espontânea e sem sugestionamento das autoridades, situação que compatibiliza com o item 6 da tese do Tema 1258.</w:t>
      </w:r>
    </w:p>
    <w:p>
      <w:pPr>
        <w:spacing w:after="60" w:before="160"/>
      </w:pPr>
      <w:r>
        <w:rPr>
          <w:b/>
          <w:bCs/>
          <w:color w:val="333333"/>
          <w:sz w:val="21"/>
          <w:szCs w:val="21"/>
        </w:rPr>
        <w:t xml:space="preserve">📚 Resumo do caso</w:t>
      </w:r>
    </w:p>
    <w:p>
      <w:pPr>
        <w:spacing w:after="100"/>
      </w:pPr>
      <w:r>
        <w:rPr>
          <w:sz w:val="20"/>
          <w:szCs w:val="20"/>
        </w:rPr>
        <w:t xml:space="preserve">Vítima de roubo, baleada durante o crime, reconheceu de forma imediata e espontânea, no mesmo hospital, o autor do fato (também ferido a tiros na troca de disparos), sem qualquer indução policial. O STJ considerou válido esse reconhecimento espontâneo, mesmo sem observância estrita das formalidades do art. 226 do CPP.</w:t>
      </w:r>
    </w:p>
    <w:p>
      <w:pPr>
        <w:spacing w:after="60" w:before="160"/>
      </w:pPr>
      <w:r>
        <w:rPr>
          <w:b/>
          <w:bCs/>
          <w:color w:val="333333"/>
          <w:sz w:val="21"/>
          <w:szCs w:val="21"/>
        </w:rPr>
        <w:t xml:space="preserve">🎯 Como pode ser cobrado em prova</w:t>
      </w:r>
    </w:p>
    <w:p>
      <w:pPr>
        <w:spacing w:after="60"/>
        <w:ind w:left="260"/>
      </w:pPr>
      <w:r>
        <w:rPr>
          <w:b/>
          <w:bCs/>
          <w:i/>
          <w:iCs/>
          <w:sz w:val="20"/>
          <w:szCs w:val="20"/>
        </w:rPr>
        <w:t xml:space="preserve">Objetiva: </w:t>
      </w:r>
      <w:r>
        <w:rPr>
          <w:sz w:val="20"/>
          <w:szCs w:val="20"/>
        </w:rPr>
        <w:t xml:space="preserve">Alternativa generalizando a dispensa das formalidades para qualquer reconhecimento (incorreto — a exceção depende de certeza da vítima e ausência de sugestionamento).</w:t>
      </w:r>
    </w:p>
    <w:p>
      <w:pPr>
        <w:spacing w:after="60"/>
        <w:ind w:left="260"/>
      </w:pPr>
      <w:r>
        <w:rPr>
          <w:b/>
          <w:bCs/>
          <w:i/>
          <w:iCs/>
          <w:sz w:val="20"/>
          <w:szCs w:val="20"/>
        </w:rPr>
        <w:t xml:space="preserve">Discursiva: </w:t>
      </w:r>
      <w:r>
        <w:rPr>
          <w:sz w:val="20"/>
          <w:szCs w:val="20"/>
        </w:rPr>
        <w:t xml:space="preserve">Caso de reconhecimento espontâneo e imediato pela vítima em contexto excepcional (ex.: flagrante impróprio) — avaliar validade da prova.</w:t>
      </w:r>
    </w:p>
    <w:p>
      <w:pPr>
        <w:spacing w:after="60"/>
        <w:ind w:left="260"/>
      </w:pPr>
      <w:r>
        <w:rPr>
          <w:b/>
          <w:bCs/>
          <w:i/>
          <w:iCs/>
          <w:sz w:val="20"/>
          <w:szCs w:val="20"/>
        </w:rPr>
        <w:t xml:space="preserve">Oral: </w:t>
      </w:r>
      <w:r>
        <w:rPr>
          <w:sz w:val="20"/>
          <w:szCs w:val="20"/>
        </w:rPr>
        <w:t xml:space="preserve">Em que hipótese o STJ dispensa as formalidades do art. 226 do CPP para o reconhecimento de pessoas?</w:t>
      </w:r>
    </w:p>
    <w:p>
      <w:pPr>
        <w:spacing w:after="60" w:before="160"/>
      </w:pPr>
      <w:r>
        <w:rPr>
          <w:b/>
          <w:bCs/>
          <w:color w:val="333333"/>
          <w:sz w:val="21"/>
          <w:szCs w:val="21"/>
        </w:rPr>
        <w:t xml:space="preserve">🔗 Conexões</w:t>
      </w:r>
    </w:p>
    <w:p>
      <w:pPr>
        <w:spacing w:after="100"/>
      </w:pPr>
      <w:r>
        <w:rPr>
          <w:sz w:val="20"/>
          <w:szCs w:val="20"/>
        </w:rPr>
        <w:t xml:space="preserve">Ficha 5.1, item 6, do Tema 1258.</w:t>
      </w:r>
    </w:p>
    <w:p>
      <w:pPr>
        <w:pBdr>
          <w:bottom w:val="single" w:color="8B1A1A" w:sz="12" w:space="4"/>
        </w:pBdr>
        <w:spacing w:after="200" w:before="120"/>
      </w:pPr>
    </w:p>
    <w:p>
      <w:pPr>
        <w:pStyle w:val="Heading1"/>
        <w:spacing w:after="160" w:before="320"/>
      </w:pPr>
      <w:bookmarkStart w:name="subtema_6" w:id="1"/>
      <w:r>
        <w:t xml:space="preserve">6. Cadeia de Custódia e Perícias (arts. 158 a 184-A, CPP)</w:t>
      </w:r>
      <w:bookmarkEnd w:id="1"/>
    </w:p>
    <w:p>
      <w:pPr>
        <w:shd w:fill="FBEAEA" w:color="auto" w:val="clear"/>
        <w:spacing w:after="40" w:before="240"/>
      </w:pPr>
      <w:bookmarkStart w:name="ficha_17" w:id="1"/>
      <w:r>
        <w:rPr>
          <w:b/>
          <w:bCs/>
          <w:color w:val="8B1A1A"/>
          <w:sz w:val="24"/>
          <w:szCs w:val="24"/>
        </w:rPr>
        <w:t xml:space="preserve">📌 6.1  Irregularidade na cadeia de custódia não gera nulidade automática, mas afeta a eficácia da prova</w:t>
      </w:r>
      <w:bookmarkEnd w:id="1"/>
    </w:p>
    <w:p>
      <w:pPr>
        <w:spacing w:after="60"/>
      </w:pPr>
      <w:r>
        <w:rPr>
          <w:b/>
          <w:bCs/>
          <w:color w:val="8B1A1A"/>
          <w:sz w:val="20"/>
          <w:szCs w:val="20"/>
        </w:rPr>
        <w:t xml:space="preserve">Tribunal: </w:t>
      </w:r>
      <w:r>
        <w:rPr>
          <w:sz w:val="20"/>
          <w:szCs w:val="20"/>
        </w:rPr>
        <w:t xml:space="preserve">STJ   |   Órgão: Corte Especial</w:t>
      </w:r>
    </w:p>
    <w:p>
      <w:pPr>
        <w:spacing w:after="60"/>
      </w:pPr>
      <w:r>
        <w:rPr>
          <w:b/>
          <w:bCs/>
          <w:color w:val="8B1A1A"/>
          <w:sz w:val="20"/>
          <w:szCs w:val="20"/>
        </w:rPr>
        <w:t xml:space="preserve">Processo/Relator/Data: </w:t>
      </w:r>
      <w:r>
        <w:rPr>
          <w:sz w:val="20"/>
          <w:szCs w:val="20"/>
        </w:rPr>
        <w:t xml:space="preserve">Inq 1.674-DF, Rel. Min. Nancy Andrighi, j. 06/05/2026 (Info 891)</w:t>
      </w:r>
    </w:p>
    <w:p>
      <w:pPr>
        <w:spacing w:after="60"/>
      </w:pPr>
      <w:r>
        <w:rPr>
          <w:b/>
          <w:bCs/>
          <w:color w:val="8B1A1A"/>
          <w:sz w:val="20"/>
          <w:szCs w:val="20"/>
        </w:rPr>
        <w:t xml:space="preserve">Sistemática: </w:t>
      </w:r>
      <w:r>
        <w:rPr>
          <w:sz w:val="20"/>
          <w:szCs w:val="20"/>
        </w:rPr>
        <w:t xml:space="preserve">Caso isolado — mas de grande relevância por ter sido julgado pela Corte Especial em ação penal originária contra Governador</w:t>
      </w:r>
    </w:p>
    <w:p>
      <w:pPr>
        <w:spacing w:after="60" w:before="160"/>
      </w:pPr>
      <w:r>
        <w:rPr>
          <w:b/>
          <w:bCs/>
          <w:color w:val="333333"/>
          <w:sz w:val="21"/>
          <w:szCs w:val="21"/>
        </w:rPr>
        <w:t xml:space="preserve">📍 Tese fixada / Decisão</w:t>
      </w:r>
    </w:p>
    <w:p>
      <w:pPr>
        <w:spacing w:after="100"/>
      </w:pPr>
      <w:r>
        <w:rPr>
          <w:i/>
          <w:iCs/>
          <w:sz w:val="20"/>
          <w:szCs w:val="20"/>
        </w:rPr>
        <w:t xml:space="preserve">A observância da cadeia de custódia (arts. 158-A a 158-F, CPP) não se relaciona a nulidade processual, mas à eficácia probatória, a ser analisada no caso concreto; seu descumprimento não anula a prova de forma automática, exigindo-se demonstração concreta de adulteração ou prejuízo.</w:t>
      </w:r>
    </w:p>
    <w:p>
      <w:pPr>
        <w:spacing w:after="60" w:before="160"/>
      </w:pPr>
      <w:r>
        <w:rPr>
          <w:b/>
          <w:bCs/>
          <w:color w:val="333333"/>
          <w:sz w:val="21"/>
          <w:szCs w:val="21"/>
        </w:rPr>
        <w:t xml:space="preserve">📚 Resumo do caso</w:t>
      </w:r>
    </w:p>
    <w:p>
      <w:pPr>
        <w:spacing w:after="100"/>
      </w:pPr>
      <w:r>
        <w:rPr>
          <w:sz w:val="20"/>
          <w:szCs w:val="20"/>
        </w:rPr>
        <w:t xml:space="preserve">Em ação penal originária contra Governador de Estado por fraude à licitação e peculato-desvio, a defesa arguiu quebra da cadeia de custódia de provas digitais (computadores, celulares e tablet manuseados por policiais antes de perícia oficial). O STJ rejeitou a preliminar e recebeu a denúncia, fixando duas teses de julgamento: (1) cópia por espelhamento com função hash é instrumento hábil para garantir integridade da evidência digital; (2) o agente policial pode fazer verificação e coleta preliminar de dados em celular durante cumprimento de mandado, sem necessidade imediata de perito oficial.</w:t>
      </w:r>
    </w:p>
    <w:p>
      <w:pPr>
        <w:spacing w:after="60" w:before="160"/>
      </w:pPr>
      <w:r>
        <w:rPr>
          <w:b/>
          <w:bCs/>
          <w:color w:val="333333"/>
          <w:sz w:val="21"/>
          <w:szCs w:val="21"/>
        </w:rPr>
        <w:t xml:space="preserve">🎯 Como pode ser cobrado em prova</w:t>
      </w:r>
    </w:p>
    <w:p>
      <w:pPr>
        <w:spacing w:after="60"/>
        <w:ind w:left="260"/>
      </w:pPr>
      <w:r>
        <w:rPr>
          <w:b/>
          <w:bCs/>
          <w:i/>
          <w:iCs/>
          <w:sz w:val="20"/>
          <w:szCs w:val="20"/>
        </w:rPr>
        <w:t xml:space="preserve">Objetiva: </w:t>
      </w:r>
      <w:r>
        <w:rPr>
          <w:sz w:val="20"/>
          <w:szCs w:val="20"/>
        </w:rPr>
        <w:t xml:space="preserve">Alternativa tratando qualquer falha formal na cadeia de custódia como nulidade automática (incorreto — é preciso demonstrar prejuízo concreto); ou negando que agente não-perito possa fazer qualquer verificação preliminar em celular apreendido (incorreto).</w:t>
      </w:r>
    </w:p>
    <w:p>
      <w:pPr>
        <w:spacing w:after="60"/>
        <w:ind w:left="260"/>
      </w:pPr>
      <w:r>
        <w:rPr>
          <w:b/>
          <w:bCs/>
          <w:i/>
          <w:iCs/>
          <w:sz w:val="20"/>
          <w:szCs w:val="20"/>
        </w:rPr>
        <w:t xml:space="preserve">Discursiva: </w:t>
      </w:r>
      <w:r>
        <w:rPr>
          <w:sz w:val="20"/>
          <w:szCs w:val="20"/>
        </w:rPr>
        <w:t xml:space="preserve">Preliminar de nulidade por quebra de cadeia de custódia de provas digitais suscitada antes do recebimento da denúncia — o candidato deve diferenciar nulidade processual de eficácia probatória e aplicar o standard de justa causa (mais brando) nessa fase.</w:t>
      </w:r>
    </w:p>
    <w:p>
      <w:pPr>
        <w:spacing w:after="60"/>
        <w:ind w:left="260"/>
      </w:pPr>
      <w:r>
        <w:rPr>
          <w:b/>
          <w:bCs/>
          <w:i/>
          <w:iCs/>
          <w:sz w:val="20"/>
          <w:szCs w:val="20"/>
        </w:rPr>
        <w:t xml:space="preserve">Oral: </w:t>
      </w:r>
      <w:r>
        <w:rPr>
          <w:sz w:val="20"/>
          <w:szCs w:val="20"/>
        </w:rPr>
        <w:t xml:space="preserve">A quebra da cadeia de custódia gera nulidade automática do processo? O que se deve demonstrar para reconhecer sua ilicitude?</w:t>
      </w:r>
    </w:p>
    <w:p>
      <w:pPr>
        <w:spacing w:after="60" w:before="160"/>
      </w:pPr>
      <w:r>
        <w:rPr>
          <w:b/>
          <w:bCs/>
          <w:color w:val="333333"/>
          <w:sz w:val="21"/>
          <w:szCs w:val="21"/>
        </w:rPr>
        <w:t xml:space="preserve">🔗 Conexões</w:t>
      </w:r>
    </w:p>
    <w:p>
      <w:pPr>
        <w:spacing w:after="100"/>
      </w:pPr>
      <w:r>
        <w:rPr>
          <w:sz w:val="20"/>
          <w:szCs w:val="20"/>
        </w:rPr>
        <w:t xml:space="preserve">Fichas 6.2, 6.3, 6.4 (aplicações digitais); arts. 158-A a 158-F, CPP (Lei 13.964/2019); TRF3-2025-FGV (mesmo tema).</w:t>
      </w:r>
    </w:p>
    <w:p>
      <w:pPr>
        <w:pBdr>
          <w:bottom w:val="single" w:color="8B1A1A" w:sz="12" w:space="4"/>
        </w:pBdr>
        <w:spacing w:after="200" w:before="120"/>
      </w:pPr>
    </w:p>
    <w:p>
      <w:pPr>
        <w:shd w:fill="FBEAEA" w:color="auto" w:val="clear"/>
        <w:spacing w:after="40" w:before="240"/>
      </w:pPr>
      <w:bookmarkStart w:name="ficha_18" w:id="1"/>
      <w:r>
        <w:rPr>
          <w:b/>
          <w:bCs/>
          <w:color w:val="8B1A1A"/>
          <w:sz w:val="24"/>
          <w:szCs w:val="24"/>
        </w:rPr>
        <w:t xml:space="preserve">📌 6.2  Nulo o laudo pericial baseado em mídias inacessíveis à defesa por falha na cadeia de custódia</w:t>
      </w:r>
      <w:bookmarkEnd w:id="1"/>
    </w:p>
    <w:p>
      <w:pPr>
        <w:spacing w:after="60"/>
      </w:pPr>
      <w:r>
        <w:rPr>
          <w:b/>
          <w:bCs/>
          <w:color w:val="8B1A1A"/>
          <w:sz w:val="20"/>
          <w:szCs w:val="20"/>
        </w:rPr>
        <w:t xml:space="preserve">Tribunal: </w:t>
      </w:r>
      <w:r>
        <w:rPr>
          <w:sz w:val="20"/>
          <w:szCs w:val="20"/>
        </w:rPr>
        <w:t xml:space="preserve">STJ   |   Órgão: 6ª Turma</w:t>
      </w:r>
    </w:p>
    <w:p>
      <w:pPr>
        <w:spacing w:after="60"/>
      </w:pPr>
      <w:r>
        <w:rPr>
          <w:b/>
          <w:bCs/>
          <w:color w:val="8B1A1A"/>
          <w:sz w:val="20"/>
          <w:szCs w:val="20"/>
        </w:rPr>
        <w:t xml:space="preserve">Processo/Relator/Data: </w:t>
      </w:r>
      <w:r>
        <w:rPr>
          <w:sz w:val="20"/>
          <w:szCs w:val="20"/>
        </w:rPr>
        <w:t xml:space="preserve">RHC 218.358-PI, Rel. Min. Sebastião Reis Júnior, j. 04/11/2025 (Info 870)</w:t>
      </w:r>
    </w:p>
    <w:p>
      <w:pPr>
        <w:spacing w:after="60"/>
      </w:pPr>
      <w:r>
        <w:rPr>
          <w:b/>
          <w:bCs/>
          <w:color w:val="8B1A1A"/>
          <w:sz w:val="20"/>
          <w:szCs w:val="20"/>
        </w:rPr>
        <w:t xml:space="preserve">Sistemática: </w:t>
      </w:r>
      <w:r>
        <w:rPr>
          <w:sz w:val="20"/>
          <w:szCs w:val="20"/>
        </w:rPr>
        <w:t xml:space="preserve">Caso isolado</w:t>
      </w:r>
    </w:p>
    <w:p>
      <w:pPr>
        <w:spacing w:after="60" w:before="160"/>
      </w:pPr>
      <w:r>
        <w:rPr>
          <w:b/>
          <w:bCs/>
          <w:color w:val="333333"/>
          <w:sz w:val="21"/>
          <w:szCs w:val="21"/>
        </w:rPr>
        <w:t xml:space="preserve">📍 Tese fixada / Decisão</w:t>
      </w:r>
    </w:p>
    <w:p>
      <w:pPr>
        <w:spacing w:after="100"/>
      </w:pPr>
      <w:r>
        <w:rPr>
          <w:i/>
          <w:iCs/>
          <w:sz w:val="20"/>
          <w:szCs w:val="20"/>
        </w:rPr>
        <w:t xml:space="preserve">A falha no armazenamento das mídias que serviram de base a laudo pericial, tornando-as inacessíveis à defesa para contraprova, caracteriza quebra da cadeia de custódia e justifica a nulidade e o desentranhamento do laudo produzido a partir delas.</w:t>
      </w:r>
    </w:p>
    <w:p>
      <w:pPr>
        <w:spacing w:after="60" w:before="160"/>
      </w:pPr>
      <w:r>
        <w:rPr>
          <w:b/>
          <w:bCs/>
          <w:color w:val="333333"/>
          <w:sz w:val="21"/>
          <w:szCs w:val="21"/>
        </w:rPr>
        <w:t xml:space="preserve">📚 Resumo do caso</w:t>
      </w:r>
    </w:p>
    <w:p>
      <w:pPr>
        <w:spacing w:after="100"/>
      </w:pPr>
      <w:r>
        <w:rPr>
          <w:sz w:val="20"/>
          <w:szCs w:val="20"/>
        </w:rPr>
        <w:t xml:space="preserve">Laudos periciais em acidente de trânsito com resultado morte foram produzidos a partir de imagens de câmeras de segurança e simulações, cujas mídias originais (CDs) foram extraviadas ou danificadas, impedindo à defesa o acesso para conferência da metodologia e produção de contraprova. O STJ determinou a exclusão dos laudos, por comprometimento do contraditório e da ampla defesa.</w:t>
      </w:r>
    </w:p>
    <w:p>
      <w:pPr>
        <w:spacing w:after="60" w:before="160"/>
      </w:pPr>
      <w:r>
        <w:rPr>
          <w:b/>
          <w:bCs/>
          <w:color w:val="333333"/>
          <w:sz w:val="21"/>
          <w:szCs w:val="21"/>
        </w:rPr>
        <w:t xml:space="preserve">🎯 Como pode ser cobrado em prova</w:t>
      </w:r>
    </w:p>
    <w:p>
      <w:pPr>
        <w:spacing w:after="60"/>
        <w:ind w:left="260"/>
      </w:pPr>
      <w:r>
        <w:rPr>
          <w:b/>
          <w:bCs/>
          <w:i/>
          <w:iCs/>
          <w:sz w:val="20"/>
          <w:szCs w:val="20"/>
        </w:rPr>
        <w:t xml:space="preserve">Objetiva: </w:t>
      </w:r>
      <w:r>
        <w:rPr>
          <w:sz w:val="20"/>
          <w:szCs w:val="20"/>
        </w:rPr>
        <w:t xml:space="preserve">Contrastar com a ficha 6.1: aqui há efetivo prejuízo concreto (impossibilidade de contraprova), o que justifica a nulidade — diferente de mera irregularidade formal sem prejuízo demonstrado.</w:t>
      </w:r>
    </w:p>
    <w:p>
      <w:pPr>
        <w:spacing w:after="60"/>
        <w:ind w:left="260"/>
      </w:pPr>
      <w:r>
        <w:rPr>
          <w:b/>
          <w:bCs/>
          <w:i/>
          <w:iCs/>
          <w:sz w:val="20"/>
          <w:szCs w:val="20"/>
        </w:rPr>
        <w:t xml:space="preserve">Discursiva: </w:t>
      </w:r>
      <w:r>
        <w:rPr>
          <w:sz w:val="20"/>
          <w:szCs w:val="20"/>
        </w:rPr>
        <w:t xml:space="preserve">Caso em que a defesa demonstra a impossibilidade de acessar mídia original usada em laudo pericial — avaliar a nulidade à luz do contraditório e da cadeia de custódia.</w:t>
      </w:r>
    </w:p>
    <w:p>
      <w:pPr>
        <w:spacing w:after="60"/>
        <w:ind w:left="260"/>
      </w:pPr>
      <w:r>
        <w:rPr>
          <w:b/>
          <w:bCs/>
          <w:i/>
          <w:iCs/>
          <w:sz w:val="20"/>
          <w:szCs w:val="20"/>
        </w:rPr>
        <w:t xml:space="preserve">Oral: </w:t>
      </w:r>
      <w:r>
        <w:rPr>
          <w:sz w:val="20"/>
          <w:szCs w:val="20"/>
        </w:rPr>
        <w:t xml:space="preserve">Qual a diferença entre uma falha formal na cadeia de custódia e uma falha que gera efetivo prejuízo à defesa?</w:t>
      </w:r>
    </w:p>
    <w:p>
      <w:pPr>
        <w:spacing w:after="60" w:before="160"/>
      </w:pPr>
      <w:r>
        <w:rPr>
          <w:b/>
          <w:bCs/>
          <w:color w:val="333333"/>
          <w:sz w:val="21"/>
          <w:szCs w:val="21"/>
        </w:rPr>
        <w:t xml:space="preserve">🔗 Conexões</w:t>
      </w:r>
    </w:p>
    <w:p>
      <w:pPr>
        <w:spacing w:after="100"/>
      </w:pPr>
      <w:r>
        <w:rPr>
          <w:sz w:val="20"/>
          <w:szCs w:val="20"/>
        </w:rPr>
        <w:t xml:space="preserve">Ficha 6.1 (standard de prejuízo concreto); arts. 158-A a 158-F, CPP.</w:t>
      </w:r>
    </w:p>
    <w:p>
      <w:pPr>
        <w:pBdr>
          <w:bottom w:val="single" w:color="8B1A1A" w:sz="12" w:space="4"/>
        </w:pBdr>
        <w:spacing w:after="200" w:before="120"/>
      </w:pPr>
    </w:p>
    <w:p>
      <w:pPr>
        <w:shd w:fill="FBEAEA" w:color="auto" w:val="clear"/>
        <w:spacing w:after="40" w:before="240"/>
      </w:pPr>
      <w:bookmarkStart w:name="ficha_19" w:id="1"/>
      <w:r>
        <w:rPr>
          <w:b/>
          <w:bCs/>
          <w:color w:val="8B1A1A"/>
          <w:sz w:val="24"/>
          <w:szCs w:val="24"/>
        </w:rPr>
        <w:t xml:space="preserve">📌 6.3  Relatório produzido com IA generativa não tem confiabilidade epistêmica para ser prova penal</w:t>
      </w:r>
      <w:bookmarkEnd w:id="1"/>
    </w:p>
    <w:p>
      <w:pPr>
        <w:spacing w:after="60"/>
      </w:pPr>
      <w:r>
        <w:rPr>
          <w:b/>
          <w:bCs/>
          <w:color w:val="8B1A1A"/>
          <w:sz w:val="20"/>
          <w:szCs w:val="20"/>
        </w:rPr>
        <w:t xml:space="preserve">Tribunal: </w:t>
      </w:r>
      <w:r>
        <w:rPr>
          <w:sz w:val="20"/>
          <w:szCs w:val="20"/>
        </w:rPr>
        <w:t xml:space="preserve">STJ   |   Órgão: 5ª Turma</w:t>
      </w:r>
    </w:p>
    <w:p>
      <w:pPr>
        <w:spacing w:after="60"/>
      </w:pPr>
      <w:r>
        <w:rPr>
          <w:b/>
          <w:bCs/>
          <w:color w:val="8B1A1A"/>
          <w:sz w:val="20"/>
          <w:szCs w:val="20"/>
        </w:rPr>
        <w:t xml:space="preserve">Processo/Relator/Data: </w:t>
      </w:r>
      <w:r>
        <w:rPr>
          <w:sz w:val="20"/>
          <w:szCs w:val="20"/>
        </w:rPr>
        <w:t xml:space="preserve">HC 1.059.475-SP, Rel. Min. Reynaldo Soares da Fonseca, j. 07/04/2026 (Info 884)</w:t>
      </w:r>
    </w:p>
    <w:p>
      <w:pPr>
        <w:spacing w:after="60"/>
      </w:pPr>
      <w:r>
        <w:rPr>
          <w:b/>
          <w:bCs/>
          <w:color w:val="8B1A1A"/>
          <w:sz w:val="20"/>
          <w:szCs w:val="20"/>
        </w:rPr>
        <w:t xml:space="preserve">Sistemática: </w:t>
      </w:r>
      <w:r>
        <w:rPr>
          <w:sz w:val="20"/>
          <w:szCs w:val="20"/>
        </w:rPr>
        <w:t xml:space="preserve">Caso isolado — tema inédito e altamente vocacionado a ser cobrado (uso de IA na persecução penal)</w:t>
      </w:r>
    </w:p>
    <w:p>
      <w:pPr>
        <w:spacing w:after="60" w:before="160"/>
      </w:pPr>
      <w:r>
        <w:rPr>
          <w:b/>
          <w:bCs/>
          <w:color w:val="333333"/>
          <w:sz w:val="21"/>
          <w:szCs w:val="21"/>
        </w:rPr>
        <w:t xml:space="preserve">📍 Tese fixada / Decisão</w:t>
      </w:r>
    </w:p>
    <w:p>
      <w:pPr>
        <w:spacing w:after="100"/>
      </w:pPr>
      <w:r>
        <w:rPr>
          <w:i/>
          <w:iCs/>
          <w:sz w:val="20"/>
          <w:szCs w:val="20"/>
        </w:rPr>
        <w:t xml:space="preserve">O relatório produzido por investigador de polícia com uso de ferramentas de inteligência artificial generativa (ex.: Gemini, Perplexity) não possui confiabilidade epistêmica mínima para ser utilizado como prova no processo penal, sobretudo quando contraria perícias oficiais.</w:t>
      </w:r>
    </w:p>
    <w:p>
      <w:pPr>
        <w:spacing w:after="60" w:before="160"/>
      </w:pPr>
      <w:r>
        <w:rPr>
          <w:b/>
          <w:bCs/>
          <w:color w:val="333333"/>
          <w:sz w:val="21"/>
          <w:szCs w:val="21"/>
        </w:rPr>
        <w:t xml:space="preserve">📚 Resumo do caso</w:t>
      </w:r>
    </w:p>
    <w:p>
      <w:pPr>
        <w:spacing w:after="100"/>
      </w:pPr>
      <w:r>
        <w:rPr>
          <w:sz w:val="20"/>
          <w:szCs w:val="20"/>
        </w:rPr>
        <w:t xml:space="preserve">Duas perícias oficiais concluíram que o denunciado não havia proferido determinada expressão racista; ainda assim, a polícia solicitou relatório complementar produzido com ferramentas de IA generativa, que concluiu o oposto, servindo de base para a denúncia. O STJ afastou o relatório de IA, por não ser prova pericial, não ter metodologia verificável e apresentar risco de "alucinação" (informação falsa com aparência de veracidade), exigindo-se adequação epistêmica, e não apenas licitude formal, para a admissibilidade da prova.</w:t>
      </w:r>
    </w:p>
    <w:p>
      <w:pPr>
        <w:spacing w:after="60" w:before="160"/>
      </w:pPr>
      <w:r>
        <w:rPr>
          <w:b/>
          <w:bCs/>
          <w:color w:val="333333"/>
          <w:sz w:val="21"/>
          <w:szCs w:val="21"/>
        </w:rPr>
        <w:t xml:space="preserve">🎯 Como pode ser cobrado em prova</w:t>
      </w:r>
    </w:p>
    <w:p>
      <w:pPr>
        <w:spacing w:after="60"/>
        <w:ind w:left="260"/>
      </w:pPr>
      <w:r>
        <w:rPr>
          <w:b/>
          <w:bCs/>
          <w:i/>
          <w:iCs/>
          <w:sz w:val="20"/>
          <w:szCs w:val="20"/>
        </w:rPr>
        <w:t xml:space="preserve">Objetiva: </w:t>
      </w:r>
      <w:r>
        <w:rPr>
          <w:sz w:val="20"/>
          <w:szCs w:val="20"/>
        </w:rPr>
        <w:t xml:space="preserve">Alternativa que equipare relatório de IA generativa a laudo pericial oficial (incorreto); ou que trate a IA como sempre inadmissível em qualquer contexto (a decisão é específica sobre a falta de confiabilidade epistêmica, não uma vedação genérica ao uso de tecnologia).</w:t>
      </w:r>
    </w:p>
    <w:p>
      <w:pPr>
        <w:spacing w:after="60"/>
        <w:ind w:left="260"/>
      </w:pPr>
      <w:r>
        <w:rPr>
          <w:b/>
          <w:bCs/>
          <w:i/>
          <w:iCs/>
          <w:sz w:val="20"/>
          <w:szCs w:val="20"/>
        </w:rPr>
        <w:t xml:space="preserve">Discursiva: </w:t>
      </w:r>
      <w:r>
        <w:rPr>
          <w:sz w:val="20"/>
          <w:szCs w:val="20"/>
        </w:rPr>
        <w:t xml:space="preserve">Denúncia lastreada em relatório produzido por ferramenta de IA generativa que contraria perícia oficial — pede-se decisão sobre a admissibilidade dessa prova.</w:t>
      </w:r>
    </w:p>
    <w:p>
      <w:pPr>
        <w:spacing w:after="60"/>
        <w:ind w:left="260"/>
      </w:pPr>
      <w:r>
        <w:rPr>
          <w:b/>
          <w:bCs/>
          <w:i/>
          <w:iCs/>
          <w:sz w:val="20"/>
          <w:szCs w:val="20"/>
        </w:rPr>
        <w:t xml:space="preserve">Oral: </w:t>
      </w:r>
      <w:r>
        <w:rPr>
          <w:sz w:val="20"/>
          <w:szCs w:val="20"/>
        </w:rPr>
        <w:t xml:space="preserve">É possível admitir, como prova penal, relatório técnico produzido inteiramente por ferramentas de inteligência artificial generativa? Por quê?</w:t>
      </w:r>
    </w:p>
    <w:p>
      <w:pPr>
        <w:spacing w:after="60" w:before="160"/>
      </w:pPr>
      <w:r>
        <w:rPr>
          <w:b/>
          <w:bCs/>
          <w:color w:val="333333"/>
          <w:sz w:val="21"/>
          <w:szCs w:val="21"/>
        </w:rPr>
        <w:t xml:space="preserve">🔗 Conexões</w:t>
      </w:r>
    </w:p>
    <w:p>
      <w:pPr>
        <w:spacing w:after="100"/>
      </w:pPr>
      <w:r>
        <w:rPr>
          <w:sz w:val="20"/>
          <w:szCs w:val="20"/>
        </w:rPr>
        <w:t xml:space="preserve">Art. 182, CPP (juiz não fica adstrito ao laudo, mas precisa de fundamentação técnico-científica idônea); tema "vocacionado" de altíssima probabilidade de repetição em provas futuras.</w:t>
      </w:r>
    </w:p>
    <w:p>
      <w:pPr>
        <w:pBdr>
          <w:bottom w:val="single" w:color="8B1A1A" w:sz="12" w:space="4"/>
        </w:pBdr>
        <w:spacing w:after="200" w:before="120"/>
      </w:pPr>
    </w:p>
    <w:p>
      <w:pPr>
        <w:shd w:fill="FBEAEA" w:color="auto" w:val="clear"/>
        <w:spacing w:after="40" w:before="240"/>
      </w:pPr>
      <w:bookmarkStart w:name="ficha_20" w:id="1"/>
      <w:r>
        <w:rPr>
          <w:b/>
          <w:bCs/>
          <w:color w:val="8B1A1A"/>
          <w:sz w:val="24"/>
          <w:szCs w:val="24"/>
        </w:rPr>
        <w:t xml:space="preserve">📌 6.4  Dúvida sobre integridade de prova digital exige perícia e pode substituir prisão preventiva</w:t>
      </w:r>
      <w:bookmarkEnd w:id="1"/>
    </w:p>
    <w:p>
      <w:pPr>
        <w:spacing w:after="60"/>
      </w:pPr>
      <w:r>
        <w:rPr>
          <w:b/>
          <w:bCs/>
          <w:color w:val="8B1A1A"/>
          <w:sz w:val="20"/>
          <w:szCs w:val="20"/>
        </w:rPr>
        <w:t xml:space="preserve">Tribunal: </w:t>
      </w:r>
      <w:r>
        <w:rPr>
          <w:sz w:val="20"/>
          <w:szCs w:val="20"/>
        </w:rPr>
        <w:t xml:space="preserve">STJ   |   Órgão: 6ª Turma</w:t>
      </w:r>
    </w:p>
    <w:p>
      <w:pPr>
        <w:spacing w:after="60"/>
      </w:pPr>
      <w:r>
        <w:rPr>
          <w:b/>
          <w:bCs/>
          <w:color w:val="8B1A1A"/>
          <w:sz w:val="20"/>
          <w:szCs w:val="20"/>
        </w:rPr>
        <w:t xml:space="preserve">Processo/Relator/Data: </w:t>
      </w:r>
      <w:r>
        <w:rPr>
          <w:sz w:val="20"/>
          <w:szCs w:val="20"/>
        </w:rPr>
        <w:t xml:space="preserve">AgRg no HC 1.014.212-ES, Rel. Min. Carlos Pires Brandão, j. 10/02/2026 (Info 878)</w:t>
      </w:r>
    </w:p>
    <w:p>
      <w:pPr>
        <w:spacing w:after="60"/>
      </w:pPr>
      <w:r>
        <w:rPr>
          <w:b/>
          <w:bCs/>
          <w:color w:val="8B1A1A"/>
          <w:sz w:val="20"/>
          <w:szCs w:val="20"/>
        </w:rPr>
        <w:t xml:space="preserve">Sistemática: </w:t>
      </w:r>
      <w:r>
        <w:rPr>
          <w:sz w:val="20"/>
          <w:szCs w:val="20"/>
        </w:rPr>
        <w:t xml:space="preserve">Caso isolado</w:t>
      </w:r>
    </w:p>
    <w:p>
      <w:pPr>
        <w:spacing w:after="60" w:before="160"/>
      </w:pPr>
      <w:r>
        <w:rPr>
          <w:b/>
          <w:bCs/>
          <w:color w:val="333333"/>
          <w:sz w:val="21"/>
          <w:szCs w:val="21"/>
        </w:rPr>
        <w:t xml:space="preserve">📍 Tese fixada / Decisão</w:t>
      </w:r>
    </w:p>
    <w:p>
      <w:pPr>
        <w:spacing w:after="100"/>
      </w:pPr>
      <w:r>
        <w:rPr>
          <w:i/>
          <w:iCs/>
          <w:sz w:val="20"/>
          <w:szCs w:val="20"/>
        </w:rPr>
        <w:t xml:space="preserve">Havendo dúvida razoável sobre a integridade e autenticidade da prova digital, é necessária perícia oficial; se essas foram as principais provas de autoria, a proporcionalidade recomenda a substituição da prisão preventiva por medidas cautelares diversas até a conclusão da diligência técnica.</w:t>
      </w:r>
    </w:p>
    <w:p>
      <w:pPr>
        <w:spacing w:after="60" w:before="160"/>
      </w:pPr>
      <w:r>
        <w:rPr>
          <w:b/>
          <w:bCs/>
          <w:color w:val="333333"/>
          <w:sz w:val="21"/>
          <w:szCs w:val="21"/>
        </w:rPr>
        <w:t xml:space="preserve">📚 Resumo do caso</w:t>
      </w:r>
    </w:p>
    <w:p>
      <w:pPr>
        <w:spacing w:after="100"/>
      </w:pPr>
      <w:r>
        <w:rPr>
          <w:sz w:val="20"/>
          <w:szCs w:val="20"/>
        </w:rPr>
        <w:t xml:space="preserve">Dados extraídos manualmente de celulares e de um DVR, sem uso de ferramentas forenses nem geração de hash, embasaram a prisão preventiva por homicídio. O STJ, reconhecendo dúvida sobre a integridade dessas provas digitais, determinou perícia oficial e a substituição da prisão preventiva por medidas cautelares diversas até sua conclusão.</w:t>
      </w:r>
    </w:p>
    <w:p>
      <w:pPr>
        <w:spacing w:after="60" w:before="160"/>
      </w:pPr>
      <w:r>
        <w:rPr>
          <w:b/>
          <w:bCs/>
          <w:color w:val="333333"/>
          <w:sz w:val="21"/>
          <w:szCs w:val="21"/>
        </w:rPr>
        <w:t xml:space="preserve">🎯 Como pode ser cobrado em prova</w:t>
      </w:r>
    </w:p>
    <w:p>
      <w:pPr>
        <w:spacing w:after="60"/>
        <w:ind w:left="260"/>
      </w:pPr>
      <w:r>
        <w:rPr>
          <w:b/>
          <w:bCs/>
          <w:i/>
          <w:iCs/>
          <w:sz w:val="20"/>
          <w:szCs w:val="20"/>
        </w:rPr>
        <w:t xml:space="preserve">Objetiva: </w:t>
      </w:r>
      <w:r>
        <w:rPr>
          <w:sz w:val="20"/>
          <w:szCs w:val="20"/>
        </w:rPr>
        <w:t xml:space="preserve">Alternativa que trate a dúvida sobre a prova digital como causa de soltura pura e simples (incorreto — a solução é a substituição por cautelares diversas até a perícia, não a liberdade irrestrita).</w:t>
      </w:r>
    </w:p>
    <w:p>
      <w:pPr>
        <w:spacing w:after="60"/>
        <w:ind w:left="260"/>
      </w:pPr>
      <w:r>
        <w:rPr>
          <w:b/>
          <w:bCs/>
          <w:i/>
          <w:iCs/>
          <w:sz w:val="20"/>
          <w:szCs w:val="20"/>
        </w:rPr>
        <w:t xml:space="preserve">Discursiva: </w:t>
      </w:r>
      <w:r>
        <w:rPr>
          <w:sz w:val="20"/>
          <w:szCs w:val="20"/>
        </w:rPr>
        <w:t xml:space="preserve">HC contra prisão preventiva lastreada exclusivamente em dados digitais colhidos sem metodologia forense adequada — avaliar medida cabível.</w:t>
      </w:r>
    </w:p>
    <w:p>
      <w:pPr>
        <w:spacing w:after="60"/>
        <w:ind w:left="260"/>
      </w:pPr>
      <w:r>
        <w:rPr>
          <w:b/>
          <w:bCs/>
          <w:i/>
          <w:iCs/>
          <w:sz w:val="20"/>
          <w:szCs w:val="20"/>
        </w:rPr>
        <w:t xml:space="preserve">Oral: </w:t>
      </w:r>
      <w:r>
        <w:rPr>
          <w:sz w:val="20"/>
          <w:szCs w:val="20"/>
        </w:rPr>
        <w:t xml:space="preserve">Que medida deve ser adotada quando a prisão preventiva se apoia unicamente em prova digital de integridade duvidosa?</w:t>
      </w:r>
    </w:p>
    <w:p>
      <w:pPr>
        <w:spacing w:after="60" w:before="160"/>
      </w:pPr>
      <w:r>
        <w:rPr>
          <w:b/>
          <w:bCs/>
          <w:color w:val="333333"/>
          <w:sz w:val="21"/>
          <w:szCs w:val="21"/>
        </w:rPr>
        <w:t xml:space="preserve">🔗 Conexões</w:t>
      </w:r>
    </w:p>
    <w:p>
      <w:pPr>
        <w:spacing w:after="100"/>
      </w:pPr>
      <w:r>
        <w:rPr>
          <w:sz w:val="20"/>
          <w:szCs w:val="20"/>
        </w:rPr>
        <w:t xml:space="preserve">Fichas 6.1 e 9.2 (cadeia de custódia digital); art. 312, CPP (standard probatório da prisão preventiva).</w:t>
      </w:r>
    </w:p>
    <w:p>
      <w:pPr>
        <w:pBdr>
          <w:bottom w:val="single" w:color="8B1A1A" w:sz="12" w:space="4"/>
        </w:pBdr>
        <w:spacing w:after="200" w:before="120"/>
      </w:pPr>
    </w:p>
    <w:p>
      <w:pPr>
        <w:pStyle w:val="Heading1"/>
        <w:spacing w:after="160" w:before="320"/>
      </w:pPr>
      <w:bookmarkStart w:name="subtema_7" w:id="1"/>
      <w:r>
        <w:t xml:space="preserve">7. Confissão, Interrogatório e Nemo Tenetur Se Detegere (arts. 185 a 200, CPP)</w:t>
      </w:r>
      <w:bookmarkEnd w:id="1"/>
    </w:p>
    <w:p>
      <w:pPr>
        <w:shd w:fill="FBEAEA" w:color="auto" w:val="clear"/>
        <w:spacing w:after="40" w:before="240"/>
      </w:pPr>
      <w:bookmarkStart w:name="ficha_21" w:id="1"/>
      <w:r>
        <w:rPr>
          <w:b/>
          <w:bCs/>
          <w:color w:val="8B1A1A"/>
          <w:sz w:val="24"/>
          <w:szCs w:val="24"/>
        </w:rPr>
        <w:t xml:space="preserve">📌 7.1  Confissão obtida sob coação policial é ilícita e contamina provas dela derivadas</w:t>
      </w:r>
      <w:bookmarkEnd w:id="1"/>
    </w:p>
    <w:p>
      <w:pPr>
        <w:spacing w:after="60"/>
      </w:pPr>
      <w:r>
        <w:rPr>
          <w:b/>
          <w:bCs/>
          <w:color w:val="8B1A1A"/>
          <w:sz w:val="20"/>
          <w:szCs w:val="20"/>
        </w:rPr>
        <w:t xml:space="preserve">Tribunal: </w:t>
      </w:r>
      <w:r>
        <w:rPr>
          <w:sz w:val="20"/>
          <w:szCs w:val="20"/>
        </w:rPr>
        <w:t xml:space="preserve">STJ   |   Órgão: 6ª Turma</w:t>
      </w:r>
    </w:p>
    <w:p>
      <w:pPr>
        <w:spacing w:after="60"/>
      </w:pPr>
      <w:r>
        <w:rPr>
          <w:b/>
          <w:bCs/>
          <w:color w:val="8B1A1A"/>
          <w:sz w:val="20"/>
          <w:szCs w:val="20"/>
        </w:rPr>
        <w:t xml:space="preserve">Processo/Relator/Data: </w:t>
      </w:r>
      <w:r>
        <w:rPr>
          <w:sz w:val="20"/>
          <w:szCs w:val="20"/>
        </w:rPr>
        <w:t xml:space="preserve">HC 915.025-SP, Rel. Min. Rogerio Schietti Cruz, j. 20/03/2025 (Info 849)</w:t>
      </w:r>
    </w:p>
    <w:p>
      <w:pPr>
        <w:spacing w:after="60"/>
      </w:pPr>
      <w:r>
        <w:rPr>
          <w:b/>
          <w:bCs/>
          <w:color w:val="8B1A1A"/>
          <w:sz w:val="20"/>
          <w:szCs w:val="20"/>
        </w:rPr>
        <w:t xml:space="preserve">Sistemática: </w:t>
      </w:r>
      <w:r>
        <w:rPr>
          <w:sz w:val="20"/>
          <w:szCs w:val="20"/>
        </w:rPr>
        <w:t xml:space="preserve">Caso isolado</w:t>
      </w:r>
    </w:p>
    <w:p>
      <w:pPr>
        <w:spacing w:after="60" w:before="160"/>
      </w:pPr>
      <w:r>
        <w:rPr>
          <w:b/>
          <w:bCs/>
          <w:color w:val="333333"/>
          <w:sz w:val="21"/>
          <w:szCs w:val="21"/>
        </w:rPr>
        <w:t xml:space="preserve">📍 Tese fixada / Decisão</w:t>
      </w:r>
    </w:p>
    <w:p>
      <w:pPr>
        <w:spacing w:after="100"/>
      </w:pPr>
      <w:r>
        <w:rPr>
          <w:i/>
          <w:iCs/>
          <w:sz w:val="20"/>
          <w:szCs w:val="20"/>
        </w:rPr>
        <w:t xml:space="preserve">Sendo verossímil a narrativa de maus-tratos apresentada pelo acusado durante abordagem policial — sobretudo quando laudo pericial certifica lesão corporal —, deve-se declarar ilícita a confissão informal e, por derivação, todas as provas dela decorrentes, cabendo ao Estado o ônus de provar que atuou dentro da legalidade.</w:t>
      </w:r>
    </w:p>
    <w:p>
      <w:pPr>
        <w:spacing w:after="60" w:before="160"/>
      </w:pPr>
      <w:r>
        <w:rPr>
          <w:b/>
          <w:bCs/>
          <w:color w:val="333333"/>
          <w:sz w:val="21"/>
          <w:szCs w:val="21"/>
        </w:rPr>
        <w:t xml:space="preserve">📚 Resumo do caso</w:t>
      </w:r>
    </w:p>
    <w:p>
      <w:pPr>
        <w:spacing w:after="100"/>
      </w:pPr>
      <w:r>
        <w:rPr>
          <w:sz w:val="20"/>
          <w:szCs w:val="20"/>
        </w:rPr>
        <w:t xml:space="preserve">Vídeo gravado por policiais mostrava o investigado, sentado e com as mãos escondidas, confessando a localização de drogas; laudo pericial confirmou fratura no dedo do investigado, compatível com alegação de tortura para obtenção da confissão. O STJ absolveu o acusado e sua companheira, atribuindo ao Estado o ônus de demonstrar a legalidade de sua atuação, o que não ocorreu diante dos indícios de coação.</w:t>
      </w:r>
    </w:p>
    <w:p>
      <w:pPr>
        <w:spacing w:after="60" w:before="160"/>
      </w:pPr>
      <w:r>
        <w:rPr>
          <w:b/>
          <w:bCs/>
          <w:color w:val="333333"/>
          <w:sz w:val="21"/>
          <w:szCs w:val="21"/>
        </w:rPr>
        <w:t xml:space="preserve">🎯 Como pode ser cobrado em prova</w:t>
      </w:r>
    </w:p>
    <w:p>
      <w:pPr>
        <w:spacing w:after="60"/>
        <w:ind w:left="260"/>
      </w:pPr>
      <w:r>
        <w:rPr>
          <w:b/>
          <w:bCs/>
          <w:i/>
          <w:iCs/>
          <w:sz w:val="20"/>
          <w:szCs w:val="20"/>
        </w:rPr>
        <w:t xml:space="preserve">Objetiva: </w:t>
      </w:r>
      <w:r>
        <w:rPr>
          <w:sz w:val="20"/>
          <w:szCs w:val="20"/>
        </w:rPr>
        <w:t xml:space="preserve">Alternativa que inverta o ônus da prova sobre a legalidade da conduta policial (incorreto — é ônus do Estado demonstrar que agiu licitamente diante de indícios de coação).</w:t>
      </w:r>
    </w:p>
    <w:p>
      <w:pPr>
        <w:spacing w:after="60"/>
        <w:ind w:left="260"/>
      </w:pPr>
      <w:r>
        <w:rPr>
          <w:b/>
          <w:bCs/>
          <w:i/>
          <w:iCs/>
          <w:sz w:val="20"/>
          <w:szCs w:val="20"/>
        </w:rPr>
        <w:t xml:space="preserve">Discursiva: </w:t>
      </w:r>
      <w:r>
        <w:rPr>
          <w:sz w:val="20"/>
          <w:szCs w:val="20"/>
        </w:rPr>
        <w:t xml:space="preserve">Confissão obtida em contexto com indícios de coação física, seguida de busca domiciliar com base nela — avaliar a licitude da confissão e das provas subsequentes.</w:t>
      </w:r>
    </w:p>
    <w:p>
      <w:pPr>
        <w:spacing w:after="60"/>
        <w:ind w:left="260"/>
      </w:pPr>
      <w:r>
        <w:rPr>
          <w:b/>
          <w:bCs/>
          <w:i/>
          <w:iCs/>
          <w:sz w:val="20"/>
          <w:szCs w:val="20"/>
        </w:rPr>
        <w:t xml:space="preserve">Oral: </w:t>
      </w:r>
      <w:r>
        <w:rPr>
          <w:sz w:val="20"/>
          <w:szCs w:val="20"/>
        </w:rPr>
        <w:t xml:space="preserve">De quem é o ônus de provar a regularidade da atuação policial quando há indícios de coação na obtenção de confissão?</w:t>
      </w:r>
    </w:p>
    <w:p>
      <w:pPr>
        <w:spacing w:after="60" w:before="160"/>
      </w:pPr>
      <w:r>
        <w:rPr>
          <w:b/>
          <w:bCs/>
          <w:color w:val="333333"/>
          <w:sz w:val="21"/>
          <w:szCs w:val="21"/>
        </w:rPr>
        <w:t xml:space="preserve">🔗 Conexões</w:t>
      </w:r>
    </w:p>
    <w:p>
      <w:pPr>
        <w:spacing w:after="100"/>
      </w:pPr>
      <w:r>
        <w:rPr>
          <w:sz w:val="20"/>
          <w:szCs w:val="20"/>
        </w:rPr>
        <w:t xml:space="preserve">Ficha 2.1 (teoria da ilicitude por derivação); art. 198, CPP (valor da confissão).</w:t>
      </w:r>
    </w:p>
    <w:p>
      <w:pPr>
        <w:pBdr>
          <w:bottom w:val="single" w:color="8B1A1A" w:sz="12" w:space="4"/>
        </w:pBdr>
        <w:spacing w:after="200" w:before="120"/>
      </w:pPr>
    </w:p>
    <w:p>
      <w:pPr>
        <w:shd w:fill="FBEAEA" w:color="auto" w:val="clear"/>
        <w:spacing w:after="40" w:before="240"/>
      </w:pPr>
      <w:bookmarkStart w:name="ficha_22" w:id="1"/>
      <w:r>
        <w:rPr>
          <w:b/>
          <w:bCs/>
          <w:color w:val="8B1A1A"/>
          <w:sz w:val="24"/>
          <w:szCs w:val="24"/>
        </w:rPr>
        <w:t xml:space="preserve">📌 7.2  Recusa em fornecer padrão gráfico (nemo tenetur) e uso de padrões já existentes como fonte independente</w:t>
      </w:r>
      <w:bookmarkEnd w:id="1"/>
    </w:p>
    <w:p>
      <w:pPr>
        <w:spacing w:after="60"/>
      </w:pPr>
      <w:r>
        <w:rPr>
          <w:b/>
          <w:bCs/>
          <w:color w:val="8B1A1A"/>
          <w:sz w:val="20"/>
          <w:szCs w:val="20"/>
        </w:rPr>
        <w:t xml:space="preserve">Tribunal: </w:t>
      </w:r>
      <w:r>
        <w:rPr>
          <w:sz w:val="20"/>
          <w:szCs w:val="20"/>
        </w:rPr>
        <w:t xml:space="preserve">Tese consolidada de doutrina e jurisprudência do STF/STJ sobre nemo tenetur se detegere, aplicada a exame grafotécnico</w:t>
      </w:r>
    </w:p>
    <w:p>
      <w:pPr>
        <w:spacing w:after="60"/>
      </w:pPr>
      <w:r>
        <w:rPr>
          <w:b/>
          <w:bCs/>
          <w:color w:val="8B1A1A"/>
          <w:sz w:val="20"/>
          <w:szCs w:val="20"/>
        </w:rPr>
        <w:t xml:space="preserve">Processo/Relator/Data: </w:t>
      </w:r>
      <w:r>
        <w:rPr>
          <w:sz w:val="20"/>
          <w:szCs w:val="20"/>
        </w:rPr>
        <w:t xml:space="preserve">Base doutrinária: STF, Rcl 33.711/SP, Rel. Min. Gilmar Mendes, j. 11/06/2019 (Info 944) — [VERIFICAR] precedente específico sobre grafotécnico com padrões pré-existentes, tema recorrentemente cobrado pela FGV em 2025/2026 (TJPA-JE/2026, TJGO-JE/2026, MPRJ-2026) sem julgado isolado localizado nas fontes consultadas</w:t>
      </w:r>
    </w:p>
    <w:p>
      <w:pPr>
        <w:spacing w:after="60"/>
      </w:pPr>
      <w:r>
        <w:rPr>
          <w:b/>
          <w:bCs/>
          <w:color w:val="8B1A1A"/>
          <w:sz w:val="20"/>
          <w:szCs w:val="20"/>
        </w:rPr>
        <w:t xml:space="preserve">Sistemática: </w:t>
      </w:r>
      <w:r>
        <w:rPr>
          <w:sz w:val="20"/>
          <w:szCs w:val="20"/>
        </w:rPr>
        <w:t xml:space="preserve">Tese consolidada — recorrente em provas recentes</w:t>
      </w:r>
    </w:p>
    <w:p>
      <w:pPr>
        <w:spacing w:after="60" w:before="160"/>
      </w:pPr>
      <w:r>
        <w:rPr>
          <w:b/>
          <w:bCs/>
          <w:color w:val="333333"/>
          <w:sz w:val="21"/>
          <w:szCs w:val="21"/>
        </w:rPr>
        <w:t xml:space="preserve">📍 Tese fixada / Decisão</w:t>
      </w:r>
    </w:p>
    <w:p>
      <w:pPr>
        <w:spacing w:after="100"/>
      </w:pPr>
      <w:r>
        <w:rPr>
          <w:i/>
          <w:iCs/>
          <w:sz w:val="20"/>
          <w:szCs w:val="20"/>
        </w:rPr>
        <w:t xml:space="preserve">O investigado tem o direito de recusar-se a fornecer padrões gráficos do próprio punho, por força do nemo tenetur se detegere; contudo, o laudo pericial grafotécnico realizado a partir de padrões gráficos já existentes em arquivos oficiais (ex.: institutos de identificação), obtidos independentemente da recusa, constitui prova lícita, por fonte independente.</w:t>
      </w:r>
    </w:p>
    <w:p>
      <w:pPr>
        <w:spacing w:after="60" w:before="160"/>
      </w:pPr>
      <w:r>
        <w:rPr>
          <w:b/>
          <w:bCs/>
          <w:color w:val="333333"/>
          <w:sz w:val="21"/>
          <w:szCs w:val="21"/>
        </w:rPr>
        <w:t xml:space="preserve">📚 Resumo do caso</w:t>
      </w:r>
    </w:p>
    <w:p>
      <w:pPr>
        <w:spacing w:after="100"/>
      </w:pPr>
      <w:r>
        <w:rPr>
          <w:sz w:val="20"/>
          <w:szCs w:val="20"/>
        </w:rPr>
        <w:t xml:space="preserve">Tema recorrente nos cadernos FGV mais recentes (TJPA-2026, TJGO-2026, MPRJ-2026): o investigado, intimado a fornecer padrões gráficos para exame grafotécnico, recusa-se com base no privilégio contra a autoincriminação; a autoridade, então, realiza o exame com base em padrões gráficos de autoria inequívoca já constantes de arquivos oficiais (ex.: Instituto de Identificação). A resposta padrão da FGV reconhece a legitimidade da recusa, mas também a licitude do laudo produzido a partir de material preexistente e independente, por não derivar da recusa do investigado.</w:t>
      </w:r>
    </w:p>
    <w:p>
      <w:pPr>
        <w:spacing w:after="60" w:before="160"/>
      </w:pPr>
      <w:r>
        <w:rPr>
          <w:b/>
          <w:bCs/>
          <w:color w:val="333333"/>
          <w:sz w:val="21"/>
          <w:szCs w:val="21"/>
        </w:rPr>
        <w:t xml:space="preserve">🎯 Como pode ser cobrado em prova</w:t>
      </w:r>
    </w:p>
    <w:p>
      <w:pPr>
        <w:spacing w:after="60"/>
        <w:ind w:left="260"/>
      </w:pPr>
      <w:r>
        <w:rPr>
          <w:b/>
          <w:bCs/>
          <w:i/>
          <w:iCs/>
          <w:sz w:val="20"/>
          <w:szCs w:val="20"/>
        </w:rPr>
        <w:t xml:space="preserve">Objetiva: </w:t>
      </w:r>
      <w:r>
        <w:rPr>
          <w:sz w:val="20"/>
          <w:szCs w:val="20"/>
        </w:rPr>
        <w:t xml:space="preserve">Alternativa que trate o laudo baseado em padrões pré-existentes como prova ilícita por derivação da recusa (incorreto — não há nexo causal, tratando-se de fonte independente); ou que negue o direito de recusa do próprio investigado (incorreto).</w:t>
      </w:r>
    </w:p>
    <w:p>
      <w:pPr>
        <w:spacing w:after="60"/>
        <w:ind w:left="260"/>
      </w:pPr>
      <w:r>
        <w:rPr>
          <w:b/>
          <w:bCs/>
          <w:i/>
          <w:iCs/>
          <w:sz w:val="20"/>
          <w:szCs w:val="20"/>
        </w:rPr>
        <w:t xml:space="preserve">Discursiva: </w:t>
      </w:r>
      <w:r>
        <w:rPr>
          <w:sz w:val="20"/>
          <w:szCs w:val="20"/>
        </w:rPr>
        <w:t xml:space="preserve">Denúncia lastreada em laudo grafotécnico obtido a partir de padrões gráficos pré-existentes, após recusa do investigado em fornecer novos padrões — avaliar a licitude da prova e o alcance do nemo tenetur.</w:t>
      </w:r>
    </w:p>
    <w:p>
      <w:pPr>
        <w:spacing w:after="60"/>
        <w:ind w:left="260"/>
      </w:pPr>
      <w:r>
        <w:rPr>
          <w:b/>
          <w:bCs/>
          <w:i/>
          <w:iCs/>
          <w:sz w:val="20"/>
          <w:szCs w:val="20"/>
        </w:rPr>
        <w:t xml:space="preserve">Oral: </w:t>
      </w:r>
      <w:r>
        <w:rPr>
          <w:sz w:val="20"/>
          <w:szCs w:val="20"/>
        </w:rPr>
        <w:t xml:space="preserve">O investigado pode ser obrigado a fornecer padrão gráfico do próprio punho? E se a perícia for feita com base em documentos já existentes?</w:t>
      </w:r>
    </w:p>
    <w:p>
      <w:pPr>
        <w:spacing w:after="60" w:before="160"/>
      </w:pPr>
      <w:r>
        <w:rPr>
          <w:b/>
          <w:bCs/>
          <w:color w:val="333333"/>
          <w:sz w:val="21"/>
          <w:szCs w:val="21"/>
        </w:rPr>
        <w:t xml:space="preserve">🔗 Conexões</w:t>
      </w:r>
    </w:p>
    <w:p>
      <w:pPr>
        <w:spacing w:after="100"/>
      </w:pPr>
      <w:r>
        <w:rPr>
          <w:sz w:val="20"/>
          <w:szCs w:val="20"/>
        </w:rPr>
        <w:t xml:space="preserve">Ficha 2.1 (fonte independente); nemo tenetur se detegere; STF, Rcl 33.711/SP (Info 944).</w:t>
      </w:r>
    </w:p>
    <w:p>
      <w:pPr>
        <w:pBdr>
          <w:bottom w:val="single" w:color="8B1A1A" w:sz="12" w:space="4"/>
        </w:pBdr>
        <w:spacing w:after="200" w:before="120"/>
      </w:pPr>
    </w:p>
    <w:p>
      <w:pPr>
        <w:pStyle w:val="Heading1"/>
        <w:spacing w:after="160" w:before="320"/>
      </w:pPr>
      <w:bookmarkStart w:name="subtema_8" w:id="1"/>
      <w:r>
        <w:t xml:space="preserve">8. Busca e Apreensão (arts. 240 a 250, CPP)</w:t>
      </w:r>
      <w:bookmarkEnd w:id="1"/>
    </w:p>
    <w:p>
      <w:pPr>
        <w:shd w:fill="FBEAEA" w:color="auto" w:val="clear"/>
        <w:spacing w:after="40" w:before="240"/>
      </w:pPr>
      <w:bookmarkStart w:name="ficha_23" w:id="1"/>
      <w:r>
        <w:rPr>
          <w:b/>
          <w:bCs/>
          <w:color w:val="8B1A1A"/>
          <w:sz w:val="24"/>
          <w:szCs w:val="24"/>
        </w:rPr>
        <w:t xml:space="preserve">📌 8.1  Fuga para o interior do imóvel ao avistar a polícia caracteriza fundadas razões para busca domiciliar</w:t>
      </w:r>
      <w:bookmarkEnd w:id="1"/>
    </w:p>
    <w:p>
      <w:pPr>
        <w:spacing w:after="60"/>
      </w:pPr>
      <w:r>
        <w:rPr>
          <w:b/>
          <w:bCs/>
          <w:color w:val="8B1A1A"/>
          <w:sz w:val="20"/>
          <w:szCs w:val="20"/>
        </w:rPr>
        <w:t xml:space="preserve">Tribunal: </w:t>
      </w:r>
      <w:r>
        <w:rPr>
          <w:sz w:val="20"/>
          <w:szCs w:val="20"/>
        </w:rPr>
        <w:t xml:space="preserve">STF / STJ   |   Órgão: Plenário (STF) / 6ª Turma (STJ)</w:t>
      </w:r>
    </w:p>
    <w:p>
      <w:pPr>
        <w:spacing w:after="60"/>
      </w:pPr>
      <w:r>
        <w:rPr>
          <w:b/>
          <w:bCs/>
          <w:color w:val="8B1A1A"/>
          <w:sz w:val="20"/>
          <w:szCs w:val="20"/>
        </w:rPr>
        <w:t xml:space="preserve">Processo/Relator/Data: </w:t>
      </w:r>
      <w:r>
        <w:rPr>
          <w:sz w:val="20"/>
          <w:szCs w:val="20"/>
        </w:rPr>
        <w:t xml:space="preserve">STF, RE 1.492.256 AgR-EDv-AgR, Rel. Min. Edson Fachin, Red. p/ o acórdão Min. Alexandre de Moraes, j. 17/02/2025; STJ, AgRg no HC 1.035.519-SP, Rel. Min. Rogerio Schietti Cruz, j. 25/02/2026 (Info 884)</w:t>
      </w:r>
    </w:p>
    <w:p>
      <w:pPr>
        <w:spacing w:after="60"/>
      </w:pPr>
      <w:r>
        <w:rPr>
          <w:b/>
          <w:bCs/>
          <w:color w:val="8B1A1A"/>
          <w:sz w:val="20"/>
          <w:szCs w:val="20"/>
        </w:rPr>
        <w:t xml:space="preserve">Sistemática: </w:t>
      </w:r>
      <w:r>
        <w:rPr>
          <w:sz w:val="20"/>
          <w:szCs w:val="20"/>
        </w:rPr>
        <w:t xml:space="preserve">Caso isolado no STF, com adequação do STJ ao entendimento</w:t>
      </w:r>
    </w:p>
    <w:p>
      <w:pPr>
        <w:spacing w:after="60" w:before="160"/>
      </w:pPr>
      <w:r>
        <w:rPr>
          <w:b/>
          <w:bCs/>
          <w:color w:val="333333"/>
          <w:sz w:val="21"/>
          <w:szCs w:val="21"/>
        </w:rPr>
        <w:t xml:space="preserve">📍 Tese fixada / Decisão</w:t>
      </w:r>
    </w:p>
    <w:p>
      <w:pPr>
        <w:spacing w:after="100"/>
      </w:pPr>
      <w:r>
        <w:rPr>
          <w:i/>
          <w:iCs/>
          <w:sz w:val="20"/>
          <w:szCs w:val="20"/>
        </w:rPr>
        <w:t xml:space="preserve">A fuga do suspeito para o interior de imóvel, ao perceber a aproximação de policiais em patrulhamento de rotina, evidencia a existência de fundadas razões para a busca domiciliar sem mandado e sem consentimento do morador.</w:t>
      </w:r>
    </w:p>
    <w:p>
      <w:pPr>
        <w:spacing w:after="60" w:before="160"/>
      </w:pPr>
      <w:r>
        <w:rPr>
          <w:b/>
          <w:bCs/>
          <w:color w:val="333333"/>
          <w:sz w:val="21"/>
          <w:szCs w:val="21"/>
        </w:rPr>
        <w:t xml:space="preserve">📚 Resumo do caso</w:t>
      </w:r>
    </w:p>
    <w:p>
      <w:pPr>
        <w:spacing w:after="100"/>
      </w:pPr>
      <w:r>
        <w:rPr>
          <w:sz w:val="20"/>
          <w:szCs w:val="20"/>
        </w:rPr>
        <w:t xml:space="preserve">O STF pacificou entendimento (2025) de que a fuga para dentro de residência, ao avistar viatura em patrulhamento de rotina, por si só, configura fundada razão para ingresso policial sem mandado, tema que gerava grande controvérsia (mera fuga vs. fundada suspeita). O STJ, em 2026, alinhou-se expressamente a esse entendimento, superando jurisprudência anterior mais restritiva.</w:t>
      </w:r>
    </w:p>
    <w:p>
      <w:pPr>
        <w:spacing w:after="60" w:before="160"/>
      </w:pPr>
      <w:r>
        <w:rPr>
          <w:b/>
          <w:bCs/>
          <w:color w:val="333333"/>
          <w:sz w:val="21"/>
          <w:szCs w:val="21"/>
        </w:rPr>
        <w:t xml:space="preserve">🎯 Como pode ser cobrado em prova</w:t>
      </w:r>
    </w:p>
    <w:p>
      <w:pPr>
        <w:spacing w:after="60"/>
        <w:ind w:left="260"/>
      </w:pPr>
      <w:r>
        <w:rPr>
          <w:b/>
          <w:bCs/>
          <w:i/>
          <w:iCs/>
          <w:sz w:val="20"/>
          <w:szCs w:val="20"/>
        </w:rPr>
        <w:t xml:space="preserve">Objetiva: </w:t>
      </w:r>
      <w:r>
        <w:rPr>
          <w:sz w:val="20"/>
          <w:szCs w:val="20"/>
        </w:rPr>
        <w:t xml:space="preserve">Alternativa tratando a mera fuga como insuficiente para justificar o ingresso (superada pelo novo entendimento) — atenção: tema de MUDANÇA DE ENTENDIMENTO recente, com grande potencial de pegadinha para quem estudou por material desatualizado.</w:t>
      </w:r>
    </w:p>
    <w:p>
      <w:pPr>
        <w:spacing w:after="60"/>
        <w:ind w:left="260"/>
      </w:pPr>
      <w:r>
        <w:rPr>
          <w:b/>
          <w:bCs/>
          <w:i/>
          <w:iCs/>
          <w:sz w:val="20"/>
          <w:szCs w:val="20"/>
        </w:rPr>
        <w:t xml:space="preserve">Discursiva: </w:t>
      </w:r>
      <w:r>
        <w:rPr>
          <w:sz w:val="20"/>
          <w:szCs w:val="20"/>
        </w:rPr>
        <w:t xml:space="preserve">Caso de ingresso domiciliar motivado por fuga do suspeito ao avistar viatura — avaliar validade da diligência e das provas obtidas, indicando a evolução jurisprudential recente.</w:t>
      </w:r>
    </w:p>
    <w:p>
      <w:pPr>
        <w:spacing w:after="60"/>
        <w:ind w:left="260"/>
      </w:pPr>
      <w:r>
        <w:rPr>
          <w:b/>
          <w:bCs/>
          <w:i/>
          <w:iCs/>
          <w:sz w:val="20"/>
          <w:szCs w:val="20"/>
        </w:rPr>
        <w:t xml:space="preserve">Oral: </w:t>
      </w:r>
      <w:r>
        <w:rPr>
          <w:sz w:val="20"/>
          <w:szCs w:val="20"/>
        </w:rPr>
        <w:t xml:space="preserve">A simples fuga para dentro de casa ao avistar a polícia autoriza, por si só, o ingresso domiciliar sem mandado? Houve mudança de entendimento sobre o tema?</w:t>
      </w:r>
    </w:p>
    <w:p>
      <w:pPr>
        <w:spacing w:after="60" w:before="160"/>
      </w:pPr>
      <w:r>
        <w:rPr>
          <w:b/>
          <w:bCs/>
          <w:color w:val="333333"/>
          <w:sz w:val="21"/>
          <w:szCs w:val="21"/>
        </w:rPr>
        <w:t xml:space="preserve">🔗 Conexões</w:t>
      </w:r>
    </w:p>
    <w:p>
      <w:pPr>
        <w:spacing w:after="100"/>
      </w:pPr>
      <w:r>
        <w:rPr>
          <w:sz w:val="20"/>
          <w:szCs w:val="20"/>
        </w:rPr>
        <w:t xml:space="preserve">Fichas 8.2 a 8.5 (fundada suspeita); art. 5º, XI, CF (inviolabilidade domiciliar).</w:t>
      </w:r>
    </w:p>
    <w:p>
      <w:pPr>
        <w:pBdr>
          <w:bottom w:val="single" w:color="8B1A1A" w:sz="12" w:space="4"/>
        </w:pBdr>
        <w:spacing w:after="200" w:before="120"/>
      </w:pPr>
    </w:p>
    <w:p>
      <w:pPr>
        <w:shd w:fill="FBEAEA" w:color="auto" w:val="clear"/>
        <w:spacing w:after="40" w:before="240"/>
      </w:pPr>
      <w:bookmarkStart w:name="ficha_24" w:id="1"/>
      <w:r>
        <w:rPr>
          <w:b/>
          <w:bCs/>
          <w:color w:val="8B1A1A"/>
          <w:sz w:val="24"/>
          <w:szCs w:val="24"/>
        </w:rPr>
        <w:t xml:space="preserve">📌 8.2  Nervosismo ao avistar a polícia pode caracterizar fundadas razões para busca pessoal</w:t>
      </w:r>
      <w:bookmarkEnd w:id="1"/>
    </w:p>
    <w:p>
      <w:pPr>
        <w:spacing w:after="60"/>
      </w:pPr>
      <w:r>
        <w:rPr>
          <w:b/>
          <w:bCs/>
          <w:color w:val="8B1A1A"/>
          <w:sz w:val="20"/>
          <w:szCs w:val="20"/>
        </w:rPr>
        <w:t xml:space="preserve">Tribunal: </w:t>
      </w:r>
      <w:r>
        <w:rPr>
          <w:sz w:val="20"/>
          <w:szCs w:val="20"/>
        </w:rPr>
        <w:t xml:space="preserve">STJ   |   Órgão: 6ª Turma</w:t>
      </w:r>
    </w:p>
    <w:p>
      <w:pPr>
        <w:spacing w:after="60"/>
      </w:pPr>
      <w:r>
        <w:rPr>
          <w:b/>
          <w:bCs/>
          <w:color w:val="8B1A1A"/>
          <w:sz w:val="20"/>
          <w:szCs w:val="20"/>
        </w:rPr>
        <w:t xml:space="preserve">Processo/Relator/Data: </w:t>
      </w:r>
      <w:r>
        <w:rPr>
          <w:sz w:val="20"/>
          <w:szCs w:val="20"/>
        </w:rPr>
        <w:t xml:space="preserve">AgRg no HC 888.216-GO, Rel. Min. Og Fernandes, j. 16/09/2025 (Info 864)</w:t>
      </w:r>
    </w:p>
    <w:p>
      <w:pPr>
        <w:spacing w:after="60"/>
      </w:pPr>
      <w:r>
        <w:rPr>
          <w:b/>
          <w:bCs/>
          <w:color w:val="8B1A1A"/>
          <w:sz w:val="20"/>
          <w:szCs w:val="20"/>
        </w:rPr>
        <w:t xml:space="preserve">Sistemática: </w:t>
      </w:r>
      <w:r>
        <w:rPr>
          <w:sz w:val="20"/>
          <w:szCs w:val="20"/>
        </w:rPr>
        <w:t xml:space="preserve">Caso isolado</w:t>
      </w:r>
    </w:p>
    <w:p>
      <w:pPr>
        <w:spacing w:after="60" w:before="160"/>
      </w:pPr>
      <w:r>
        <w:rPr>
          <w:b/>
          <w:bCs/>
          <w:color w:val="333333"/>
          <w:sz w:val="21"/>
          <w:szCs w:val="21"/>
        </w:rPr>
        <w:t xml:space="preserve">📍 Tese fixada / Decisão</w:t>
      </w:r>
    </w:p>
    <w:p>
      <w:pPr>
        <w:spacing w:after="100"/>
      </w:pPr>
      <w:r>
        <w:rPr>
          <w:i/>
          <w:iCs/>
          <w:sz w:val="20"/>
          <w:szCs w:val="20"/>
        </w:rPr>
        <w:t xml:space="preserve">O nervosismo ao avistar a guarnição policial pode caracterizar fundadas razões para a busca pessoal (art. 244, CPP); é legítimo o ingresso policial em domicílio sem mandado quando o próprio abordado indica o local onde há mais drogas, configurando flagrante e fundada suspeita.</w:t>
      </w:r>
    </w:p>
    <w:p>
      <w:pPr>
        <w:spacing w:after="60" w:before="160"/>
      </w:pPr>
      <w:r>
        <w:rPr>
          <w:b/>
          <w:bCs/>
          <w:color w:val="333333"/>
          <w:sz w:val="21"/>
          <w:szCs w:val="21"/>
        </w:rPr>
        <w:t xml:space="preserve">📚 Resumo do caso</w:t>
      </w:r>
    </w:p>
    <w:p>
      <w:pPr>
        <w:spacing w:after="100"/>
      </w:pPr>
      <w:r>
        <w:rPr>
          <w:sz w:val="20"/>
          <w:szCs w:val="20"/>
        </w:rPr>
        <w:t xml:space="preserve">Durante patrulhamento, o investigado, usando tornozeleira eletrônica, demonstrou nervosismo ao ver a viatura; consigo foram encontradas drogas, e ele indicou haver mais entorpecentes em sua residência. O STJ considerou lícitas tanto a busca pessoal (fundada no nervosismo somado a outros elementos) quanto o ingresso domiciliar subsequente, com base na indicação do próprio investigado.</w:t>
      </w:r>
    </w:p>
    <w:p>
      <w:pPr>
        <w:spacing w:after="60" w:before="160"/>
      </w:pPr>
      <w:r>
        <w:rPr>
          <w:b/>
          <w:bCs/>
          <w:color w:val="333333"/>
          <w:sz w:val="21"/>
          <w:szCs w:val="21"/>
        </w:rPr>
        <w:t xml:space="preserve">🎯 Como pode ser cobrado em prova</w:t>
      </w:r>
    </w:p>
    <w:p>
      <w:pPr>
        <w:spacing w:after="60"/>
        <w:ind w:left="260"/>
      </w:pPr>
      <w:r>
        <w:rPr>
          <w:b/>
          <w:bCs/>
          <w:i/>
          <w:iCs/>
          <w:sz w:val="20"/>
          <w:szCs w:val="20"/>
        </w:rPr>
        <w:t xml:space="preserve">Objetiva: </w:t>
      </w:r>
      <w:r>
        <w:rPr>
          <w:sz w:val="20"/>
          <w:szCs w:val="20"/>
        </w:rPr>
        <w:t xml:space="preserve">Contrastar com a ficha 8.3 (mau estado do veículo NÃO é fundada suspeita): a banca costuma alternar cenários em que um dado isolado (nervosismo, tipo de veículo, horário) é ou não suficiente para a fundada suspeita — é preciso sempre avaliar o conjunto de circunstâncias.</w:t>
      </w:r>
    </w:p>
    <w:p>
      <w:pPr>
        <w:spacing w:after="60"/>
        <w:ind w:left="260"/>
      </w:pPr>
      <w:r>
        <w:rPr>
          <w:b/>
          <w:bCs/>
          <w:i/>
          <w:iCs/>
          <w:sz w:val="20"/>
          <w:szCs w:val="20"/>
        </w:rPr>
        <w:t xml:space="preserve">Discursiva: </w:t>
      </w:r>
      <w:r>
        <w:rPr>
          <w:sz w:val="20"/>
          <w:szCs w:val="20"/>
        </w:rPr>
        <w:t xml:space="preserve">Caso de busca pessoal motivada por nervosismo do abordado, seguida de busca domiciliar por indicação do próprio suspeito — avaliar licitude de ambas as diligências.</w:t>
      </w:r>
    </w:p>
    <w:p>
      <w:pPr>
        <w:spacing w:after="60"/>
        <w:ind w:left="260"/>
      </w:pPr>
      <w:r>
        <w:rPr>
          <w:b/>
          <w:bCs/>
          <w:i/>
          <w:iCs/>
          <w:sz w:val="20"/>
          <w:szCs w:val="20"/>
        </w:rPr>
        <w:t xml:space="preserve">Oral: </w:t>
      </w:r>
      <w:r>
        <w:rPr>
          <w:sz w:val="20"/>
          <w:szCs w:val="20"/>
        </w:rPr>
        <w:t xml:space="preserve">O nervosismo, isoladamente, basta para caracterizar fundada suspeita? Que outros elementos podem reforçá-lo?</w:t>
      </w:r>
    </w:p>
    <w:p>
      <w:pPr>
        <w:spacing w:after="60" w:before="160"/>
      </w:pPr>
      <w:r>
        <w:rPr>
          <w:b/>
          <w:bCs/>
          <w:color w:val="333333"/>
          <w:sz w:val="21"/>
          <w:szCs w:val="21"/>
        </w:rPr>
        <w:t xml:space="preserve">🔗 Conexões</w:t>
      </w:r>
    </w:p>
    <w:p>
      <w:pPr>
        <w:spacing w:after="100"/>
      </w:pPr>
      <w:r>
        <w:rPr>
          <w:sz w:val="20"/>
          <w:szCs w:val="20"/>
        </w:rPr>
        <w:t xml:space="preserve">Ficha 8.3 (contraste); art. 244, CPP (busca pessoal sem mandado).</w:t>
      </w:r>
    </w:p>
    <w:p>
      <w:pPr>
        <w:pBdr>
          <w:bottom w:val="single" w:color="8B1A1A" w:sz="12" w:space="4"/>
        </w:pBdr>
        <w:spacing w:after="200" w:before="120"/>
      </w:pPr>
    </w:p>
    <w:p>
      <w:pPr>
        <w:shd w:fill="FBEAEA" w:color="auto" w:val="clear"/>
        <w:spacing w:after="40" w:before="240"/>
      </w:pPr>
      <w:bookmarkStart w:name="ficha_25" w:id="1"/>
      <w:r>
        <w:rPr>
          <w:b/>
          <w:bCs/>
          <w:color w:val="8B1A1A"/>
          <w:sz w:val="24"/>
          <w:szCs w:val="24"/>
        </w:rPr>
        <w:t xml:space="preserve">📌 8.3  Mau estado de conservação do veículo NÃO constitui fundada suspeita</w:t>
      </w:r>
      <w:bookmarkEnd w:id="1"/>
    </w:p>
    <w:p>
      <w:pPr>
        <w:spacing w:after="60"/>
      </w:pPr>
      <w:r>
        <w:rPr>
          <w:b/>
          <w:bCs/>
          <w:color w:val="8B1A1A"/>
          <w:sz w:val="20"/>
          <w:szCs w:val="20"/>
        </w:rPr>
        <w:t xml:space="preserve">Tribunal: </w:t>
      </w:r>
      <w:r>
        <w:rPr>
          <w:sz w:val="20"/>
          <w:szCs w:val="20"/>
        </w:rPr>
        <w:t xml:space="preserve">STJ   |   Órgão: 5ª Turma</w:t>
      </w:r>
    </w:p>
    <w:p>
      <w:pPr>
        <w:spacing w:after="60"/>
      </w:pPr>
      <w:r>
        <w:rPr>
          <w:b/>
          <w:bCs/>
          <w:color w:val="8B1A1A"/>
          <w:sz w:val="20"/>
          <w:szCs w:val="20"/>
        </w:rPr>
        <w:t xml:space="preserve">Processo/Relator/Data: </w:t>
      </w:r>
      <w:r>
        <w:rPr>
          <w:sz w:val="20"/>
          <w:szCs w:val="20"/>
        </w:rPr>
        <w:t xml:space="preserve">AgRg no HC 1.002.334-SP, Rel. Min. Ribeiro Dantas, j. 10/09/2025 (Info 865)</w:t>
      </w:r>
    </w:p>
    <w:p>
      <w:pPr>
        <w:spacing w:after="60"/>
      </w:pPr>
      <w:r>
        <w:rPr>
          <w:b/>
          <w:bCs/>
          <w:color w:val="8B1A1A"/>
          <w:sz w:val="20"/>
          <w:szCs w:val="20"/>
        </w:rPr>
        <w:t xml:space="preserve">Sistemática: </w:t>
      </w:r>
      <w:r>
        <w:rPr>
          <w:sz w:val="20"/>
          <w:szCs w:val="20"/>
        </w:rPr>
        <w:t xml:space="preserve">Caso isolado</w:t>
      </w:r>
    </w:p>
    <w:p>
      <w:pPr>
        <w:spacing w:after="60" w:before="160"/>
      </w:pPr>
      <w:r>
        <w:rPr>
          <w:b/>
          <w:bCs/>
          <w:color w:val="333333"/>
          <w:sz w:val="21"/>
          <w:szCs w:val="21"/>
        </w:rPr>
        <w:t xml:space="preserve">📍 Tese fixada / Decisão</w:t>
      </w:r>
    </w:p>
    <w:p>
      <w:pPr>
        <w:spacing w:after="100"/>
      </w:pPr>
      <w:r>
        <w:rPr>
          <w:i/>
          <w:iCs/>
          <w:sz w:val="20"/>
          <w:szCs w:val="20"/>
        </w:rPr>
        <w:t xml:space="preserve">O mau estado de conservação do veículo, isoladamente, não constitui fundada suspeita apta a justificar busca veicular e pessoal; a busca sem justa causa é ilegal e as provas dela obtidas são ilícitas.</w:t>
      </w:r>
    </w:p>
    <w:p>
      <w:pPr>
        <w:spacing w:after="60" w:before="160"/>
      </w:pPr>
      <w:r>
        <w:rPr>
          <w:b/>
          <w:bCs/>
          <w:color w:val="333333"/>
          <w:sz w:val="21"/>
          <w:szCs w:val="21"/>
        </w:rPr>
        <w:t xml:space="preserve">📚 Resumo do caso</w:t>
      </w:r>
    </w:p>
    <w:p>
      <w:pPr>
        <w:spacing w:after="100"/>
      </w:pPr>
      <w:r>
        <w:rPr>
          <w:sz w:val="20"/>
          <w:szCs w:val="20"/>
        </w:rPr>
        <w:t xml:space="preserve">Policiais abordaram veículo com a porta amassada e mau estado de conservação, considerando isso suspeito; encontraram arma de fogo sem autorização. O STJ considerou a busca ilegal, por ausência de fundada suspeita, reconhecendo a ilicitude da prova (arma apreendida).</w:t>
      </w:r>
    </w:p>
    <w:p>
      <w:pPr>
        <w:spacing w:after="60" w:before="160"/>
      </w:pPr>
      <w:r>
        <w:rPr>
          <w:b/>
          <w:bCs/>
          <w:color w:val="333333"/>
          <w:sz w:val="21"/>
          <w:szCs w:val="21"/>
        </w:rPr>
        <w:t xml:space="preserve">🎯 Como pode ser cobrado em prova</w:t>
      </w:r>
    </w:p>
    <w:p>
      <w:pPr>
        <w:spacing w:after="60"/>
        <w:ind w:left="260"/>
      </w:pPr>
      <w:r>
        <w:rPr>
          <w:b/>
          <w:bCs/>
          <w:i/>
          <w:iCs/>
          <w:sz w:val="20"/>
          <w:szCs w:val="20"/>
        </w:rPr>
        <w:t xml:space="preserve">Objetiva: </w:t>
      </w:r>
      <w:r>
        <w:rPr>
          <w:sz w:val="20"/>
          <w:szCs w:val="20"/>
        </w:rPr>
        <w:t xml:space="preserve">Explorar em conjunto com a ficha 8.2: a banca tende a testar se o candidato distingue elementos que isoladamente configuram fundada suspeita (indicação do próprio suspeito, nervosismo somado a contexto) de elementos genéricos e insuficientes (aparência do veículo).</w:t>
      </w:r>
    </w:p>
    <w:p>
      <w:pPr>
        <w:spacing w:after="60"/>
        <w:ind w:left="260"/>
      </w:pPr>
      <w:r>
        <w:rPr>
          <w:b/>
          <w:bCs/>
          <w:i/>
          <w:iCs/>
          <w:sz w:val="20"/>
          <w:szCs w:val="20"/>
        </w:rPr>
        <w:t xml:space="preserve">Discursiva: </w:t>
      </w:r>
      <w:r>
        <w:rPr>
          <w:sz w:val="20"/>
          <w:szCs w:val="20"/>
        </w:rPr>
        <w:t xml:space="preserve">Caso de apreensão de arma após abordagem motivada apenas pelo estado do veículo — avaliar a licitude da busca e da prova.</w:t>
      </w:r>
    </w:p>
    <w:p>
      <w:pPr>
        <w:spacing w:after="60"/>
        <w:ind w:left="260"/>
      </w:pPr>
      <w:r>
        <w:rPr>
          <w:b/>
          <w:bCs/>
          <w:i/>
          <w:iCs/>
          <w:sz w:val="20"/>
          <w:szCs w:val="20"/>
        </w:rPr>
        <w:t xml:space="preserve">Oral: </w:t>
      </w:r>
      <w:r>
        <w:rPr>
          <w:sz w:val="20"/>
          <w:szCs w:val="20"/>
        </w:rPr>
        <w:t xml:space="preserve">A simples aparência de um veículo (mau estado de conservação) é suficiente para justificar sua busca?</w:t>
      </w:r>
    </w:p>
    <w:p>
      <w:pPr>
        <w:spacing w:after="60" w:before="160"/>
      </w:pPr>
      <w:r>
        <w:rPr>
          <w:b/>
          <w:bCs/>
          <w:color w:val="333333"/>
          <w:sz w:val="21"/>
          <w:szCs w:val="21"/>
        </w:rPr>
        <w:t xml:space="preserve">🔗 Conexões</w:t>
      </w:r>
    </w:p>
    <w:p>
      <w:pPr>
        <w:spacing w:after="100"/>
      </w:pPr>
      <w:r>
        <w:rPr>
          <w:sz w:val="20"/>
          <w:szCs w:val="20"/>
        </w:rPr>
        <w:t xml:space="preserve">Ficha 8.2 (contraste); art. 244, CPP.</w:t>
      </w:r>
    </w:p>
    <w:p>
      <w:pPr>
        <w:pBdr>
          <w:bottom w:val="single" w:color="8B1A1A" w:sz="12" w:space="4"/>
        </w:pBdr>
        <w:spacing w:after="200" w:before="120"/>
      </w:pPr>
    </w:p>
    <w:p>
      <w:pPr>
        <w:shd w:fill="FBEAEA" w:color="auto" w:val="clear"/>
        <w:spacing w:after="40" w:before="240"/>
      </w:pPr>
      <w:bookmarkStart w:name="ficha_26" w:id="1"/>
      <w:r>
        <w:rPr>
          <w:b/>
          <w:bCs/>
          <w:color w:val="8B1A1A"/>
          <w:sz w:val="24"/>
          <w:szCs w:val="24"/>
        </w:rPr>
        <w:t xml:space="preserve">📌 8.4  Vedação a buscas domiciliares coletivas, genéricas e indiscriminadas ("varreduras")</w:t>
      </w:r>
      <w:bookmarkEnd w:id="1"/>
    </w:p>
    <w:p>
      <w:pPr>
        <w:spacing w:after="60"/>
      </w:pPr>
      <w:r>
        <w:rPr>
          <w:b/>
          <w:bCs/>
          <w:color w:val="8B1A1A"/>
          <w:sz w:val="20"/>
          <w:szCs w:val="20"/>
        </w:rPr>
        <w:t xml:space="preserve">Tribunal: </w:t>
      </w:r>
      <w:r>
        <w:rPr>
          <w:sz w:val="20"/>
          <w:szCs w:val="20"/>
        </w:rPr>
        <w:t xml:space="preserve">STJ   |   Órgão: 6ª Turma</w:t>
      </w:r>
    </w:p>
    <w:p>
      <w:pPr>
        <w:spacing w:after="60"/>
      </w:pPr>
      <w:r>
        <w:rPr>
          <w:b/>
          <w:bCs/>
          <w:color w:val="8B1A1A"/>
          <w:sz w:val="20"/>
          <w:szCs w:val="20"/>
        </w:rPr>
        <w:t xml:space="preserve">Processo/Relator/Data: </w:t>
      </w:r>
      <w:r>
        <w:rPr>
          <w:sz w:val="20"/>
          <w:szCs w:val="20"/>
        </w:rPr>
        <w:t xml:space="preserve">REsp 2.090.901-SP, Rel. Min. Rogerio Schietti Cruz, j. 01/04/2025 (Info 27 – Edição Extraordinária)</w:t>
      </w:r>
    </w:p>
    <w:p>
      <w:pPr>
        <w:spacing w:after="60"/>
      </w:pPr>
      <w:r>
        <w:rPr>
          <w:b/>
          <w:bCs/>
          <w:color w:val="8B1A1A"/>
          <w:sz w:val="20"/>
          <w:szCs w:val="20"/>
        </w:rPr>
        <w:t xml:space="preserve">Sistemática: </w:t>
      </w:r>
      <w:r>
        <w:rPr>
          <w:sz w:val="20"/>
          <w:szCs w:val="20"/>
        </w:rPr>
        <w:t xml:space="preserve">Caso isolado</w:t>
      </w:r>
    </w:p>
    <w:p>
      <w:pPr>
        <w:spacing w:after="60" w:before="160"/>
      </w:pPr>
      <w:r>
        <w:rPr>
          <w:b/>
          <w:bCs/>
          <w:color w:val="333333"/>
          <w:sz w:val="21"/>
          <w:szCs w:val="21"/>
        </w:rPr>
        <w:t xml:space="preserve">📍 Tese fixada / Decisão</w:t>
      </w:r>
    </w:p>
    <w:p>
      <w:pPr>
        <w:spacing w:after="100"/>
      </w:pPr>
      <w:r>
        <w:rPr>
          <w:i/>
          <w:iCs/>
          <w:sz w:val="20"/>
          <w:szCs w:val="20"/>
        </w:rPr>
        <w:t xml:space="preserve">É ilícita a realização de buscas domiciliares coletivas, generalizadas e indiscriminadas, por meio de "varreduras" de residências nas proximidades de abordagem policial, aplicando-se à busca domiciliar sem mandado a vedação à pesca probatória (fishing expedition) do art. 243, I, do CPP.</w:t>
      </w:r>
    </w:p>
    <w:p>
      <w:pPr>
        <w:spacing w:after="60" w:before="160"/>
      </w:pPr>
      <w:r>
        <w:rPr>
          <w:b/>
          <w:bCs/>
          <w:color w:val="333333"/>
          <w:sz w:val="21"/>
          <w:szCs w:val="21"/>
        </w:rPr>
        <w:t xml:space="preserve">📚 Resumo do caso</w:t>
      </w:r>
    </w:p>
    <w:p>
      <w:pPr>
        <w:spacing w:after="100"/>
      </w:pPr>
      <w:r>
        <w:rPr>
          <w:sz w:val="20"/>
          <w:szCs w:val="20"/>
        </w:rPr>
        <w:t xml:space="preserve">Após busca pessoal lícita (suspeito tentou fugir e portava dinheiro), a polícia entrou em vários "barracos" de uma comunidade sem qualquer indicação específica, até encontrar drogas em um deles. O STJ absolveu o acusado, por considerar ilícita a varredura indiscriminada de diversos domicílios, mesmo tendo sido lícita a abordagem pessoal inicial.</w:t>
      </w:r>
    </w:p>
    <w:p>
      <w:pPr>
        <w:spacing w:after="60" w:before="160"/>
      </w:pPr>
      <w:r>
        <w:rPr>
          <w:b/>
          <w:bCs/>
          <w:color w:val="333333"/>
          <w:sz w:val="21"/>
          <w:szCs w:val="21"/>
        </w:rPr>
        <w:t xml:space="preserve">🎯 Como pode ser cobrado em prova</w:t>
      </w:r>
    </w:p>
    <w:p>
      <w:pPr>
        <w:spacing w:after="60"/>
        <w:ind w:left="260"/>
      </w:pPr>
      <w:r>
        <w:rPr>
          <w:b/>
          <w:bCs/>
          <w:i/>
          <w:iCs/>
          <w:sz w:val="20"/>
          <w:szCs w:val="20"/>
        </w:rPr>
        <w:t xml:space="preserve">Objetiva: </w:t>
      </w:r>
      <w:r>
        <w:rPr>
          <w:sz w:val="20"/>
          <w:szCs w:val="20"/>
        </w:rPr>
        <w:t xml:space="preserve">Alternativa que valide a busca em vários imóveis com base apenas na licitude da abordagem pessoal anterior (incorreto — são atos distintos, com exigências próprias de fundada suspeita individualizada).</w:t>
      </w:r>
    </w:p>
    <w:p>
      <w:pPr>
        <w:spacing w:after="60"/>
        <w:ind w:left="260"/>
      </w:pPr>
      <w:r>
        <w:rPr>
          <w:b/>
          <w:bCs/>
          <w:i/>
          <w:iCs/>
          <w:sz w:val="20"/>
          <w:szCs w:val="20"/>
        </w:rPr>
        <w:t xml:space="preserve">Discursiva: </w:t>
      </w:r>
      <w:r>
        <w:rPr>
          <w:sz w:val="20"/>
          <w:szCs w:val="20"/>
        </w:rPr>
        <w:t xml:space="preserve">Caso de busca domiciliar em múltiplos imóveis de uma mesma região, sem individualização prévia — avaliar a licitude à luz da vedação à pesca probatória.</w:t>
      </w:r>
    </w:p>
    <w:p>
      <w:pPr>
        <w:spacing w:after="60"/>
        <w:ind w:left="260"/>
      </w:pPr>
      <w:r>
        <w:rPr>
          <w:b/>
          <w:bCs/>
          <w:i/>
          <w:iCs/>
          <w:sz w:val="20"/>
          <w:szCs w:val="20"/>
        </w:rPr>
        <w:t xml:space="preserve">Oral: </w:t>
      </w:r>
      <w:r>
        <w:rPr>
          <w:sz w:val="20"/>
          <w:szCs w:val="20"/>
        </w:rPr>
        <w:t xml:space="preserve">É lícita a busca em vários domicílios de uma mesma região, sem individualização prévia do imóvel-alvo, apenas porque houve fundada suspeita quanto a uma pessoa na via pública?</w:t>
      </w:r>
    </w:p>
    <w:p>
      <w:pPr>
        <w:spacing w:after="60" w:before="160"/>
      </w:pPr>
      <w:r>
        <w:rPr>
          <w:b/>
          <w:bCs/>
          <w:color w:val="333333"/>
          <w:sz w:val="21"/>
          <w:szCs w:val="21"/>
        </w:rPr>
        <w:t xml:space="preserve">🔗 Conexões</w:t>
      </w:r>
    </w:p>
    <w:p>
      <w:pPr>
        <w:spacing w:after="100"/>
      </w:pPr>
      <w:r>
        <w:rPr>
          <w:sz w:val="20"/>
          <w:szCs w:val="20"/>
        </w:rPr>
        <w:t xml:space="preserve">Art. 243, I, CPP (vedação à pesca probatória); art. 5º, XI, CF.</w:t>
      </w:r>
    </w:p>
    <w:p>
      <w:pPr>
        <w:pBdr>
          <w:bottom w:val="single" w:color="8B1A1A" w:sz="12" w:space="4"/>
        </w:pBdr>
        <w:spacing w:after="200" w:before="120"/>
      </w:pPr>
    </w:p>
    <w:p>
      <w:pPr>
        <w:shd w:fill="FBEAEA" w:color="auto" w:val="clear"/>
        <w:spacing w:after="40" w:before="240"/>
      </w:pPr>
      <w:bookmarkStart w:name="ficha_27" w:id="1"/>
      <w:r>
        <w:rPr>
          <w:b/>
          <w:bCs/>
          <w:color w:val="8B1A1A"/>
          <w:sz w:val="24"/>
          <w:szCs w:val="24"/>
        </w:rPr>
        <w:t xml:space="preserve">📌 8.5  Busca domiciliar deve ser cumprida entre 5h e 21h (Lei de Abuso de Autoridade)</w:t>
      </w:r>
      <w:bookmarkEnd w:id="1"/>
    </w:p>
    <w:p>
      <w:pPr>
        <w:spacing w:after="60"/>
      </w:pPr>
      <w:r>
        <w:rPr>
          <w:b/>
          <w:bCs/>
          <w:color w:val="8B1A1A"/>
          <w:sz w:val="20"/>
          <w:szCs w:val="20"/>
        </w:rPr>
        <w:t xml:space="preserve">Tribunal: </w:t>
      </w:r>
      <w:r>
        <w:rPr>
          <w:sz w:val="20"/>
          <w:szCs w:val="20"/>
        </w:rPr>
        <w:t xml:space="preserve">STJ   |   Órgão: 3ª Seção</w:t>
      </w:r>
    </w:p>
    <w:p>
      <w:pPr>
        <w:spacing w:after="60"/>
      </w:pPr>
      <w:r>
        <w:rPr>
          <w:b/>
          <w:bCs/>
          <w:color w:val="8B1A1A"/>
          <w:sz w:val="20"/>
          <w:szCs w:val="20"/>
        </w:rPr>
        <w:t xml:space="preserve">Processo/Relator/Data: </w:t>
      </w:r>
      <w:r>
        <w:rPr>
          <w:sz w:val="20"/>
          <w:szCs w:val="20"/>
        </w:rPr>
        <w:t xml:space="preserve">RHC 196.496-RN, Rel. Min. Sebastião Reis Júnior, j. 10/12/2025 (Info 30 – Edição Extraordinária)</w:t>
      </w:r>
    </w:p>
    <w:p>
      <w:pPr>
        <w:spacing w:after="60"/>
      </w:pPr>
      <w:r>
        <w:rPr>
          <w:b/>
          <w:bCs/>
          <w:color w:val="8B1A1A"/>
          <w:sz w:val="20"/>
          <w:szCs w:val="20"/>
        </w:rPr>
        <w:t xml:space="preserve">Sistemática: </w:t>
      </w:r>
      <w:r>
        <w:rPr>
          <w:sz w:val="20"/>
          <w:szCs w:val="20"/>
        </w:rPr>
        <w:t xml:space="preserve">Caso isolado, mas com potencial uniformizador (3ª Seção)</w:t>
      </w:r>
    </w:p>
    <w:p>
      <w:pPr>
        <w:spacing w:after="60" w:before="160"/>
      </w:pPr>
      <w:r>
        <w:rPr>
          <w:b/>
          <w:bCs/>
          <w:color w:val="333333"/>
          <w:sz w:val="21"/>
          <w:szCs w:val="21"/>
        </w:rPr>
        <w:t xml:space="preserve">📍 Tese fixada / Decisão</w:t>
      </w:r>
    </w:p>
    <w:p>
      <w:pPr>
        <w:spacing w:after="100"/>
      </w:pPr>
      <w:r>
        <w:rPr>
          <w:i/>
          <w:iCs/>
          <w:sz w:val="20"/>
          <w:szCs w:val="20"/>
        </w:rPr>
        <w:t xml:space="preserve">Após o advento do art. 22, §1º, III, da Lei nº 13.869/2019 (Lei de Abuso de Autoridade), passou a ser válido o cumprimento de mandado de busca e apreensão domiciliar no período compreendido entre 5h e 21h, resolvendo a antiga controvérsia sobre o que se entende por "dia" no art. 245 do CPP.</w:t>
      </w:r>
    </w:p>
    <w:p>
      <w:pPr>
        <w:spacing w:after="60" w:before="160"/>
      </w:pPr>
      <w:r>
        <w:rPr>
          <w:b/>
          <w:bCs/>
          <w:color w:val="333333"/>
          <w:sz w:val="21"/>
          <w:szCs w:val="21"/>
        </w:rPr>
        <w:t xml:space="preserve">📚 Resumo do caso</w:t>
      </w:r>
    </w:p>
    <w:p>
      <w:pPr>
        <w:spacing w:after="100"/>
      </w:pPr>
      <w:r>
        <w:rPr>
          <w:sz w:val="20"/>
          <w:szCs w:val="20"/>
        </w:rPr>
        <w:t xml:space="preserve">O CPP (art. 245) exige busca domiciliar "de dia", sem definir o marco temporal, gerando histórica controvérsia doutrinária. O STJ entendeu que a Lei de Abuso de Autoridade, ao tipificar como crime o cumprimento do mandado "após as 21h ou antes das 5h", forneceu o critério objetivo que faltava, motivo pelo qual esse é hoje o horário válido para cumprimento de busca domiciliar.</w:t>
      </w:r>
    </w:p>
    <w:p>
      <w:pPr>
        <w:spacing w:after="60" w:before="160"/>
      </w:pPr>
      <w:r>
        <w:rPr>
          <w:b/>
          <w:bCs/>
          <w:color w:val="333333"/>
          <w:sz w:val="21"/>
          <w:szCs w:val="21"/>
        </w:rPr>
        <w:t xml:space="preserve">🎯 Como pode ser cobrado em prova</w:t>
      </w:r>
    </w:p>
    <w:p>
      <w:pPr>
        <w:spacing w:after="60"/>
        <w:ind w:left="260"/>
      </w:pPr>
      <w:r>
        <w:rPr>
          <w:b/>
          <w:bCs/>
          <w:i/>
          <w:iCs/>
          <w:sz w:val="20"/>
          <w:szCs w:val="20"/>
        </w:rPr>
        <w:t xml:space="preserve">Objetiva: </w:t>
      </w:r>
      <w:r>
        <w:rPr>
          <w:sz w:val="20"/>
          <w:szCs w:val="20"/>
        </w:rPr>
        <w:t xml:space="preserve">Alternativas com outros horários (ex.: 6h às 18h) — tema de memorização direta, mas também de compreensão da fonte normativa (Lei de Abuso de Autoridade, e não o CPP diretamente).</w:t>
      </w:r>
    </w:p>
    <w:p>
      <w:pPr>
        <w:spacing w:after="60"/>
        <w:ind w:left="260"/>
      </w:pPr>
      <w:r>
        <w:rPr>
          <w:b/>
          <w:bCs/>
          <w:i/>
          <w:iCs/>
          <w:sz w:val="20"/>
          <w:szCs w:val="20"/>
        </w:rPr>
        <w:t xml:space="preserve">Discursiva: </w:t>
      </w:r>
      <w:r>
        <w:rPr>
          <w:sz w:val="20"/>
          <w:szCs w:val="20"/>
        </w:rPr>
        <w:t xml:space="preserve">Mandado de busca cumprido às 22h — avaliar a legalidade da diligência à luz do marco temporal fixado pela jurisprudência com base na Lei 13.869/2019.</w:t>
      </w:r>
    </w:p>
    <w:p>
      <w:pPr>
        <w:spacing w:after="60"/>
        <w:ind w:left="260"/>
      </w:pPr>
      <w:r>
        <w:rPr>
          <w:b/>
          <w:bCs/>
          <w:i/>
          <w:iCs/>
          <w:sz w:val="20"/>
          <w:szCs w:val="20"/>
        </w:rPr>
        <w:t xml:space="preserve">Oral: </w:t>
      </w:r>
      <w:r>
        <w:rPr>
          <w:sz w:val="20"/>
          <w:szCs w:val="20"/>
        </w:rPr>
        <w:t xml:space="preserve">Qual o horário válido para cumprimento de mandado de busca domiciliar e qual a base normativa desse marco?</w:t>
      </w:r>
    </w:p>
    <w:p>
      <w:pPr>
        <w:spacing w:after="60" w:before="160"/>
      </w:pPr>
      <w:r>
        <w:rPr>
          <w:b/>
          <w:bCs/>
          <w:color w:val="333333"/>
          <w:sz w:val="21"/>
          <w:szCs w:val="21"/>
        </w:rPr>
        <w:t xml:space="preserve">🔗 Conexões</w:t>
      </w:r>
    </w:p>
    <w:p>
      <w:pPr>
        <w:spacing w:after="100"/>
      </w:pPr>
      <w:r>
        <w:rPr>
          <w:sz w:val="20"/>
          <w:szCs w:val="20"/>
        </w:rPr>
        <w:t xml:space="preserve">Art. 245, CPP; art. 22, §1º, III, Lei 13.869/2019.</w:t>
      </w:r>
    </w:p>
    <w:p>
      <w:pPr>
        <w:pBdr>
          <w:bottom w:val="single" w:color="8B1A1A" w:sz="12" w:space="4"/>
        </w:pBdr>
        <w:spacing w:after="200" w:before="120"/>
      </w:pPr>
    </w:p>
    <w:p>
      <w:pPr>
        <w:shd w:fill="FBEAEA" w:color="auto" w:val="clear"/>
        <w:spacing w:after="40" w:before="240"/>
      </w:pPr>
      <w:bookmarkStart w:name="ficha_28" w:id="1"/>
      <w:r>
        <w:rPr>
          <w:b/>
          <w:bCs/>
          <w:color w:val="8B1A1A"/>
          <w:sz w:val="24"/>
          <w:szCs w:val="24"/>
        </w:rPr>
        <w:t xml:space="preserve">📌 8.6  Busca sem mandado físico é ilícita mesmo com autorização judicial</w:t>
      </w:r>
      <w:bookmarkEnd w:id="1"/>
    </w:p>
    <w:p>
      <w:pPr>
        <w:spacing w:after="60"/>
      </w:pPr>
      <w:r>
        <w:rPr>
          <w:b/>
          <w:bCs/>
          <w:color w:val="8B1A1A"/>
          <w:sz w:val="20"/>
          <w:szCs w:val="20"/>
        </w:rPr>
        <w:t xml:space="preserve">Tribunal: </w:t>
      </w:r>
      <w:r>
        <w:rPr>
          <w:sz w:val="20"/>
          <w:szCs w:val="20"/>
        </w:rPr>
        <w:t xml:space="preserve">STJ   |   Órgão: 5ª Turma</w:t>
      </w:r>
    </w:p>
    <w:p>
      <w:pPr>
        <w:spacing w:after="60"/>
      </w:pPr>
      <w:r>
        <w:rPr>
          <w:b/>
          <w:bCs/>
          <w:color w:val="8B1A1A"/>
          <w:sz w:val="20"/>
          <w:szCs w:val="20"/>
        </w:rPr>
        <w:t xml:space="preserve">Processo/Relator/Data: </w:t>
      </w:r>
      <w:r>
        <w:rPr>
          <w:sz w:val="20"/>
          <w:szCs w:val="20"/>
        </w:rPr>
        <w:t xml:space="preserve">AgRg no HC 965.224-MG, Rel. Min. Ribeiro Dantas, j. 08/04/2025 (Info 847)</w:t>
      </w:r>
    </w:p>
    <w:p>
      <w:pPr>
        <w:spacing w:after="60"/>
      </w:pPr>
      <w:r>
        <w:rPr>
          <w:b/>
          <w:bCs/>
          <w:color w:val="8B1A1A"/>
          <w:sz w:val="20"/>
          <w:szCs w:val="20"/>
        </w:rPr>
        <w:t xml:space="preserve">Sistemática: </w:t>
      </w:r>
      <w:r>
        <w:rPr>
          <w:sz w:val="20"/>
          <w:szCs w:val="20"/>
        </w:rPr>
        <w:t xml:space="preserve">Caso isolado</w:t>
      </w:r>
    </w:p>
    <w:p>
      <w:pPr>
        <w:spacing w:after="60" w:before="160"/>
      </w:pPr>
      <w:r>
        <w:rPr>
          <w:b/>
          <w:bCs/>
          <w:color w:val="333333"/>
          <w:sz w:val="21"/>
          <w:szCs w:val="21"/>
        </w:rPr>
        <w:t xml:space="preserve">📍 Tese fixada / Decisão</w:t>
      </w:r>
    </w:p>
    <w:p>
      <w:pPr>
        <w:spacing w:after="100"/>
      </w:pPr>
      <w:r>
        <w:rPr>
          <w:i/>
          <w:iCs/>
          <w:sz w:val="20"/>
          <w:szCs w:val="20"/>
        </w:rPr>
        <w:t xml:space="preserve">A ausência de mandado físico, ainda que exista autorização judicial prévia, compromete a legalidade da busca e apreensão, tornando ilícitas as provas obtidas — não basta a decisão judicial autorizativa, o mandado formal é indispensável.</w:t>
      </w:r>
    </w:p>
    <w:p>
      <w:pPr>
        <w:spacing w:after="60" w:before="160"/>
      </w:pPr>
      <w:r>
        <w:rPr>
          <w:b/>
          <w:bCs/>
          <w:color w:val="333333"/>
          <w:sz w:val="21"/>
          <w:szCs w:val="21"/>
        </w:rPr>
        <w:t xml:space="preserve">📚 Resumo do caso</w:t>
      </w:r>
    </w:p>
    <w:p>
      <w:pPr>
        <w:spacing w:after="100"/>
      </w:pPr>
      <w:r>
        <w:rPr>
          <w:sz w:val="20"/>
          <w:szCs w:val="20"/>
        </w:rPr>
        <w:t xml:space="preserve">Julgado direto e didático: mesmo havendo autorização judicial para a diligência, a inexistência do mandado físico (documento formal, com os requisitos do art. 243, CPP) contamina a busca e as provas dela decorrentes.</w:t>
      </w:r>
    </w:p>
    <w:p>
      <w:pPr>
        <w:spacing w:after="60" w:before="160"/>
      </w:pPr>
      <w:r>
        <w:rPr>
          <w:b/>
          <w:bCs/>
          <w:color w:val="333333"/>
          <w:sz w:val="21"/>
          <w:szCs w:val="21"/>
        </w:rPr>
        <w:t xml:space="preserve">🎯 Como pode ser cobrado em prova</w:t>
      </w:r>
    </w:p>
    <w:p>
      <w:pPr>
        <w:spacing w:after="60"/>
        <w:ind w:left="260"/>
      </w:pPr>
      <w:r>
        <w:rPr>
          <w:b/>
          <w:bCs/>
          <w:i/>
          <w:iCs/>
          <w:sz w:val="20"/>
          <w:szCs w:val="20"/>
        </w:rPr>
        <w:t xml:space="preserve">Objetiva: </w:t>
      </w:r>
      <w:r>
        <w:rPr>
          <w:sz w:val="20"/>
          <w:szCs w:val="20"/>
        </w:rPr>
        <w:t xml:space="preserve">Alternativa equiparando "autorização judicial" a "mandado" (incorreto — são formalidades distintas e ambas exigidas).</w:t>
      </w:r>
    </w:p>
    <w:p>
      <w:pPr>
        <w:spacing w:after="60"/>
        <w:ind w:left="260"/>
      </w:pPr>
      <w:r>
        <w:rPr>
          <w:b/>
          <w:bCs/>
          <w:i/>
          <w:iCs/>
          <w:sz w:val="20"/>
          <w:szCs w:val="20"/>
        </w:rPr>
        <w:t xml:space="preserve">Discursiva: </w:t>
      </w:r>
      <w:r>
        <w:rPr>
          <w:sz w:val="20"/>
          <w:szCs w:val="20"/>
        </w:rPr>
        <w:t xml:space="preserve">Caso de busca realizada com base apenas em decisão judicial verbal ou despacho, sem expedição do mandado formal — avaliar a licitude da diligência.</w:t>
      </w:r>
    </w:p>
    <w:p>
      <w:pPr>
        <w:spacing w:after="60"/>
        <w:ind w:left="260"/>
      </w:pPr>
      <w:r>
        <w:rPr>
          <w:b/>
          <w:bCs/>
          <w:i/>
          <w:iCs/>
          <w:sz w:val="20"/>
          <w:szCs w:val="20"/>
        </w:rPr>
        <w:t xml:space="preserve">Oral: </w:t>
      </w:r>
      <w:r>
        <w:rPr>
          <w:sz w:val="20"/>
          <w:szCs w:val="20"/>
        </w:rPr>
        <w:t xml:space="preserve">A mera autorização judicial para busca e apreensão dispensa a expedição do mandado formal?</w:t>
      </w:r>
    </w:p>
    <w:p>
      <w:pPr>
        <w:spacing w:after="60" w:before="160"/>
      </w:pPr>
      <w:r>
        <w:rPr>
          <w:b/>
          <w:bCs/>
          <w:color w:val="333333"/>
          <w:sz w:val="21"/>
          <w:szCs w:val="21"/>
        </w:rPr>
        <w:t xml:space="preserve">🔗 Conexões</w:t>
      </w:r>
    </w:p>
    <w:p>
      <w:pPr>
        <w:spacing w:after="100"/>
      </w:pPr>
      <w:r>
        <w:rPr>
          <w:sz w:val="20"/>
          <w:szCs w:val="20"/>
        </w:rPr>
        <w:t xml:space="preserve">Art. 243, CPP (requisitos do mandado).</w:t>
      </w:r>
    </w:p>
    <w:p>
      <w:pPr>
        <w:pBdr>
          <w:bottom w:val="single" w:color="8B1A1A" w:sz="12" w:space="4"/>
        </w:pBdr>
        <w:spacing w:after="200" w:before="120"/>
      </w:pPr>
    </w:p>
    <w:p>
      <w:pPr>
        <w:pStyle w:val="Heading1"/>
        <w:spacing w:after="160" w:before="320"/>
      </w:pPr>
      <w:bookmarkStart w:name="subtema_9" w:id="1"/>
      <w:r>
        <w:t xml:space="preserve">9. Provas Digitais, Dados Telemáticos e Novas Tecnologias</w:t>
      </w:r>
      <w:bookmarkEnd w:id="1"/>
    </w:p>
    <w:p>
      <w:pPr>
        <w:shd w:fill="FBEAEA" w:color="auto" w:val="clear"/>
        <w:spacing w:after="40" w:before="240"/>
      </w:pPr>
      <w:bookmarkStart w:name="ficha_29" w:id="1"/>
      <w:r>
        <w:rPr>
          <w:b/>
          <w:bCs/>
          <w:color w:val="8B1A1A"/>
          <w:sz w:val="24"/>
          <w:szCs w:val="24"/>
        </w:rPr>
        <w:t xml:space="preserve">📌 9.1  Apreensão de celular não exige ordem judicial; acesso aos dados, sim (regras diferenciadas) — Tema 977/RG</w:t>
      </w:r>
      <w:bookmarkEnd w:id="1"/>
    </w:p>
    <w:p>
      <w:pPr>
        <w:spacing w:after="60"/>
      </w:pPr>
      <w:r>
        <w:rPr>
          <w:b/>
          <w:bCs/>
          <w:color w:val="8B1A1A"/>
          <w:sz w:val="20"/>
          <w:szCs w:val="20"/>
        </w:rPr>
        <w:t xml:space="preserve">Tribunal: </w:t>
      </w:r>
      <w:r>
        <w:rPr>
          <w:sz w:val="20"/>
          <w:szCs w:val="20"/>
        </w:rPr>
        <w:t xml:space="preserve">STF   |   Órgão: Plenário</w:t>
      </w:r>
    </w:p>
    <w:p>
      <w:pPr>
        <w:spacing w:after="60"/>
      </w:pPr>
      <w:r>
        <w:rPr>
          <w:b/>
          <w:bCs/>
          <w:color w:val="8B1A1A"/>
          <w:sz w:val="20"/>
          <w:szCs w:val="20"/>
        </w:rPr>
        <w:t xml:space="preserve">Processo/Relator/Data: </w:t>
      </w:r>
      <w:r>
        <w:rPr>
          <w:sz w:val="20"/>
          <w:szCs w:val="20"/>
        </w:rPr>
        <w:t xml:space="preserve">ARE 1.042.075/RJ, Rel. Min. Dias Toffoli, j. 25/06/2025 (Repercussão Geral – Tema 977, Info 1184)</w:t>
      </w:r>
    </w:p>
    <w:p>
      <w:pPr>
        <w:spacing w:after="60"/>
      </w:pPr>
      <w:r>
        <w:rPr>
          <w:b/>
          <w:bCs/>
          <w:color w:val="8B1A1A"/>
          <w:sz w:val="20"/>
          <w:szCs w:val="20"/>
        </w:rPr>
        <w:t xml:space="preserve">Sistemática: </w:t>
      </w:r>
      <w:r>
        <w:rPr>
          <w:sz w:val="20"/>
          <w:szCs w:val="20"/>
        </w:rPr>
        <w:t xml:space="preserve">Repercussão Geral — Tema 977</w:t>
      </w:r>
    </w:p>
    <w:p>
      <w:pPr>
        <w:spacing w:after="60" w:before="160"/>
      </w:pPr>
      <w:r>
        <w:rPr>
          <w:b/>
          <w:bCs/>
          <w:color w:val="333333"/>
          <w:sz w:val="21"/>
          <w:szCs w:val="21"/>
        </w:rPr>
        <w:t xml:space="preserve">📍 Tese fixada / Decisão</w:t>
      </w:r>
    </w:p>
    <w:p>
      <w:pPr>
        <w:spacing w:after="100"/>
      </w:pPr>
      <w:r>
        <w:rPr>
          <w:i/>
          <w:iCs/>
          <w:sz w:val="20"/>
          <w:szCs w:val="20"/>
        </w:rPr>
        <w:t xml:space="preserve">(1) A mera apreensão do celular (art. 6º, CPP, ou flagrante) não está sujeita à reserva de jurisdição; (2) em caso de encontro fortuito, o acesso aos dados para identificar autoria ou proprietário dispensa consentimento ou decisão judicial prévia, se justificado posteriormente; (3) se o celular for apreendido nos termos do art. 6º do CPP ou em flagrante, o acesso aos dados depende de consentimento expresso do titular ou de prévia decisão judicial que demonstre proporcionalidade; (4) a autoridade policial pode adotar medidas de preservação dos dados antes da autorização judicial, justificando-as depois; (5) efeitos prospectivos.</w:t>
      </w:r>
    </w:p>
    <w:p>
      <w:pPr>
        <w:spacing w:after="60" w:before="160"/>
      </w:pPr>
      <w:r>
        <w:rPr>
          <w:b/>
          <w:bCs/>
          <w:color w:val="333333"/>
          <w:sz w:val="21"/>
          <w:szCs w:val="21"/>
        </w:rPr>
        <w:t xml:space="preserve">📚 Resumo do caso</w:t>
      </w:r>
    </w:p>
    <w:p>
      <w:pPr>
        <w:spacing w:after="100"/>
      </w:pPr>
      <w:r>
        <w:rPr>
          <w:sz w:val="20"/>
          <w:szCs w:val="20"/>
        </w:rPr>
        <w:t xml:space="preserve">Tema de repercussão geral que sistematiza toda a disciplina do acesso a dados de celulares apreendidos, distinguindo o encontro fortuito (regime mais flexível) da apreensão programada em flagrante ou por força do art. 6º do CPP (regime de reserva de jurisdição, salvo consentimento). É provavelmente o precedente de maior potencial de cobrança objetiva e discursiva de toda a rodada, por sistematizar em cinco itens toda a matéria de provas digitais em celulares.</w:t>
      </w:r>
    </w:p>
    <w:p>
      <w:pPr>
        <w:spacing w:after="60" w:before="160"/>
      </w:pPr>
      <w:r>
        <w:rPr>
          <w:b/>
          <w:bCs/>
          <w:color w:val="333333"/>
          <w:sz w:val="21"/>
          <w:szCs w:val="21"/>
        </w:rPr>
        <w:t xml:space="preserve">🎯 Como pode ser cobrado em prova</w:t>
      </w:r>
    </w:p>
    <w:p>
      <w:pPr>
        <w:spacing w:after="60"/>
        <w:ind w:left="260"/>
      </w:pPr>
      <w:r>
        <w:rPr>
          <w:b/>
          <w:bCs/>
          <w:i/>
          <w:iCs/>
          <w:sz w:val="20"/>
          <w:szCs w:val="20"/>
        </w:rPr>
        <w:t xml:space="preserve">Objetiva: </w:t>
      </w:r>
      <w:r>
        <w:rPr>
          <w:sz w:val="20"/>
          <w:szCs w:val="20"/>
        </w:rPr>
        <w:t xml:space="preserve">Alternativas que tratem qualquer apreensão de celular como sujeita à reserva de jurisdição (incorreto quanto à mera apreensão); ou que dispensem consentimento/decisão judicial para acesso a dados em caso de apreensão programada (incorreto).</w:t>
      </w:r>
    </w:p>
    <w:p>
      <w:pPr>
        <w:spacing w:after="60"/>
        <w:ind w:left="260"/>
      </w:pPr>
      <w:r>
        <w:rPr>
          <w:b/>
          <w:bCs/>
          <w:i/>
          <w:iCs/>
          <w:sz w:val="20"/>
          <w:szCs w:val="20"/>
        </w:rPr>
        <w:t xml:space="preserve">Discursiva: </w:t>
      </w:r>
      <w:r>
        <w:rPr>
          <w:sz w:val="20"/>
          <w:szCs w:val="20"/>
        </w:rPr>
        <w:t xml:space="preserve">Caso de celular apreendido em flagrante, com acesso a dados sem consentimento nem autorização judicial prévia — avaliar a licitude à luz dos cinco itens da tese do Tema 977.</w:t>
      </w:r>
    </w:p>
    <w:p>
      <w:pPr>
        <w:spacing w:after="60"/>
        <w:ind w:left="260"/>
      </w:pPr>
      <w:r>
        <w:rPr>
          <w:b/>
          <w:bCs/>
          <w:i/>
          <w:iCs/>
          <w:sz w:val="20"/>
          <w:szCs w:val="20"/>
        </w:rPr>
        <w:t xml:space="preserve">Oral: </w:t>
      </w:r>
      <w:r>
        <w:rPr>
          <w:sz w:val="20"/>
          <w:szCs w:val="20"/>
        </w:rPr>
        <w:t xml:space="preserve">Existe diferença de regime entre a apreensão de um celular e o acesso aos seus dados? E entre o encontro fortuito e a apreensão programada?</w:t>
      </w:r>
    </w:p>
    <w:p>
      <w:pPr>
        <w:spacing w:after="60" w:before="160"/>
      </w:pPr>
      <w:r>
        <w:rPr>
          <w:b/>
          <w:bCs/>
          <w:color w:val="333333"/>
          <w:sz w:val="21"/>
          <w:szCs w:val="21"/>
        </w:rPr>
        <w:t xml:space="preserve">🔗 Conexões</w:t>
      </w:r>
    </w:p>
    <w:p>
      <w:pPr>
        <w:spacing w:after="100"/>
      </w:pPr>
      <w:r>
        <w:rPr>
          <w:sz w:val="20"/>
          <w:szCs w:val="20"/>
        </w:rPr>
        <w:t xml:space="preserve">Ficha 2.2 (fonte independente em caso concreto de celular); art. 5º, X, XII e LXXIX, CF.</w:t>
      </w:r>
    </w:p>
    <w:p>
      <w:pPr>
        <w:pBdr>
          <w:bottom w:val="single" w:color="8B1A1A" w:sz="12" w:space="4"/>
        </w:pBdr>
        <w:spacing w:after="200" w:before="120"/>
      </w:pPr>
    </w:p>
    <w:p>
      <w:pPr>
        <w:shd w:fill="FBEAEA" w:color="auto" w:val="clear"/>
        <w:spacing w:after="40" w:before="240"/>
      </w:pPr>
      <w:bookmarkStart w:name="ficha_30" w:id="1"/>
      <w:r>
        <w:rPr>
          <w:b/>
          <w:bCs/>
          <w:color w:val="8B1A1A"/>
          <w:sz w:val="24"/>
          <w:szCs w:val="24"/>
        </w:rPr>
        <w:t xml:space="preserve">📌 9.2  Sigilo de dados não protege celular usado ilicitamente em presídio</w:t>
      </w:r>
      <w:bookmarkEnd w:id="1"/>
    </w:p>
    <w:p>
      <w:pPr>
        <w:spacing w:after="60"/>
      </w:pPr>
      <w:r>
        <w:rPr>
          <w:b/>
          <w:bCs/>
          <w:color w:val="8B1A1A"/>
          <w:sz w:val="20"/>
          <w:szCs w:val="20"/>
        </w:rPr>
        <w:t xml:space="preserve">Tribunal: </w:t>
      </w:r>
      <w:r>
        <w:rPr>
          <w:sz w:val="20"/>
          <w:szCs w:val="20"/>
        </w:rPr>
        <w:t xml:space="preserve">STJ   |   Órgão: 5ª Turma</w:t>
      </w:r>
    </w:p>
    <w:p>
      <w:pPr>
        <w:spacing w:after="60"/>
      </w:pPr>
      <w:r>
        <w:rPr>
          <w:b/>
          <w:bCs/>
          <w:color w:val="8B1A1A"/>
          <w:sz w:val="20"/>
          <w:szCs w:val="20"/>
        </w:rPr>
        <w:t xml:space="preserve">Processo/Relator/Data: </w:t>
      </w:r>
      <w:r>
        <w:rPr>
          <w:sz w:val="20"/>
          <w:szCs w:val="20"/>
        </w:rPr>
        <w:t xml:space="preserve">REsp 2.235.157-RS, Rel. Min. Maria Marluce Caldas, j. 04/03/2026 (Info 883)</w:t>
      </w:r>
    </w:p>
    <w:p>
      <w:pPr>
        <w:spacing w:after="60"/>
      </w:pPr>
      <w:r>
        <w:rPr>
          <w:b/>
          <w:bCs/>
          <w:color w:val="8B1A1A"/>
          <w:sz w:val="20"/>
          <w:szCs w:val="20"/>
        </w:rPr>
        <w:t xml:space="preserve">Sistemática: </w:t>
      </w:r>
      <w:r>
        <w:rPr>
          <w:sz w:val="20"/>
          <w:szCs w:val="20"/>
        </w:rPr>
        <w:t xml:space="preserve">Caso isolado</w:t>
      </w:r>
    </w:p>
    <w:p>
      <w:pPr>
        <w:spacing w:after="60" w:before="160"/>
      </w:pPr>
      <w:r>
        <w:rPr>
          <w:b/>
          <w:bCs/>
          <w:color w:val="333333"/>
          <w:sz w:val="21"/>
          <w:szCs w:val="21"/>
        </w:rPr>
        <w:t xml:space="preserve">📍 Tese fixada / Decisão</w:t>
      </w:r>
    </w:p>
    <w:p>
      <w:pPr>
        <w:spacing w:after="100"/>
      </w:pPr>
      <w:r>
        <w:rPr>
          <w:i/>
          <w:iCs/>
          <w:sz w:val="20"/>
          <w:szCs w:val="20"/>
        </w:rPr>
        <w:t xml:space="preserve">A proteção constitucional ao sigilo de dados (art. 5º, XII, CF) não se aplica a meios de comunicação utilizados ilicitamente em estabelecimentos prisionais; a extração integral de dados de celular apreendido em presídio é medida necessária, adequada e proporcional, sem limitações temporais artificiais.</w:t>
      </w:r>
    </w:p>
    <w:p>
      <w:pPr>
        <w:spacing w:after="60" w:before="160"/>
      </w:pPr>
      <w:r>
        <w:rPr>
          <w:b/>
          <w:bCs/>
          <w:color w:val="333333"/>
          <w:sz w:val="21"/>
          <w:szCs w:val="21"/>
        </w:rPr>
        <w:t xml:space="preserve">📚 Resumo do caso</w:t>
      </w:r>
    </w:p>
    <w:p>
      <w:pPr>
        <w:spacing w:after="100"/>
      </w:pPr>
      <w:r>
        <w:rPr>
          <w:sz w:val="20"/>
          <w:szCs w:val="20"/>
        </w:rPr>
        <w:t xml:space="preserve">Celular encontrado durante busca em cela de preso (posse proibida por lei) foi objeto de pedido de extração integral de dados; o juiz autorizou apenas 30 dias de ligações, por entender ainda existir proteção constitucional. O STJ afastou essa limitação, por entender que a ilicitude da posse do aparelho no cárcere afasta a proteção de sigilo, autorizando a extração integral.</w:t>
      </w:r>
    </w:p>
    <w:p>
      <w:pPr>
        <w:spacing w:after="60" w:before="160"/>
      </w:pPr>
      <w:r>
        <w:rPr>
          <w:b/>
          <w:bCs/>
          <w:color w:val="333333"/>
          <w:sz w:val="21"/>
          <w:szCs w:val="21"/>
        </w:rPr>
        <w:t xml:space="preserve">🎯 Como pode ser cobrado em prova</w:t>
      </w:r>
    </w:p>
    <w:p>
      <w:pPr>
        <w:spacing w:after="60"/>
        <w:ind w:left="260"/>
      </w:pPr>
      <w:r>
        <w:rPr>
          <w:b/>
          <w:bCs/>
          <w:i/>
          <w:iCs/>
          <w:sz w:val="20"/>
          <w:szCs w:val="20"/>
        </w:rPr>
        <w:t xml:space="preserve">Objetiva: </w:t>
      </w:r>
      <w:r>
        <w:rPr>
          <w:sz w:val="20"/>
          <w:szCs w:val="20"/>
        </w:rPr>
        <w:t xml:space="preserve">Alternativa que sustente a manutenção de sigilo integral mesmo diante da posse ilícita do aparelho no cárcere (incorreto).</w:t>
      </w:r>
    </w:p>
    <w:p>
      <w:pPr>
        <w:spacing w:after="60"/>
        <w:ind w:left="260"/>
      </w:pPr>
      <w:r>
        <w:rPr>
          <w:b/>
          <w:bCs/>
          <w:i/>
          <w:iCs/>
          <w:sz w:val="20"/>
          <w:szCs w:val="20"/>
        </w:rPr>
        <w:t xml:space="preserve">Discursiva: </w:t>
      </w:r>
      <w:r>
        <w:rPr>
          <w:sz w:val="20"/>
          <w:szCs w:val="20"/>
        </w:rPr>
        <w:t xml:space="preserve">Caso de extração de dados de celular apreendido em cela, com limitação temporal imposta pelo juízo — avaliar a proporcionalidade da limitação.</w:t>
      </w:r>
    </w:p>
    <w:p>
      <w:pPr>
        <w:spacing w:after="60"/>
        <w:ind w:left="260"/>
      </w:pPr>
      <w:r>
        <w:rPr>
          <w:b/>
          <w:bCs/>
          <w:i/>
          <w:iCs/>
          <w:sz w:val="20"/>
          <w:szCs w:val="20"/>
        </w:rPr>
        <w:t xml:space="preserve">Oral: </w:t>
      </w:r>
      <w:r>
        <w:rPr>
          <w:sz w:val="20"/>
          <w:szCs w:val="20"/>
        </w:rPr>
        <w:t xml:space="preserve">O sigilo constitucional de dados protege comunicações realizadas por meio ilícito (celular não autorizado) dentro do sistema prisional?</w:t>
      </w:r>
    </w:p>
    <w:p>
      <w:pPr>
        <w:spacing w:after="60" w:before="160"/>
      </w:pPr>
      <w:r>
        <w:rPr>
          <w:b/>
          <w:bCs/>
          <w:color w:val="333333"/>
          <w:sz w:val="21"/>
          <w:szCs w:val="21"/>
        </w:rPr>
        <w:t xml:space="preserve">🔗 Conexões</w:t>
      </w:r>
    </w:p>
    <w:p>
      <w:pPr>
        <w:spacing w:after="100"/>
      </w:pPr>
      <w:r>
        <w:rPr>
          <w:sz w:val="20"/>
          <w:szCs w:val="20"/>
        </w:rPr>
        <w:t xml:space="preserve">Art. 5º, XII, CF; ficha 9.1 (Tema 977).</w:t>
      </w:r>
    </w:p>
    <w:p>
      <w:pPr>
        <w:pBdr>
          <w:bottom w:val="single" w:color="8B1A1A" w:sz="12" w:space="4"/>
        </w:pBdr>
        <w:spacing w:after="200" w:before="120"/>
      </w:pPr>
    </w:p>
    <w:p>
      <w:pPr>
        <w:shd w:fill="FBEAEA" w:color="auto" w:val="clear"/>
        <w:spacing w:after="40" w:before="240"/>
      </w:pPr>
      <w:bookmarkStart w:name="ficha_31" w:id="1"/>
      <w:r>
        <w:rPr>
          <w:b/>
          <w:bCs/>
          <w:color w:val="8B1A1A"/>
          <w:sz w:val="24"/>
          <w:szCs w:val="24"/>
        </w:rPr>
        <w:t xml:space="preserve">📌 9.3  Uso de software de ronda virtual (CRC) para identificar IPs não é infiltração de agentes e dispensa autorização judicial</w:t>
      </w:r>
      <w:bookmarkEnd w:id="1"/>
    </w:p>
    <w:p>
      <w:pPr>
        <w:spacing w:after="60"/>
      </w:pPr>
      <w:r>
        <w:rPr>
          <w:b/>
          <w:bCs/>
          <w:color w:val="8B1A1A"/>
          <w:sz w:val="20"/>
          <w:szCs w:val="20"/>
        </w:rPr>
        <w:t xml:space="preserve">Tribunal: </w:t>
      </w:r>
      <w:r>
        <w:rPr>
          <w:sz w:val="20"/>
          <w:szCs w:val="20"/>
        </w:rPr>
        <w:t xml:space="preserve">STJ   |   Órgão: 6ª Turma</w:t>
      </w:r>
    </w:p>
    <w:p>
      <w:pPr>
        <w:spacing w:after="60"/>
      </w:pPr>
      <w:r>
        <w:rPr>
          <w:b/>
          <w:bCs/>
          <w:color w:val="8B1A1A"/>
          <w:sz w:val="20"/>
          <w:szCs w:val="20"/>
        </w:rPr>
        <w:t xml:space="preserve">Processo/Relator/Data: </w:t>
      </w:r>
      <w:r>
        <w:rPr>
          <w:sz w:val="20"/>
          <w:szCs w:val="20"/>
        </w:rPr>
        <w:t xml:space="preserve">RHC 199.047-MS, Rel. Min. Rogerio Schietti Cruz, j. 14/10/2025 (Info 870)</w:t>
      </w:r>
    </w:p>
    <w:p>
      <w:pPr>
        <w:spacing w:after="60"/>
      </w:pPr>
      <w:r>
        <w:rPr>
          <w:b/>
          <w:bCs/>
          <w:color w:val="8B1A1A"/>
          <w:sz w:val="20"/>
          <w:szCs w:val="20"/>
        </w:rPr>
        <w:t xml:space="preserve">Sistemática: </w:t>
      </w:r>
      <w:r>
        <w:rPr>
          <w:sz w:val="20"/>
          <w:szCs w:val="20"/>
        </w:rPr>
        <w:t xml:space="preserve">Caso isolado</w:t>
      </w:r>
    </w:p>
    <w:p>
      <w:pPr>
        <w:spacing w:after="60" w:before="160"/>
      </w:pPr>
      <w:r>
        <w:rPr>
          <w:b/>
          <w:bCs/>
          <w:color w:val="333333"/>
          <w:sz w:val="21"/>
          <w:szCs w:val="21"/>
        </w:rPr>
        <w:t xml:space="preserve">📍 Tese fixada / Decisão</w:t>
      </w:r>
    </w:p>
    <w:p>
      <w:pPr>
        <w:spacing w:after="100"/>
      </w:pPr>
      <w:r>
        <w:rPr>
          <w:i/>
          <w:iCs/>
          <w:sz w:val="20"/>
          <w:szCs w:val="20"/>
        </w:rPr>
        <w:t xml:space="preserve">O uso de software de ronda virtual (ex.: Child Rescue Coalition) para localizar material de pornografia infantil em redes P2P não se confunde com a infiltração de agentes prevista no art. 190-A do ECA, sendo lícito e dispensando autorização judicial prévia, por envolver coleta de dados em ambiente virtualmente público.</w:t>
      </w:r>
    </w:p>
    <w:p>
      <w:pPr>
        <w:spacing w:after="60" w:before="160"/>
      </w:pPr>
      <w:r>
        <w:rPr>
          <w:b/>
          <w:bCs/>
          <w:color w:val="333333"/>
          <w:sz w:val="21"/>
          <w:szCs w:val="21"/>
        </w:rPr>
        <w:t xml:space="preserve">📚 Resumo do caso</w:t>
      </w:r>
    </w:p>
    <w:p>
      <w:pPr>
        <w:spacing w:after="100"/>
      </w:pPr>
      <w:r>
        <w:rPr>
          <w:sz w:val="20"/>
          <w:szCs w:val="20"/>
        </w:rPr>
        <w:t xml:space="preserve">Software policial identificou IP associado a compartilhamento de pornografia infantil em rede P2P; com os dados cadastrais obtidos junto à operadora, a polícia representou por busca e apreensão, deferida judicialmente, resultando em flagrante. O STJ considerou lícita a técnica, por não envolver ocultação de identidade nem direcionamento a suspeito determinado, ao contrário da infiltração de agentes.</w:t>
      </w:r>
    </w:p>
    <w:p>
      <w:pPr>
        <w:spacing w:after="60" w:before="160"/>
      </w:pPr>
      <w:r>
        <w:rPr>
          <w:b/>
          <w:bCs/>
          <w:color w:val="333333"/>
          <w:sz w:val="21"/>
          <w:szCs w:val="21"/>
        </w:rPr>
        <w:t xml:space="preserve">🎯 Como pode ser cobrado em prova</w:t>
      </w:r>
    </w:p>
    <w:p>
      <w:pPr>
        <w:spacing w:after="60"/>
        <w:ind w:left="260"/>
      </w:pPr>
      <w:r>
        <w:rPr>
          <w:b/>
          <w:bCs/>
          <w:i/>
          <w:iCs/>
          <w:sz w:val="20"/>
          <w:szCs w:val="20"/>
        </w:rPr>
        <w:t xml:space="preserve">Objetiva: </w:t>
      </w:r>
      <w:r>
        <w:rPr>
          <w:sz w:val="20"/>
          <w:szCs w:val="20"/>
        </w:rPr>
        <w:t xml:space="preserve">Alternativa que exija autorização judicial prévia para qualquer monitoramento de redes por software policial (incorreto, quando não há infiltração/ocultação de identidade).</w:t>
      </w:r>
    </w:p>
    <w:p>
      <w:pPr>
        <w:spacing w:after="60"/>
        <w:ind w:left="260"/>
      </w:pPr>
      <w:r>
        <w:rPr>
          <w:b/>
          <w:bCs/>
          <w:i/>
          <w:iCs/>
          <w:sz w:val="20"/>
          <w:szCs w:val="20"/>
        </w:rPr>
        <w:t xml:space="preserve">Discursiva: </w:t>
      </w:r>
      <w:r>
        <w:rPr>
          <w:sz w:val="20"/>
          <w:szCs w:val="20"/>
        </w:rPr>
        <w:t xml:space="preserve">Investigação de crimes de pornografia infantil iniciada por identificação de IP via software de ronda virtual — avaliar a licitude da técnica investigativa.</w:t>
      </w:r>
    </w:p>
    <w:p>
      <w:pPr>
        <w:spacing w:after="60"/>
        <w:ind w:left="260"/>
      </w:pPr>
      <w:r>
        <w:rPr>
          <w:b/>
          <w:bCs/>
          <w:i/>
          <w:iCs/>
          <w:sz w:val="20"/>
          <w:szCs w:val="20"/>
        </w:rPr>
        <w:t xml:space="preserve">Oral: </w:t>
      </w:r>
      <w:r>
        <w:rPr>
          <w:sz w:val="20"/>
          <w:szCs w:val="20"/>
        </w:rPr>
        <w:t xml:space="preserve">O uso de softwares de ronda virtual em redes de compartilhamento de arquivos equivale à infiltração de agentes? Exige autorização judicial prévia?</w:t>
      </w:r>
    </w:p>
    <w:p>
      <w:pPr>
        <w:spacing w:after="60" w:before="160"/>
      </w:pPr>
      <w:r>
        <w:rPr>
          <w:b/>
          <w:bCs/>
          <w:color w:val="333333"/>
          <w:sz w:val="21"/>
          <w:szCs w:val="21"/>
        </w:rPr>
        <w:t xml:space="preserve">🔗 Conexões</w:t>
      </w:r>
    </w:p>
    <w:p>
      <w:pPr>
        <w:spacing w:after="100"/>
      </w:pPr>
      <w:r>
        <w:rPr>
          <w:sz w:val="20"/>
          <w:szCs w:val="20"/>
        </w:rPr>
        <w:t xml:space="preserve">Art. 190-A, ECA (infiltração de agentes); Lei 13.441/2017.</w:t>
      </w:r>
    </w:p>
    <w:p>
      <w:pPr>
        <w:pBdr>
          <w:bottom w:val="single" w:color="8B1A1A" w:sz="12" w:space="4"/>
        </w:pBdr>
        <w:spacing w:after="200" w:before="120"/>
      </w:pPr>
    </w:p>
    <w:p>
      <w:pPr>
        <w:pStyle w:val="Heading1"/>
        <w:spacing w:after="160" w:before="320"/>
      </w:pPr>
      <w:bookmarkStart w:name="subtema_10" w:id="1"/>
      <w:r>
        <w:t xml:space="preserve">10. Cooperação Internacional, RIF/COAF e Sigilo Bancário-Fiscal</w:t>
      </w:r>
      <w:bookmarkEnd w:id="1"/>
    </w:p>
    <w:p>
      <w:pPr>
        <w:shd w:fill="FBEAEA" w:color="auto" w:val="clear"/>
        <w:spacing w:after="40" w:before="240"/>
      </w:pPr>
      <w:bookmarkStart w:name="ficha_32" w:id="1"/>
      <w:r>
        <w:rPr>
          <w:b/>
          <w:bCs/>
          <w:color w:val="8B1A1A"/>
          <w:sz w:val="24"/>
          <w:szCs w:val="24"/>
        </w:rPr>
        <w:t xml:space="preserve">📌 10.1  MP não pode requisitar RIF ao COAF diretamente, sem autorização judicial (Tema 990-STF)</w:t>
      </w:r>
      <w:bookmarkEnd w:id="1"/>
    </w:p>
    <w:p>
      <w:pPr>
        <w:spacing w:after="60"/>
      </w:pPr>
      <w:r>
        <w:rPr>
          <w:b/>
          <w:bCs/>
          <w:color w:val="8B1A1A"/>
          <w:sz w:val="20"/>
          <w:szCs w:val="20"/>
        </w:rPr>
        <w:t xml:space="preserve">Tribunal: </w:t>
      </w:r>
      <w:r>
        <w:rPr>
          <w:sz w:val="20"/>
          <w:szCs w:val="20"/>
        </w:rPr>
        <w:t xml:space="preserve">STJ   |   Órgão: 3ª Seção</w:t>
      </w:r>
    </w:p>
    <w:p>
      <w:pPr>
        <w:spacing w:after="60"/>
      </w:pPr>
      <w:r>
        <w:rPr>
          <w:b/>
          <w:bCs/>
          <w:color w:val="8B1A1A"/>
          <w:sz w:val="20"/>
          <w:szCs w:val="20"/>
        </w:rPr>
        <w:t xml:space="preserve">Processo/Relator/Data: </w:t>
      </w:r>
      <w:r>
        <w:rPr>
          <w:sz w:val="20"/>
          <w:szCs w:val="20"/>
        </w:rPr>
        <w:t xml:space="preserve">AgRg no RHC 174.173-RJ, Rel. Min. Messod Azulay Neto, j. 14/05/2025 (Info 850)</w:t>
      </w:r>
    </w:p>
    <w:p>
      <w:pPr>
        <w:spacing w:after="60"/>
      </w:pPr>
      <w:r>
        <w:rPr>
          <w:b/>
          <w:bCs/>
          <w:color w:val="8B1A1A"/>
          <w:sz w:val="20"/>
          <w:szCs w:val="20"/>
        </w:rPr>
        <w:t xml:space="preserve">Sistemática: </w:t>
      </w:r>
      <w:r>
        <w:rPr>
          <w:sz w:val="20"/>
          <w:szCs w:val="20"/>
        </w:rPr>
        <w:t xml:space="preserve">Caso isolado — mas com potencial de repercussão geral pendente no STF (Tema 1404)</w:t>
      </w:r>
    </w:p>
    <w:p>
      <w:pPr>
        <w:spacing w:after="60" w:before="160"/>
      </w:pPr>
      <w:r>
        <w:rPr>
          <w:b/>
          <w:bCs/>
          <w:color w:val="333333"/>
          <w:sz w:val="21"/>
          <w:szCs w:val="21"/>
        </w:rPr>
        <w:t xml:space="preserve">📍 Tese fixada / Decisão</w:t>
      </w:r>
    </w:p>
    <w:p>
      <w:pPr>
        <w:spacing w:after="100"/>
      </w:pPr>
      <w:r>
        <w:rPr>
          <w:i/>
          <w:iCs/>
          <w:sz w:val="20"/>
          <w:szCs w:val="20"/>
        </w:rPr>
        <w:t xml:space="preserve">A solicitação direta de relatórios de inteligência financeira (RIF) pelo MP ao COAF, sem autorização judicial, é inviável; o Tema 990 da repercussão geral (STF) não autoriza a requisição direta de dados financeiros pelos órgãos de persecução penal sem prévia autorização judicial.</w:t>
      </w:r>
    </w:p>
    <w:p>
      <w:pPr>
        <w:spacing w:after="60" w:before="160"/>
      </w:pPr>
      <w:r>
        <w:rPr>
          <w:b/>
          <w:bCs/>
          <w:color w:val="333333"/>
          <w:sz w:val="21"/>
          <w:szCs w:val="21"/>
        </w:rPr>
        <w:t xml:space="preserve">📚 Resumo do caso</w:t>
      </w:r>
    </w:p>
    <w:p>
      <w:pPr>
        <w:spacing w:after="100"/>
      </w:pPr>
      <w:r>
        <w:rPr>
          <w:sz w:val="20"/>
          <w:szCs w:val="20"/>
        </w:rPr>
        <w:t xml:space="preserve">Tema com correspondência direta a questão FGV (MPGO-2022) sobre técnicas especiais de investigação e quebra de sigilo. O STF, no Tema 990, autorizou o COAF a compartilhar espontaneamente dados atípicos com órgãos de persecução penal, sem autorização judicial — mas ficou controvertido se o caminho inverso (requisição direta pelo MP) também seria válido. A 1ª Turma do STF entendeu que sim; a 2ª Turma do STF e a 3ª Seção do STJ entenderam que não, exigindo autorização judicial prévia para a requisição direta. A controvérsia está pendente de definição pelo STF em repercussão geral (Tema 1404), cujo relator (Min. Alexandre de Moraes) já suspendeu, em 2025/2026, os efeitos de decisões que anulavam RIFs obtidos por requisição direta.</w:t>
      </w:r>
    </w:p>
    <w:p>
      <w:pPr>
        <w:spacing w:after="60" w:before="160"/>
      </w:pPr>
      <w:r>
        <w:rPr>
          <w:b/>
          <w:bCs/>
          <w:color w:val="333333"/>
          <w:sz w:val="21"/>
          <w:szCs w:val="21"/>
        </w:rPr>
        <w:t xml:space="preserve">🎯 Como pode ser cobrado em prova</w:t>
      </w:r>
    </w:p>
    <w:p>
      <w:pPr>
        <w:spacing w:after="60"/>
        <w:ind w:left="260"/>
      </w:pPr>
      <w:r>
        <w:rPr>
          <w:b/>
          <w:bCs/>
          <w:i/>
          <w:iCs/>
          <w:sz w:val="20"/>
          <w:szCs w:val="20"/>
        </w:rPr>
        <w:t xml:space="preserve">Objetiva: </w:t>
      </w:r>
      <w:r>
        <w:rPr>
          <w:sz w:val="20"/>
          <w:szCs w:val="20"/>
        </w:rPr>
        <w:t xml:space="preserve">Alternativa tratando o Tema 990 como autorizando, de forma irrestrita, tanto o compartilhamento espontâneo quanto a requisição direta pelo MP (posição da 1ª Turma do STF, minoritária e superada pela orientação do STJ) — atenção à divergência entre Turmas do STF e a posição do STJ, tema de alta probabilidade de cobrança justamente por estar em aberto no Tema 1404/RG.</w:t>
      </w:r>
    </w:p>
    <w:p>
      <w:pPr>
        <w:spacing w:after="60"/>
        <w:ind w:left="260"/>
      </w:pPr>
      <w:r>
        <w:rPr>
          <w:b/>
          <w:bCs/>
          <w:i/>
          <w:iCs/>
          <w:sz w:val="20"/>
          <w:szCs w:val="20"/>
        </w:rPr>
        <w:t xml:space="preserve">Discursiva: </w:t>
      </w:r>
      <w:r>
        <w:rPr>
          <w:sz w:val="20"/>
          <w:szCs w:val="20"/>
        </w:rPr>
        <w:t xml:space="preserve">Denúncia lastreada em RIF obtido por requisição direta do MP ao COAF, sem autorização judicial — avaliar a validade da prova à luz da divergência jurisprudencial e da suspensão determinada no Tema 1404.</w:t>
      </w:r>
    </w:p>
    <w:p>
      <w:pPr>
        <w:spacing w:after="60"/>
        <w:ind w:left="260"/>
      </w:pPr>
      <w:r>
        <w:rPr>
          <w:b/>
          <w:bCs/>
          <w:i/>
          <w:iCs/>
          <w:sz w:val="20"/>
          <w:szCs w:val="20"/>
        </w:rPr>
        <w:t xml:space="preserve">Oral: </w:t>
      </w:r>
      <w:r>
        <w:rPr>
          <w:sz w:val="20"/>
          <w:szCs w:val="20"/>
        </w:rPr>
        <w:t xml:space="preserve">O Ministério Público pode requisitar diretamente ao COAF relatórios de inteligência financeira, sem autorização judicial? Há uniformidade sobre o tema nos Tribunais Superiores?</w:t>
      </w:r>
    </w:p>
    <w:p>
      <w:pPr>
        <w:spacing w:after="60" w:before="160"/>
      </w:pPr>
      <w:r>
        <w:rPr>
          <w:b/>
          <w:bCs/>
          <w:color w:val="333333"/>
          <w:sz w:val="21"/>
          <w:szCs w:val="21"/>
        </w:rPr>
        <w:t xml:space="preserve">🔗 Conexões</w:t>
      </w:r>
    </w:p>
    <w:p>
      <w:pPr>
        <w:spacing w:after="100"/>
      </w:pPr>
      <w:r>
        <w:rPr>
          <w:sz w:val="20"/>
          <w:szCs w:val="20"/>
        </w:rPr>
        <w:t xml:space="preserve">STF, Tema 990/RG; STF, Tema 1404/RG (pendente); TEC-MPGO-2022 (questão direta sobre técnicas especiais de investigação e RIF).</w:t>
      </w:r>
    </w:p>
    <w:p>
      <w:pPr>
        <w:pBdr>
          <w:bottom w:val="single" w:color="8B1A1A" w:sz="12" w:space="4"/>
        </w:pBdr>
        <w:spacing w:after="200" w:before="120"/>
      </w:pPr>
    </w:p>
    <w:p>
      <w:pPr>
        <w:shd w:fill="FBEAEA" w:color="auto" w:val="clear"/>
        <w:spacing w:after="40" w:before="240"/>
      </w:pPr>
      <w:bookmarkStart w:name="ficha_33" w:id="1"/>
      <w:r>
        <w:rPr>
          <w:b/>
          <w:bCs/>
          <w:color w:val="8B1A1A"/>
          <w:sz w:val="24"/>
          <w:szCs w:val="24"/>
        </w:rPr>
        <w:t xml:space="preserve">📌 10.2  Cooperação internacional penal: princípio da lex diligentiae</w:t>
      </w:r>
      <w:bookmarkEnd w:id="1"/>
    </w:p>
    <w:p>
      <w:pPr>
        <w:spacing w:after="60"/>
      </w:pPr>
      <w:r>
        <w:rPr>
          <w:b/>
          <w:bCs/>
          <w:color w:val="8B1A1A"/>
          <w:sz w:val="20"/>
          <w:szCs w:val="20"/>
        </w:rPr>
        <w:t xml:space="preserve">Tribunal: </w:t>
      </w:r>
      <w:r>
        <w:rPr>
          <w:sz w:val="20"/>
          <w:szCs w:val="20"/>
        </w:rPr>
        <w:t xml:space="preserve">STJ   |   Órgão: 6ª Turma</w:t>
      </w:r>
    </w:p>
    <w:p>
      <w:pPr>
        <w:spacing w:after="60"/>
      </w:pPr>
      <w:r>
        <w:rPr>
          <w:b/>
          <w:bCs/>
          <w:color w:val="8B1A1A"/>
          <w:sz w:val="20"/>
          <w:szCs w:val="20"/>
        </w:rPr>
        <w:t xml:space="preserve">Processo/Relator/Data: </w:t>
      </w:r>
      <w:r>
        <w:rPr>
          <w:sz w:val="20"/>
          <w:szCs w:val="20"/>
        </w:rPr>
        <w:t xml:space="preserve">RHC 210.067-RS, Rel. Min. Rogerio Schietti Cruz, j. 06/05/2025 (Info 854)</w:t>
      </w:r>
    </w:p>
    <w:p>
      <w:pPr>
        <w:spacing w:after="60"/>
      </w:pPr>
      <w:r>
        <w:rPr>
          <w:b/>
          <w:bCs/>
          <w:color w:val="8B1A1A"/>
          <w:sz w:val="20"/>
          <w:szCs w:val="20"/>
        </w:rPr>
        <w:t xml:space="preserve">Sistemática: </w:t>
      </w:r>
      <w:r>
        <w:rPr>
          <w:sz w:val="20"/>
          <w:szCs w:val="20"/>
        </w:rPr>
        <w:t xml:space="preserve">Caso isolado</w:t>
      </w:r>
    </w:p>
    <w:p>
      <w:pPr>
        <w:spacing w:after="60" w:before="160"/>
      </w:pPr>
      <w:r>
        <w:rPr>
          <w:b/>
          <w:bCs/>
          <w:color w:val="333333"/>
          <w:sz w:val="21"/>
          <w:szCs w:val="21"/>
        </w:rPr>
        <w:t xml:space="preserve">📍 Tese fixada / Decisão</w:t>
      </w:r>
    </w:p>
    <w:p>
      <w:pPr>
        <w:spacing w:after="100"/>
      </w:pPr>
      <w:r>
        <w:rPr>
          <w:i/>
          <w:iCs/>
          <w:sz w:val="20"/>
          <w:szCs w:val="20"/>
        </w:rPr>
        <w:t xml:space="preserve">Em cooperação internacional penal, vigora o princípio da lex diligentiae (art. 13, LINDB): a prova produzida no exterior rege-se pela lei do país onde foi colhida quanto ao ônus e aos meios de produção, não competindo à Justiça brasileira examinar a legalidade interna dos atos praticados no país estrangeiro, salvo se a obtenção violar a ordem pública ou a soberania nacional.</w:t>
      </w:r>
    </w:p>
    <w:p>
      <w:pPr>
        <w:spacing w:after="60" w:before="160"/>
      </w:pPr>
      <w:r>
        <w:rPr>
          <w:b/>
          <w:bCs/>
          <w:color w:val="333333"/>
          <w:sz w:val="21"/>
          <w:szCs w:val="21"/>
        </w:rPr>
        <w:t xml:space="preserve">📚 Resumo do caso</w:t>
      </w:r>
    </w:p>
    <w:p>
      <w:pPr>
        <w:spacing w:after="100"/>
      </w:pPr>
      <w:r>
        <w:rPr>
          <w:sz w:val="20"/>
          <w:szCs w:val="20"/>
        </w:rPr>
        <w:t xml:space="preserve">Dados de aplicativo de mensagens criptografado (SKY ECC), obtidos por cooperação internacional com a França, foram impugnados pela defesa por ausência de decisão judicial francesa específica e por suposta violação da soberania nacional. O STJ validou a prova, aplicando o princípio da lex diligentiae: cabe à lei do país de origem da prova reger sua validade formal, e não à autoridade brasileira reexaminar a legalidade de atos internos praticados no exterior.</w:t>
      </w:r>
    </w:p>
    <w:p>
      <w:pPr>
        <w:spacing w:after="60" w:before="160"/>
      </w:pPr>
      <w:r>
        <w:rPr>
          <w:b/>
          <w:bCs/>
          <w:color w:val="333333"/>
          <w:sz w:val="21"/>
          <w:szCs w:val="21"/>
        </w:rPr>
        <w:t xml:space="preserve">🎯 Como pode ser cobrado em prova</w:t>
      </w:r>
    </w:p>
    <w:p>
      <w:pPr>
        <w:spacing w:after="60"/>
        <w:ind w:left="260"/>
      </w:pPr>
      <w:r>
        <w:rPr>
          <w:b/>
          <w:bCs/>
          <w:i/>
          <w:iCs/>
          <w:sz w:val="20"/>
          <w:szCs w:val="20"/>
        </w:rPr>
        <w:t xml:space="preserve">Objetiva: </w:t>
      </w:r>
      <w:r>
        <w:rPr>
          <w:sz w:val="20"/>
          <w:szCs w:val="20"/>
        </w:rPr>
        <w:t xml:space="preserve">Alternativa que exija que toda prova produzida no exterior siga estritamente as formalidades do direito brasileiro (incorreto — vale a lei do local de produção, ressalvada violação a ordem pública/soberania).</w:t>
      </w:r>
    </w:p>
    <w:p>
      <w:pPr>
        <w:spacing w:after="60"/>
        <w:ind w:left="260"/>
      </w:pPr>
      <w:r>
        <w:rPr>
          <w:b/>
          <w:bCs/>
          <w:i/>
          <w:iCs/>
          <w:sz w:val="20"/>
          <w:szCs w:val="20"/>
        </w:rPr>
        <w:t xml:space="preserve">Discursiva: </w:t>
      </w:r>
      <w:r>
        <w:rPr>
          <w:sz w:val="20"/>
          <w:szCs w:val="20"/>
        </w:rPr>
        <w:t xml:space="preserve">Prova obtida por cooperação internacional impugnada por suposta ilegalidade sob a ótica da lei brasileira — avaliar sob a ótica do princípio da lex diligentiae.</w:t>
      </w:r>
    </w:p>
    <w:p>
      <w:pPr>
        <w:spacing w:after="60"/>
        <w:ind w:left="260"/>
      </w:pPr>
      <w:r>
        <w:rPr>
          <w:b/>
          <w:bCs/>
          <w:i/>
          <w:iCs/>
          <w:sz w:val="20"/>
          <w:szCs w:val="20"/>
        </w:rPr>
        <w:t xml:space="preserve">Oral: </w:t>
      </w:r>
      <w:r>
        <w:rPr>
          <w:sz w:val="20"/>
          <w:szCs w:val="20"/>
        </w:rPr>
        <w:t xml:space="preserve">Que lei rege a validade de uma prova produzida no exterior por meio de cooperação jurídica internacional?</w:t>
      </w:r>
    </w:p>
    <w:p>
      <w:pPr>
        <w:spacing w:after="60" w:before="160"/>
      </w:pPr>
      <w:r>
        <w:rPr>
          <w:b/>
          <w:bCs/>
          <w:color w:val="333333"/>
          <w:sz w:val="21"/>
          <w:szCs w:val="21"/>
        </w:rPr>
        <w:t xml:space="preserve">🔗 Conexões</w:t>
      </w:r>
    </w:p>
    <w:p>
      <w:pPr>
        <w:spacing w:after="100"/>
      </w:pPr>
      <w:r>
        <w:rPr>
          <w:sz w:val="20"/>
          <w:szCs w:val="20"/>
        </w:rPr>
        <w:t xml:space="preserve">Art. 13, LINDB; ficha 2.5 (cooperação e conexão de processos).</w:t>
      </w:r>
    </w:p>
    <w:p>
      <w:pPr>
        <w:pBdr>
          <w:bottom w:val="single" w:color="8B1A1A" w:sz="12" w:space="4"/>
        </w:pBdr>
        <w:spacing w:after="200" w:before="120"/>
      </w:pPr>
    </w:p>
    <w:p>
      <w:pPr>
        <w:shd w:fill="FBEAEA" w:color="auto" w:val="clear"/>
        <w:spacing w:after="40" w:before="240"/>
      </w:pPr>
      <w:bookmarkStart w:name="ficha_34" w:id="1"/>
      <w:r>
        <w:rPr>
          <w:b/>
          <w:bCs/>
          <w:color w:val="8B1A1A"/>
          <w:sz w:val="24"/>
          <w:szCs w:val="24"/>
        </w:rPr>
        <w:t xml:space="preserve">📌 10.3  Empresas multinacionais que atuam no Brasil submetem-se à lei brasileira, sem necessidade de cooperação internacional</w:t>
      </w:r>
      <w:bookmarkEnd w:id="1"/>
    </w:p>
    <w:p>
      <w:pPr>
        <w:spacing w:after="60"/>
      </w:pPr>
      <w:r>
        <w:rPr>
          <w:b/>
          <w:bCs/>
          <w:color w:val="8B1A1A"/>
          <w:sz w:val="20"/>
          <w:szCs w:val="20"/>
        </w:rPr>
        <w:t xml:space="preserve">Tribunal: </w:t>
      </w:r>
      <w:r>
        <w:rPr>
          <w:sz w:val="20"/>
          <w:szCs w:val="20"/>
        </w:rPr>
        <w:t xml:space="preserve">STJ   |   Órgão: 6ª Turma</w:t>
      </w:r>
    </w:p>
    <w:p>
      <w:pPr>
        <w:spacing w:after="60"/>
      </w:pPr>
      <w:r>
        <w:rPr>
          <w:b/>
          <w:bCs/>
          <w:color w:val="8B1A1A"/>
          <w:sz w:val="20"/>
          <w:szCs w:val="20"/>
        </w:rPr>
        <w:t xml:space="preserve">Processo/Relator/Data: </w:t>
      </w:r>
      <w:r>
        <w:rPr>
          <w:sz w:val="20"/>
          <w:szCs w:val="20"/>
        </w:rPr>
        <w:t xml:space="preserve">AgRg no RMS 74.604-TO, Rel. Min. Otávio de Almeida Toledo (Des. conv. TJSP), j. 02/09/2025 (Info 861)</w:t>
      </w:r>
    </w:p>
    <w:p>
      <w:pPr>
        <w:spacing w:after="60"/>
      </w:pPr>
      <w:r>
        <w:rPr>
          <w:b/>
          <w:bCs/>
          <w:color w:val="8B1A1A"/>
          <w:sz w:val="20"/>
          <w:szCs w:val="20"/>
        </w:rPr>
        <w:t xml:space="preserve">Sistemática: </w:t>
      </w:r>
      <w:r>
        <w:rPr>
          <w:sz w:val="20"/>
          <w:szCs w:val="20"/>
        </w:rPr>
        <w:t xml:space="preserve">Caso isolado</w:t>
      </w:r>
    </w:p>
    <w:p>
      <w:pPr>
        <w:spacing w:after="60" w:before="160"/>
      </w:pPr>
      <w:r>
        <w:rPr>
          <w:b/>
          <w:bCs/>
          <w:color w:val="333333"/>
          <w:sz w:val="21"/>
          <w:szCs w:val="21"/>
        </w:rPr>
        <w:t xml:space="preserve">📍 Tese fixada / Decisão</w:t>
      </w:r>
    </w:p>
    <w:p>
      <w:pPr>
        <w:spacing w:after="100"/>
      </w:pPr>
      <w:r>
        <w:rPr>
          <w:i/>
          <w:iCs/>
          <w:sz w:val="20"/>
          <w:szCs w:val="20"/>
        </w:rPr>
        <w:t xml:space="preserve">A jurisdição brasileira se aplica a empresas multinacionais que atuam no país, não havendo necessidade de cooperação jurídica internacional para o fornecimento de dados telemáticos requisitados judicialmente, sendo válida a imposição de multa diária por descumprimento, observados proporcionalidade e razoabilidade.</w:t>
      </w:r>
    </w:p>
    <w:p>
      <w:pPr>
        <w:spacing w:after="60" w:before="160"/>
      </w:pPr>
      <w:r>
        <w:rPr>
          <w:b/>
          <w:bCs/>
          <w:color w:val="333333"/>
          <w:sz w:val="21"/>
          <w:szCs w:val="21"/>
        </w:rPr>
        <w:t xml:space="preserve">📚 Resumo do caso</w:t>
      </w:r>
    </w:p>
    <w:p>
      <w:pPr>
        <w:spacing w:after="100"/>
      </w:pPr>
      <w:r>
        <w:rPr>
          <w:sz w:val="20"/>
          <w:szCs w:val="20"/>
        </w:rPr>
        <w:t xml:space="preserve">Em investigação sobre aliciamento de criança pela internet, empresas de tecnologia resistiram a fornecer dados de usuário sob o argumento de que a conta apresentava atividade na Índia, exigindo cooperação internacional. O STJ rejeitou o argumento, por entender que a atuação da empresa no Brasil já basta para submetê-la à jurisdição brasileira.</w:t>
      </w:r>
    </w:p>
    <w:p>
      <w:pPr>
        <w:spacing w:after="60" w:before="160"/>
      </w:pPr>
      <w:r>
        <w:rPr>
          <w:b/>
          <w:bCs/>
          <w:color w:val="333333"/>
          <w:sz w:val="21"/>
          <w:szCs w:val="21"/>
        </w:rPr>
        <w:t xml:space="preserve">🎯 Como pode ser cobrado em prova</w:t>
      </w:r>
    </w:p>
    <w:p>
      <w:pPr>
        <w:spacing w:after="60"/>
        <w:ind w:left="260"/>
      </w:pPr>
      <w:r>
        <w:rPr>
          <w:b/>
          <w:bCs/>
          <w:i/>
          <w:iCs/>
          <w:sz w:val="20"/>
          <w:szCs w:val="20"/>
        </w:rPr>
        <w:t xml:space="preserve">Objetiva: </w:t>
      </w:r>
      <w:r>
        <w:rPr>
          <w:sz w:val="20"/>
          <w:szCs w:val="20"/>
        </w:rPr>
        <w:t xml:space="preserve">Alternativa que condicione a ordem judicial brasileira à prévia cooperação internacional sempre que houver qualquer elemento de estraneidade (incorreto, quando a empresa atua no Brasil).</w:t>
      </w:r>
    </w:p>
    <w:p>
      <w:pPr>
        <w:spacing w:after="60"/>
        <w:ind w:left="260"/>
      </w:pPr>
      <w:r>
        <w:rPr>
          <w:b/>
          <w:bCs/>
          <w:i/>
          <w:iCs/>
          <w:sz w:val="20"/>
          <w:szCs w:val="20"/>
        </w:rPr>
        <w:t xml:space="preserve">Discursiva: </w:t>
      </w:r>
      <w:r>
        <w:rPr>
          <w:sz w:val="20"/>
          <w:szCs w:val="20"/>
        </w:rPr>
        <w:t xml:space="preserve">Empresa de tecnologia estrangeira que atua no Brasil resiste a ordem judicial de fornecimento de dados sob alegação de necessidade de cooperação internacional — avaliar a legalidade da exigência e da multa cominatória.</w:t>
      </w:r>
    </w:p>
    <w:p>
      <w:pPr>
        <w:spacing w:after="60"/>
        <w:ind w:left="260"/>
      </w:pPr>
      <w:r>
        <w:rPr>
          <w:b/>
          <w:bCs/>
          <w:i/>
          <w:iCs/>
          <w:sz w:val="20"/>
          <w:szCs w:val="20"/>
        </w:rPr>
        <w:t xml:space="preserve">Oral: </w:t>
      </w:r>
      <w:r>
        <w:rPr>
          <w:sz w:val="20"/>
          <w:szCs w:val="20"/>
        </w:rPr>
        <w:t xml:space="preserve">Uma big tech estrangeira que opera no Brasil pode se recusar a cumprir ordem judicial brasileira sob o argumento de que os dados estão em outro país?</w:t>
      </w:r>
    </w:p>
    <w:p>
      <w:pPr>
        <w:spacing w:after="60" w:before="160"/>
      </w:pPr>
      <w:r>
        <w:rPr>
          <w:b/>
          <w:bCs/>
          <w:color w:val="333333"/>
          <w:sz w:val="21"/>
          <w:szCs w:val="21"/>
        </w:rPr>
        <w:t xml:space="preserve">🔗 Conexões</w:t>
      </w:r>
    </w:p>
    <w:p>
      <w:pPr>
        <w:spacing w:after="100"/>
      </w:pPr>
      <w:r>
        <w:rPr>
          <w:sz w:val="20"/>
          <w:szCs w:val="20"/>
        </w:rPr>
        <w:t xml:space="preserve">Marco Civil da Internet (Lei 12.965/2014); ficha 9.1 (dados telemáticos).</w:t>
      </w:r>
    </w:p>
    <w:p>
      <w:pPr>
        <w:pBdr>
          <w:bottom w:val="single" w:color="8B1A1A" w:sz="12" w:space="4"/>
        </w:pBdr>
        <w:spacing w:after="200" w:before="120"/>
      </w:pPr>
    </w:p>
    <w:p>
      <w:pPr>
        <w:pStyle w:val="Heading1"/>
        <w:spacing w:after="160" w:before="320"/>
      </w:pPr>
      <w:bookmarkStart w:name="subtema_11" w:id="1"/>
      <w:r>
        <w:t xml:space="preserve">11. Colaboração Premiada e Provas Atípicas</w:t>
      </w:r>
      <w:bookmarkEnd w:id="1"/>
    </w:p>
    <w:p>
      <w:pPr>
        <w:shd w:fill="FBEAEA" w:color="auto" w:val="clear"/>
        <w:spacing w:after="40" w:before="240"/>
      </w:pPr>
      <w:bookmarkStart w:name="ficha_35" w:id="1"/>
      <w:r>
        <w:rPr>
          <w:b/>
          <w:bCs/>
          <w:color w:val="8B1A1A"/>
          <w:sz w:val="24"/>
          <w:szCs w:val="24"/>
        </w:rPr>
        <w:t xml:space="preserve">📌 11.1  Colaboração premiada não fundamenta, isoladamente, condenação</w:t>
      </w:r>
      <w:bookmarkEnd w:id="1"/>
    </w:p>
    <w:p>
      <w:pPr>
        <w:spacing w:after="60"/>
      </w:pPr>
      <w:r>
        <w:rPr>
          <w:b/>
          <w:bCs/>
          <w:color w:val="8B1A1A"/>
          <w:sz w:val="20"/>
          <w:szCs w:val="20"/>
        </w:rPr>
        <w:t xml:space="preserve">Tribunal: </w:t>
      </w:r>
      <w:r>
        <w:rPr>
          <w:sz w:val="20"/>
          <w:szCs w:val="20"/>
        </w:rPr>
        <w:t xml:space="preserve">STJ   |   Órgão: Corte Especial</w:t>
      </w:r>
    </w:p>
    <w:p>
      <w:pPr>
        <w:spacing w:after="60"/>
      </w:pPr>
      <w:r>
        <w:rPr>
          <w:b/>
          <w:bCs/>
          <w:color w:val="8B1A1A"/>
          <w:sz w:val="20"/>
          <w:szCs w:val="20"/>
        </w:rPr>
        <w:t xml:space="preserve">Processo/Relator/Data: </w:t>
      </w:r>
      <w:r>
        <w:rPr>
          <w:sz w:val="20"/>
          <w:szCs w:val="20"/>
        </w:rPr>
        <w:t xml:space="preserve">AP 1.074-DF, Rel. Min. Nancy Andrighi, j. 15/10/2025 (Info 869)</w:t>
      </w:r>
    </w:p>
    <w:p>
      <w:pPr>
        <w:spacing w:after="60"/>
      </w:pPr>
      <w:r>
        <w:rPr>
          <w:b/>
          <w:bCs/>
          <w:color w:val="8B1A1A"/>
          <w:sz w:val="20"/>
          <w:szCs w:val="20"/>
        </w:rPr>
        <w:t xml:space="preserve">Sistemática: </w:t>
      </w:r>
      <w:r>
        <w:rPr>
          <w:sz w:val="20"/>
          <w:szCs w:val="20"/>
        </w:rPr>
        <w:t xml:space="preserve">Caso isolado</w:t>
      </w:r>
    </w:p>
    <w:p>
      <w:pPr>
        <w:spacing w:after="60" w:before="160"/>
      </w:pPr>
      <w:r>
        <w:rPr>
          <w:b/>
          <w:bCs/>
          <w:color w:val="333333"/>
          <w:sz w:val="21"/>
          <w:szCs w:val="21"/>
        </w:rPr>
        <w:t xml:space="preserve">📍 Tese fixada / Decisão</w:t>
      </w:r>
    </w:p>
    <w:p>
      <w:pPr>
        <w:spacing w:after="100"/>
      </w:pPr>
      <w:r>
        <w:rPr>
          <w:i/>
          <w:iCs/>
          <w:sz w:val="20"/>
          <w:szCs w:val="20"/>
        </w:rPr>
        <w:t xml:space="preserve">A condenação criminal exige conjunto harmônico de provas judicializadas que demonstrem, de forma segura, autoria e materialidade; a colaboração premiada, embora relevante para investigação e denúncia, não pode fundamentar isoladamente sentença condenatória (art. 4º, §16, III, Lei 12.850/2013).</w:t>
      </w:r>
    </w:p>
    <w:p>
      <w:pPr>
        <w:spacing w:after="60" w:before="160"/>
      </w:pPr>
      <w:r>
        <w:rPr>
          <w:b/>
          <w:bCs/>
          <w:color w:val="333333"/>
          <w:sz w:val="21"/>
          <w:szCs w:val="21"/>
        </w:rPr>
        <w:t xml:space="preserve">📚 Resumo do caso</w:t>
      </w:r>
    </w:p>
    <w:p>
      <w:pPr>
        <w:spacing w:after="100"/>
      </w:pPr>
      <w:r>
        <w:rPr>
          <w:sz w:val="20"/>
          <w:szCs w:val="20"/>
        </w:rPr>
        <w:t xml:space="preserve">Reafirmação expressa, pela Corte Especial, da vedação legal a que a colaboração premiada seja o único fundamento de uma condenação — exigindo-se sempre provas externas e autônomas que a corroborem.</w:t>
      </w:r>
    </w:p>
    <w:p>
      <w:pPr>
        <w:spacing w:after="60" w:before="160"/>
      </w:pPr>
      <w:r>
        <w:rPr>
          <w:b/>
          <w:bCs/>
          <w:color w:val="333333"/>
          <w:sz w:val="21"/>
          <w:szCs w:val="21"/>
        </w:rPr>
        <w:t xml:space="preserve">🎯 Como pode ser cobrado em prova</w:t>
      </w:r>
    </w:p>
    <w:p>
      <w:pPr>
        <w:spacing w:after="60"/>
        <w:ind w:left="260"/>
      </w:pPr>
      <w:r>
        <w:rPr>
          <w:b/>
          <w:bCs/>
          <w:i/>
          <w:iCs/>
          <w:sz w:val="20"/>
          <w:szCs w:val="20"/>
        </w:rPr>
        <w:t xml:space="preserve">Objetiva: </w:t>
      </w:r>
      <w:r>
        <w:rPr>
          <w:sz w:val="20"/>
          <w:szCs w:val="20"/>
        </w:rPr>
        <w:t xml:space="preserve">Alternativa que trate a colaboração premiada, por si só e sem corroboração externa, como suficiente para condenar (incorreto, por expressa vedação legal).</w:t>
      </w:r>
    </w:p>
    <w:p>
      <w:pPr>
        <w:spacing w:after="60"/>
        <w:ind w:left="260"/>
      </w:pPr>
      <w:r>
        <w:rPr>
          <w:b/>
          <w:bCs/>
          <w:i/>
          <w:iCs/>
          <w:sz w:val="20"/>
          <w:szCs w:val="20"/>
        </w:rPr>
        <w:t xml:space="preserve">Discursiva: </w:t>
      </w:r>
      <w:r>
        <w:rPr>
          <w:sz w:val="20"/>
          <w:szCs w:val="20"/>
        </w:rPr>
        <w:t xml:space="preserve">Sentença condenatória lastreada preponderantemente em delação, com poucos elementos de corroboração externa — avaliar a suficiência probatória.</w:t>
      </w:r>
    </w:p>
    <w:p>
      <w:pPr>
        <w:spacing w:after="60"/>
        <w:ind w:left="260"/>
      </w:pPr>
      <w:r>
        <w:rPr>
          <w:b/>
          <w:bCs/>
          <w:i/>
          <w:iCs/>
          <w:sz w:val="20"/>
          <w:szCs w:val="20"/>
        </w:rPr>
        <w:t xml:space="preserve">Oral: </w:t>
      </w:r>
      <w:r>
        <w:rPr>
          <w:sz w:val="20"/>
          <w:szCs w:val="20"/>
        </w:rPr>
        <w:t xml:space="preserve">A colaboração premiada pode, isoladamente, fundamentar uma condenação? Qual o dispositivo legal que rege a matéria?</w:t>
      </w:r>
    </w:p>
    <w:p>
      <w:pPr>
        <w:spacing w:after="60" w:before="160"/>
      </w:pPr>
      <w:r>
        <w:rPr>
          <w:b/>
          <w:bCs/>
          <w:color w:val="333333"/>
          <w:sz w:val="21"/>
          <w:szCs w:val="21"/>
        </w:rPr>
        <w:t xml:space="preserve">🔗 Conexões</w:t>
      </w:r>
    </w:p>
    <w:p>
      <w:pPr>
        <w:spacing w:after="100"/>
      </w:pPr>
      <w:r>
        <w:rPr>
          <w:sz w:val="20"/>
          <w:szCs w:val="20"/>
        </w:rPr>
        <w:t xml:space="preserve">Art. 4º, §16, III, Lei 12.850/2013; STF, AP 465/DF (Info 743) — precedente histórico sobre insuficiência de delação e depoimento de informante para condenar.</w:t>
      </w:r>
    </w:p>
    <w:p>
      <w:pPr>
        <w:pBdr>
          <w:bottom w:val="single" w:color="8B1A1A" w:sz="12" w:space="4"/>
        </w:pBdr>
        <w:spacing w:after="200" w:before="120"/>
      </w:pPr>
    </w:p>
    <w:p>
      <w:pPr>
        <w:shd w:fill="FBEAEA" w:color="auto" w:val="clear"/>
        <w:spacing w:after="40" w:before="240"/>
      </w:pPr>
      <w:bookmarkStart w:name="ficha_36" w:id="1"/>
      <w:r>
        <w:rPr>
          <w:b/>
          <w:bCs/>
          <w:color w:val="8B1A1A"/>
          <w:sz w:val="24"/>
          <w:szCs w:val="24"/>
        </w:rPr>
        <w:t xml:space="preserve">📌 11.2  Colaboração premiada de advogado é válida quando versa sobre crimes em que ele próprio participou como agente</w:t>
      </w:r>
      <w:bookmarkEnd w:id="1"/>
    </w:p>
    <w:p>
      <w:pPr>
        <w:spacing w:after="60"/>
      </w:pPr>
      <w:r>
        <w:rPr>
          <w:b/>
          <w:bCs/>
          <w:color w:val="8B1A1A"/>
          <w:sz w:val="20"/>
          <w:szCs w:val="20"/>
        </w:rPr>
        <w:t xml:space="preserve">Tribunal: </w:t>
      </w:r>
      <w:r>
        <w:rPr>
          <w:sz w:val="20"/>
          <w:szCs w:val="20"/>
        </w:rPr>
        <w:t xml:space="preserve">STJ   |   Órgão: 6ª Turma</w:t>
      </w:r>
    </w:p>
    <w:p>
      <w:pPr>
        <w:spacing w:after="60"/>
      </w:pPr>
      <w:r>
        <w:rPr>
          <w:b/>
          <w:bCs/>
          <w:color w:val="8B1A1A"/>
          <w:sz w:val="20"/>
          <w:szCs w:val="20"/>
        </w:rPr>
        <w:t xml:space="preserve">Processo/Relator/Data: </w:t>
      </w:r>
      <w:r>
        <w:rPr>
          <w:sz w:val="20"/>
          <w:szCs w:val="20"/>
        </w:rPr>
        <w:t xml:space="preserve">AgRg no RMS 73.012-SP, Rel. Min. Antonio Saldanha Palheiro, j. 17/03/2026 (Info 882)</w:t>
      </w:r>
    </w:p>
    <w:p>
      <w:pPr>
        <w:spacing w:after="60"/>
      </w:pPr>
      <w:r>
        <w:rPr>
          <w:b/>
          <w:bCs/>
          <w:color w:val="8B1A1A"/>
          <w:sz w:val="20"/>
          <w:szCs w:val="20"/>
        </w:rPr>
        <w:t xml:space="preserve">Sistemática: </w:t>
      </w:r>
      <w:r>
        <w:rPr>
          <w:sz w:val="20"/>
          <w:szCs w:val="20"/>
        </w:rPr>
        <w:t xml:space="preserve">Caso isolado</w:t>
      </w:r>
    </w:p>
    <w:p>
      <w:pPr>
        <w:spacing w:after="60" w:before="160"/>
      </w:pPr>
      <w:r>
        <w:rPr>
          <w:b/>
          <w:bCs/>
          <w:color w:val="333333"/>
          <w:sz w:val="21"/>
          <w:szCs w:val="21"/>
        </w:rPr>
        <w:t xml:space="preserve">📍 Tese fixada / Decisão</w:t>
      </w:r>
    </w:p>
    <w:p>
      <w:pPr>
        <w:spacing w:after="100"/>
      </w:pPr>
      <w:r>
        <w:rPr>
          <w:i/>
          <w:iCs/>
          <w:sz w:val="20"/>
          <w:szCs w:val="20"/>
        </w:rPr>
        <w:t xml:space="preserve">(1) A OAB não tem legitimidade para impetrar mandado de segurança em defesa individual de advogado investigado, salvo interesse geral da categoria; (2) a inviolabilidade do escritório de advocacia não é absoluta; (3) a colaboração premiada firmada por advogado investigado é válida quando versa sobre fatos criminosos em que ele esteve envolvido como agente, e não sobre informações obtidas no exercício da advocacia.</w:t>
      </w:r>
    </w:p>
    <w:p>
      <w:pPr>
        <w:spacing w:after="60" w:before="160"/>
      </w:pPr>
      <w:r>
        <w:rPr>
          <w:b/>
          <w:bCs/>
          <w:color w:val="333333"/>
          <w:sz w:val="21"/>
          <w:szCs w:val="21"/>
        </w:rPr>
        <w:t xml:space="preserve">📚 Resumo do caso</w:t>
      </w:r>
    </w:p>
    <w:p>
      <w:pPr>
        <w:spacing w:after="100"/>
      </w:pPr>
      <w:r>
        <w:rPr>
          <w:sz w:val="20"/>
          <w:szCs w:val="20"/>
        </w:rPr>
        <w:t xml:space="preserve">Advogado colaborador relatou o envolvimento de outro advogado (seu contratante) em esquema de corrupção e lavagem, usando o escritório como fachada — fatos dos quais o próprio colaborador participara, e não informações sigilosas obtidas no exercício da profissão. O STJ validou a colaboração e a busca e apreensão no escritório, afastando a legitimidade da OAB para impetrar mandado de segurança em defesa individual do advogado investigado.</w:t>
      </w:r>
    </w:p>
    <w:p>
      <w:pPr>
        <w:spacing w:after="60" w:before="160"/>
      </w:pPr>
      <w:r>
        <w:rPr>
          <w:b/>
          <w:bCs/>
          <w:color w:val="333333"/>
          <w:sz w:val="21"/>
          <w:szCs w:val="21"/>
        </w:rPr>
        <w:t xml:space="preserve">🎯 Como pode ser cobrado em prova</w:t>
      </w:r>
    </w:p>
    <w:p>
      <w:pPr>
        <w:spacing w:after="60"/>
        <w:ind w:left="260"/>
      </w:pPr>
      <w:r>
        <w:rPr>
          <w:b/>
          <w:bCs/>
          <w:i/>
          <w:iCs/>
          <w:sz w:val="20"/>
          <w:szCs w:val="20"/>
        </w:rPr>
        <w:t xml:space="preserve">Objetiva: </w:t>
      </w:r>
      <w:r>
        <w:rPr>
          <w:sz w:val="20"/>
          <w:szCs w:val="20"/>
        </w:rPr>
        <w:t xml:space="preserve">Alternativa que trate a inviolabilidade do escritório de advocacia como absoluta, impedindo qualquer busca (incorreto); ou que reconheça legitimidade ampla da OAB para atuar em defesa de qualquer advogado individualmente investigado (incorreto).</w:t>
      </w:r>
    </w:p>
    <w:p>
      <w:pPr>
        <w:spacing w:after="60"/>
        <w:ind w:left="260"/>
      </w:pPr>
      <w:r>
        <w:rPr>
          <w:b/>
          <w:bCs/>
          <w:i/>
          <w:iCs/>
          <w:sz w:val="20"/>
          <w:szCs w:val="20"/>
        </w:rPr>
        <w:t xml:space="preserve">Discursiva: </w:t>
      </w:r>
      <w:r>
        <w:rPr>
          <w:sz w:val="20"/>
          <w:szCs w:val="20"/>
        </w:rPr>
        <w:t xml:space="preserve">Busca e apreensão em escritório de advocacia, fundada em colaboração premiada de outro advogado sobre fatos em que ambos participaram — avaliar limites da inviolabilidade profissional.</w:t>
      </w:r>
    </w:p>
    <w:p>
      <w:pPr>
        <w:spacing w:after="60"/>
        <w:ind w:left="260"/>
      </w:pPr>
      <w:r>
        <w:rPr>
          <w:b/>
          <w:bCs/>
          <w:i/>
          <w:iCs/>
          <w:sz w:val="20"/>
          <w:szCs w:val="20"/>
        </w:rPr>
        <w:t xml:space="preserve">Oral: </w:t>
      </w:r>
      <w:r>
        <w:rPr>
          <w:sz w:val="20"/>
          <w:szCs w:val="20"/>
        </w:rPr>
        <w:t xml:space="preserve">A inviolabilidade do escritório de advocacia é absoluta? Um advogado pode colaborar validamente sobre fatos em que ele mesmo praticou como agente?</w:t>
      </w:r>
    </w:p>
    <w:p>
      <w:pPr>
        <w:spacing w:after="60" w:before="160"/>
      </w:pPr>
      <w:r>
        <w:rPr>
          <w:b/>
          <w:bCs/>
          <w:color w:val="333333"/>
          <w:sz w:val="21"/>
          <w:szCs w:val="21"/>
        </w:rPr>
        <w:t xml:space="preserve">🔗 Conexões</w:t>
      </w:r>
    </w:p>
    <w:p>
      <w:pPr>
        <w:spacing w:after="100"/>
      </w:pPr>
      <w:r>
        <w:rPr>
          <w:sz w:val="20"/>
          <w:szCs w:val="20"/>
        </w:rPr>
        <w:t xml:space="preserve">Estatuto da OAB (Lei 8.906/94); ficha 11.1 (colaboração premiada).</w:t>
      </w:r>
    </w:p>
    <w:p>
      <w:pPr>
        <w:pBdr>
          <w:bottom w:val="single" w:color="8B1A1A" w:sz="12" w:space="4"/>
        </w:pBdr>
        <w:spacing w:after="200" w:before="120"/>
      </w:pPr>
    </w:p>
    <w:p>
      <w:pPr>
        <w:pStyle w:val="Heading1"/>
        <w:spacing w:after="160" w:before="320"/>
      </w:pPr>
      <w:bookmarkStart w:name="subtema_12" w:id="1"/>
      <w:r>
        <w:t xml:space="preserve">12. Provas em Crimes Sexuais e Proteção da Vítima</w:t>
      </w:r>
      <w:bookmarkEnd w:id="1"/>
    </w:p>
    <w:p>
      <w:pPr>
        <w:shd w:fill="FBEAEA" w:color="auto" w:val="clear"/>
        <w:spacing w:after="40" w:before="240"/>
      </w:pPr>
      <w:bookmarkStart w:name="ficha_37" w:id="1"/>
      <w:r>
        <w:rPr>
          <w:b/>
          <w:bCs/>
          <w:color w:val="8B1A1A"/>
          <w:sz w:val="24"/>
          <w:szCs w:val="24"/>
        </w:rPr>
        <w:t xml:space="preserve">📌 12.1  Nulidade de provas obtidas com violação dos direitos fundamentais da vítima em crimes sexuais (Caso Mariana Ferrer)</w:t>
      </w:r>
      <w:bookmarkEnd w:id="1"/>
    </w:p>
    <w:p>
      <w:pPr>
        <w:spacing w:after="60"/>
      </w:pPr>
      <w:r>
        <w:rPr>
          <w:b/>
          <w:bCs/>
          <w:color w:val="8B1A1A"/>
          <w:sz w:val="20"/>
          <w:szCs w:val="20"/>
        </w:rPr>
        <w:t xml:space="preserve">Tribunal: </w:t>
      </w:r>
      <w:r>
        <w:rPr>
          <w:sz w:val="20"/>
          <w:szCs w:val="20"/>
        </w:rPr>
        <w:t xml:space="preserve">STF   |   Órgão: Plenário</w:t>
      </w:r>
    </w:p>
    <w:p>
      <w:pPr>
        <w:spacing w:after="60"/>
      </w:pPr>
      <w:r>
        <w:rPr>
          <w:b/>
          <w:bCs/>
          <w:color w:val="8B1A1A"/>
          <w:sz w:val="20"/>
          <w:szCs w:val="20"/>
        </w:rPr>
        <w:t xml:space="preserve">Processo/Relator/Data: </w:t>
      </w:r>
      <w:r>
        <w:rPr>
          <w:sz w:val="20"/>
          <w:szCs w:val="20"/>
        </w:rPr>
        <w:t xml:space="preserve">ARE 1.541.125/SC, Rel. Min. Alexandre de Moraes, j. 18/06/2026 (Repercussão Geral – Tema 1.451, Info 1222)</w:t>
      </w:r>
    </w:p>
    <w:p>
      <w:pPr>
        <w:spacing w:after="60"/>
      </w:pPr>
      <w:r>
        <w:rPr>
          <w:b/>
          <w:bCs/>
          <w:color w:val="8B1A1A"/>
          <w:sz w:val="20"/>
          <w:szCs w:val="20"/>
        </w:rPr>
        <w:t xml:space="preserve">Sistemática: </w:t>
      </w:r>
      <w:r>
        <w:rPr>
          <w:sz w:val="20"/>
          <w:szCs w:val="20"/>
        </w:rPr>
        <w:t xml:space="preserve">Repercussão Geral — Tema 1451</w:t>
      </w:r>
    </w:p>
    <w:p>
      <w:pPr>
        <w:spacing w:after="60" w:before="160"/>
      </w:pPr>
      <w:r>
        <w:rPr>
          <w:b/>
          <w:bCs/>
          <w:color w:val="333333"/>
          <w:sz w:val="21"/>
          <w:szCs w:val="21"/>
        </w:rPr>
        <w:t xml:space="preserve">📍 Tese fixada / Decisão</w:t>
      </w:r>
    </w:p>
    <w:p>
      <w:pPr>
        <w:spacing w:after="100"/>
      </w:pPr>
      <w:r>
        <w:rPr>
          <w:i/>
          <w:iCs/>
          <w:sz w:val="20"/>
          <w:szCs w:val="20"/>
        </w:rPr>
        <w:t xml:space="preserve">(1) São nulas as provas obtidas durante toda a persecução penal em processos por crimes sexuais em desrespeito aos direitos fundamentais da vítima (dignidade, honra, intimidade, integridade psicológica), por condutas comissivas ou omissivas do magistrado e demais atores processuais, estendendo-se a invalidade aos atos e provas dela derivados; (2) a nulidade pode ser decretada de ofício ou arguida pelo MP ou pela vítima (art. 565, CPP); (3) a sentença absolutória amparada em provas bastantes e independentes do depoimento da vítima não será anulada; (4) devem ser apuradas responsabilidades disciplinares, civis e criminais de quem desrespeitar o art. 400-A do CPP; (5) as audiências instrutórias em crimes sexuais, mediante concordância da vítima, deverão ser gravadas e juntadas aos autos, resguardado o sigilo.</w:t>
      </w:r>
    </w:p>
    <w:p>
      <w:pPr>
        <w:spacing w:after="60" w:before="160"/>
      </w:pPr>
      <w:r>
        <w:rPr>
          <w:b/>
          <w:bCs/>
          <w:color w:val="333333"/>
          <w:sz w:val="21"/>
          <w:szCs w:val="21"/>
        </w:rPr>
        <w:t xml:space="preserve">📚 Resumo do caso</w:t>
      </w:r>
    </w:p>
    <w:p>
      <w:pPr>
        <w:spacing w:after="100"/>
      </w:pPr>
      <w:r>
        <w:rPr>
          <w:sz w:val="20"/>
          <w:szCs w:val="20"/>
        </w:rPr>
        <w:t xml:space="preserve">O julgado mais recente localizado na pesquisa (18/06/2026), fixado em repercussão geral, tem por base o caso da vítima Mariana Ferrer: durante audiência de instrução por estupro de vulnerável, ela foi hostilizada, com exibição de fotos e comentários humilhantes pelo advogado de defesa, sem contenção do juiz e do promotor presentes. O réu foi absolvido em 1ª e 2ª instância, e o STF, dando provimento ao recurso da vítima, anulou a audiência e as decisões absolutórias, fixando cinco teses que passam a reger toda a instrução de crimes sexuais, com foco na proteção da vítima e na responsabilização dos atores processuais omissos.</w:t>
      </w:r>
    </w:p>
    <w:p>
      <w:pPr>
        <w:spacing w:after="60" w:before="160"/>
      </w:pPr>
      <w:r>
        <w:rPr>
          <w:b/>
          <w:bCs/>
          <w:color w:val="333333"/>
          <w:sz w:val="21"/>
          <w:szCs w:val="21"/>
        </w:rPr>
        <w:t xml:space="preserve">🎯 Como pode ser cobrado em prova</w:t>
      </w:r>
    </w:p>
    <w:p>
      <w:pPr>
        <w:spacing w:after="60"/>
        <w:ind w:left="260"/>
      </w:pPr>
      <w:r>
        <w:rPr>
          <w:b/>
          <w:bCs/>
          <w:i/>
          <w:iCs/>
          <w:sz w:val="20"/>
          <w:szCs w:val="20"/>
        </w:rPr>
        <w:t xml:space="preserve">Objetiva: </w:t>
      </w:r>
      <w:r>
        <w:rPr>
          <w:sz w:val="20"/>
          <w:szCs w:val="20"/>
        </w:rPr>
        <w:t xml:space="preserve">Alternativa que condicione a nulidade à iniciativa exclusiva da defesa (incorreto — pode ser de ofício ou a pedido do MP ou da vítima); ou que anule automaticamente toda sentença absolutória em processo de crime sexual, independentemente de haver provas autônomas e não contaminadas (incorreto, item 3 da tese).</w:t>
      </w:r>
    </w:p>
    <w:p>
      <w:pPr>
        <w:spacing w:after="60"/>
        <w:ind w:left="260"/>
      </w:pPr>
      <w:r>
        <w:rPr>
          <w:b/>
          <w:bCs/>
          <w:i/>
          <w:iCs/>
          <w:sz w:val="20"/>
          <w:szCs w:val="20"/>
        </w:rPr>
        <w:t xml:space="preserve">Discursiva: </w:t>
      </w:r>
      <w:r>
        <w:rPr>
          <w:sz w:val="20"/>
          <w:szCs w:val="20"/>
        </w:rPr>
        <w:t xml:space="preserve">Sentença/acórdão em crime sexual em que a vítima foi exposta a tratamento vexatório na instrução, sem contenção do juiz — pede-se o reconhecimento da nulidade dos atos e a aplicação da tese do Tema 1451, inclusive quanto à gravação obrigatória de audiências futuras.</w:t>
      </w:r>
    </w:p>
    <w:p>
      <w:pPr>
        <w:spacing w:after="60"/>
        <w:ind w:left="260"/>
      </w:pPr>
      <w:r>
        <w:rPr>
          <w:b/>
          <w:bCs/>
          <w:i/>
          <w:iCs/>
          <w:sz w:val="20"/>
          <w:szCs w:val="20"/>
        </w:rPr>
        <w:t xml:space="preserve">Oral: </w:t>
      </w:r>
      <w:r>
        <w:rPr>
          <w:sz w:val="20"/>
          <w:szCs w:val="20"/>
        </w:rPr>
        <w:t xml:space="preserve">Quais as consequências, para a validade da prova, do tratamento vexatório da vítima em audiência de crime sexual? A sentença absolutória é sempre anulada nesses casos?</w:t>
      </w:r>
    </w:p>
    <w:p>
      <w:pPr>
        <w:spacing w:after="60" w:before="160"/>
      </w:pPr>
      <w:r>
        <w:rPr>
          <w:b/>
          <w:bCs/>
          <w:color w:val="333333"/>
          <w:sz w:val="21"/>
          <w:szCs w:val="21"/>
        </w:rPr>
        <w:t xml:space="preserve">🔗 Conexões</w:t>
      </w:r>
    </w:p>
    <w:p>
      <w:pPr>
        <w:spacing w:after="100"/>
      </w:pPr>
      <w:r>
        <w:rPr>
          <w:sz w:val="20"/>
          <w:szCs w:val="20"/>
        </w:rPr>
        <w:t xml:space="preserve">Art. 400-A, CPP (regras de tratamento da vítima); art. 565, CPP (legitimidade para arguir nulidade); Lei Maria da Penha e legislação de proteção à vítima (correlatas).</w:t>
      </w:r>
    </w:p>
    <w:p>
      <w:pPr>
        <w:pBdr>
          <w:bottom w:val="single" w:color="8B1A1A" w:sz="12" w:space="4"/>
        </w:pBdr>
        <w:spacing w:after="200" w:before="120"/>
      </w:pPr>
    </w:p>
    <w:p>
      <w:r>
        <w:br w:type="page"/>
      </w:r>
    </w:p>
    <w:p>
      <w:pPr>
        <w:pStyle w:val="Heading1"/>
        <w:spacing w:after="160" w:before="320"/>
      </w:pPr>
      <w:bookmarkStart w:name="top10_section" w:id="1"/>
      <w:r>
        <w:t xml:space="preserve">TOP 10 IMPERDÍVEIS DESTA MATÉRIA</w:t>
      </w:r>
      <w:bookmarkEnd w:id="1"/>
    </w:p>
    <w:p>
      <w:pPr>
        <w:spacing w:after="100"/>
      </w:pPr>
      <w:r>
        <w:rPr>
          <w:sz w:val="20"/>
          <w:szCs w:val="20"/>
        </w:rPr>
        <w:t xml:space="preserve">Seleção dos dez julgados/temas com maior probabilidade de cobrança em prova de Magistratura FGV, dentre os selecionados nesta curadoria, com justificativa breve.</w:t>
      </w:r>
    </w:p>
    <w:p>
      <w:pPr>
        <w:spacing w:after="40" w:before="200"/>
      </w:pPr>
      <w:r>
        <w:rPr>
          <w:b/>
          <w:bCs/>
          <w:color w:val="8B1A1A"/>
          <w:sz w:val="22"/>
          <w:szCs w:val="22"/>
        </w:rPr>
        <w:t xml:space="preserve">1º  Tema Repetitivo 1258 — Teses sobre reconhecimento de pessoas (STJ, 3ª Seção, Info 856)</w:t>
      </w:r>
    </w:p>
    <w:p>
      <w:pPr>
        <w:spacing w:after="100"/>
      </w:pPr>
      <w:r>
        <w:rPr>
          <w:i/>
          <w:iCs/>
          <w:sz w:val="20"/>
          <w:szCs w:val="20"/>
        </w:rPr>
        <w:t xml:space="preserve">É o único tema da matéria com força de recurso repetitivo nos últimos 5 anos, consolidando de vez um dos assuntos mais sensíveis e recorrentes de toda a disciplina probatória. Vincula todos os juízes e tem seis subteses combináveis em uma única questão.</w:t>
      </w:r>
    </w:p>
    <w:p>
      <w:pPr>
        <w:spacing w:after="40" w:before="200"/>
      </w:pPr>
      <w:r>
        <w:rPr>
          <w:b/>
          <w:bCs/>
          <w:color w:val="8B1A1A"/>
          <w:sz w:val="22"/>
          <w:szCs w:val="22"/>
        </w:rPr>
        <w:t xml:space="preserve">2º  Art. 156, II, do CPP — diligências de ofício do juiz para dirimir dúvida (poderes instrutórios)</w:t>
      </w:r>
    </w:p>
    <w:p>
      <w:pPr>
        <w:spacing w:after="100"/>
      </w:pPr>
      <w:r>
        <w:rPr>
          <w:i/>
          <w:iCs/>
          <w:sz w:val="20"/>
          <w:szCs w:val="20"/>
        </w:rPr>
        <w:t xml:space="preserve">É o dispositivo isoladamente mais cobrado em toda a matéria nos cadernos analisados (7+ questões FGV entre 2021 e 2026), sempre no mesmo padrão fático.</w:t>
      </w:r>
    </w:p>
    <w:p>
      <w:pPr>
        <w:spacing w:after="40" w:before="200"/>
      </w:pPr>
      <w:r>
        <w:rPr>
          <w:b/>
          <w:bCs/>
          <w:color w:val="8B1A1A"/>
          <w:sz w:val="22"/>
          <w:szCs w:val="22"/>
        </w:rPr>
        <w:t xml:space="preserve">3º  Tema 977/RG (STF) — regras de acesso a dados de celular apreendido (Info 1184)</w:t>
      </w:r>
    </w:p>
    <w:p>
      <w:pPr>
        <w:spacing w:after="100"/>
      </w:pPr>
      <w:r>
        <w:rPr>
          <w:i/>
          <w:iCs/>
          <w:sz w:val="20"/>
          <w:szCs w:val="20"/>
        </w:rPr>
        <w:t xml:space="preserve">Repercussão geral que sistematiza, em cinco itens, toda a disciplina de provas digitais em celulares — altíssimo potencial de cobrança objetiva e discursiva.</w:t>
      </w:r>
    </w:p>
    <w:p>
      <w:pPr>
        <w:spacing w:after="40" w:before="200"/>
      </w:pPr>
      <w:r>
        <w:rPr>
          <w:b/>
          <w:bCs/>
          <w:color w:val="8B1A1A"/>
          <w:sz w:val="22"/>
          <w:szCs w:val="22"/>
        </w:rPr>
        <w:t xml:space="preserve">4º  Teoria da fonte independente e dos frutos da árvore envenenada (art. 157, §§1º e 2º, CPP)</w:t>
      </w:r>
    </w:p>
    <w:p>
      <w:pPr>
        <w:spacing w:after="100"/>
      </w:pPr>
      <w:r>
        <w:rPr>
          <w:i/>
          <w:iCs/>
          <w:sz w:val="20"/>
          <w:szCs w:val="20"/>
        </w:rPr>
        <w:t xml:space="preserve">Tema mais recorrente nos cadernos de questões fornecidos; a distinção entre fonte independente e descoberta inevitável é a pegadinha clássica da FGV.</w:t>
      </w:r>
    </w:p>
    <w:p>
      <w:pPr>
        <w:spacing w:after="40" w:before="200"/>
      </w:pPr>
      <w:r>
        <w:rPr>
          <w:b/>
          <w:bCs/>
          <w:color w:val="8B1A1A"/>
          <w:sz w:val="22"/>
          <w:szCs w:val="22"/>
        </w:rPr>
        <w:t xml:space="preserve">5º  MP não pode requisitar RIF ao COAF sem autorização judicial (STJ, Info 850) — Tema 990/1404-STF</w:t>
      </w:r>
    </w:p>
    <w:p>
      <w:pPr>
        <w:spacing w:after="100"/>
      </w:pPr>
      <w:r>
        <w:rPr>
          <w:i/>
          <w:iCs/>
          <w:sz w:val="20"/>
          <w:szCs w:val="20"/>
        </w:rPr>
        <w:t xml:space="preserve">Corresponde a questão FGV recente (MPGO-2022) e está em pleno debate no STF (Tema 1404, RG pendente), com decisões conflitantes entre as Turmas — altíssima probabilidade de cair justamente por estar "quente".</w:t>
      </w:r>
    </w:p>
    <w:p>
      <w:pPr>
        <w:spacing w:after="40" w:before="200"/>
      </w:pPr>
      <w:r>
        <w:rPr>
          <w:b/>
          <w:bCs/>
          <w:color w:val="8B1A1A"/>
          <w:sz w:val="22"/>
          <w:szCs w:val="22"/>
        </w:rPr>
        <w:t xml:space="preserve">6º  Fuga para dentro do imóvel = fundada razão para busca domiciliar (STF/STJ, 2025/2026) — MUDANÇA DE ENTENDIMENTO</w:t>
      </w:r>
    </w:p>
    <w:p>
      <w:pPr>
        <w:spacing w:after="100"/>
      </w:pPr>
      <w:r>
        <w:rPr>
          <w:i/>
          <w:iCs/>
          <w:sz w:val="20"/>
          <w:szCs w:val="20"/>
        </w:rPr>
        <w:t xml:space="preserve">Mudança recente de entendimento (STF 2025, STJ 2026); temas de virada jurisprudencial são os favoritos de bancas para "pegar" quem estudou por material desatualizado.</w:t>
      </w:r>
    </w:p>
    <w:p>
      <w:pPr>
        <w:spacing w:after="40" w:before="200"/>
      </w:pPr>
      <w:r>
        <w:rPr>
          <w:b/>
          <w:bCs/>
          <w:color w:val="8B1A1A"/>
          <w:sz w:val="22"/>
          <w:szCs w:val="22"/>
        </w:rPr>
        <w:t xml:space="preserve">7º  Art. 209 do CPP — testemunha referida e oitiva de ofício pelo juiz</w:t>
      </w:r>
    </w:p>
    <w:p>
      <w:pPr>
        <w:spacing w:after="100"/>
      </w:pPr>
      <w:r>
        <w:rPr>
          <w:i/>
          <w:iCs/>
          <w:sz w:val="20"/>
          <w:szCs w:val="20"/>
        </w:rPr>
        <w:t xml:space="preserve">Segundo dispositivo mais cobrado da matéria, quase sempre em conjunto com o art. 156, II — poderes instrutórios do juiz na instrução.</w:t>
      </w:r>
    </w:p>
    <w:p>
      <w:pPr>
        <w:spacing w:after="40" w:before="200"/>
      </w:pPr>
      <w:r>
        <w:rPr>
          <w:b/>
          <w:bCs/>
          <w:color w:val="8B1A1A"/>
          <w:sz w:val="22"/>
          <w:szCs w:val="22"/>
        </w:rPr>
        <w:t xml:space="preserve">8º  Relatório de IA generativa não tem confiabilidade epistêmica para ser prova penal (STJ, Info 884)</w:t>
      </w:r>
    </w:p>
    <w:p>
      <w:pPr>
        <w:spacing w:after="100"/>
      </w:pPr>
      <w:r>
        <w:rPr>
          <w:i/>
          <w:iCs/>
          <w:sz w:val="20"/>
          <w:szCs w:val="20"/>
        </w:rPr>
        <w:t xml:space="preserve">Tema inédito e extremamente atual (uso de IA na persecução penal); alinhado à tendência de bancas incorporarem temas de tecnologia emergente.</w:t>
      </w:r>
    </w:p>
    <w:p>
      <w:pPr>
        <w:spacing w:after="40" w:before="200"/>
      </w:pPr>
      <w:r>
        <w:rPr>
          <w:b/>
          <w:bCs/>
          <w:color w:val="8B1A1A"/>
          <w:sz w:val="22"/>
          <w:szCs w:val="22"/>
        </w:rPr>
        <w:t xml:space="preserve">9º  Irregularidade na cadeia de custódia não gera nulidade automática, mas afeta a eficácia da prova (STJ, Corte Especial, Info 891)</w:t>
      </w:r>
    </w:p>
    <w:p>
      <w:pPr>
        <w:spacing w:after="100"/>
      </w:pPr>
      <w:r>
        <w:rPr>
          <w:i/>
          <w:iCs/>
          <w:sz w:val="20"/>
          <w:szCs w:val="20"/>
        </w:rPr>
        <w:t xml:space="preserve">Julgado pela Corte Especial em ação penal contra Governador — alta relevância institucional; corresponde a questão FGV (TRF3-2025).</w:t>
      </w:r>
    </w:p>
    <w:p>
      <w:pPr>
        <w:spacing w:after="40" w:before="200"/>
      </w:pPr>
      <w:r>
        <w:rPr>
          <w:b/>
          <w:bCs/>
          <w:color w:val="8B1A1A"/>
          <w:sz w:val="22"/>
          <w:szCs w:val="22"/>
        </w:rPr>
        <w:t xml:space="preserve">10º  STF, ARE 1.541.125/SC (Info 1222) — nulidade de provas em crimes sexuais obtidas com violação da vítima (caso Mariana Ferrer) — Tema 1451/RG</w:t>
      </w:r>
    </w:p>
    <w:p>
      <w:pPr>
        <w:spacing w:after="100"/>
      </w:pPr>
      <w:r>
        <w:rPr>
          <w:i/>
          <w:iCs/>
          <w:sz w:val="20"/>
          <w:szCs w:val="20"/>
        </w:rPr>
        <w:t xml:space="preserve">Repercussão geral fixada em 18/06/2026, o julgado mais recente de toda a pesquisa, de forte repercussão social e com cinco teses combináveis; altíssima probabilidade de cair em provas de 2026/2027.</w:t>
      </w:r>
    </w:p>
    <w:p>
      <w:r>
        <w:br w:type="page"/>
      </w:r>
    </w:p>
    <w:p>
      <w:pPr>
        <w:pStyle w:val="Heading1"/>
        <w:spacing w:after="160" w:before="320"/>
      </w:pPr>
      <w:bookmarkStart w:name="indice_section" w:id="1"/>
      <w:r>
        <w:t xml:space="preserve">ÍNDICE NAVEGÁVEL DE JULGADOS</w:t>
      </w:r>
      <w:bookmarkEnd w:id="1"/>
    </w:p>
    <w:p>
      <w:pPr>
        <w:spacing w:after="100"/>
      </w:pPr>
      <w:r>
        <w:rPr>
          <w:sz w:val="20"/>
          <w:szCs w:val="20"/>
        </w:rPr>
        <w:t xml:space="preserve">Lista completa dos julgados/temas desta curadoria, organizados por subtema, com hiperlink interno (Ctrl+clique) para a respectiva ficha.</w:t>
      </w:r>
    </w:p>
    <w:p>
      <w:pPr>
        <w:spacing w:after="80" w:before="200"/>
      </w:pPr>
      <w:r>
        <w:rPr>
          <w:b/>
          <w:bCs/>
          <w:color w:val="333333"/>
          <w:sz w:val="22"/>
          <w:szCs w:val="22"/>
        </w:rPr>
        <w:t xml:space="preserve">1. Teoria Geral da Prova e Standards Probatórios (arts. 155 a 157, CPP)</w:t>
      </w:r>
    </w:p>
    <w:p>
      <w:pPr>
        <w:spacing w:after="60"/>
        <w:ind w:left="260"/>
      </w:pPr>
      <w:hyperlink w:history="1" w:anchor="ficha_1">
        <w:r>
          <w:rPr>
            <w:color w:val="1155CC"/>
            <w:sz w:val="20"/>
            <w:szCs w:val="20"/>
            <w:u w:val="single"/>
          </w:rPr>
          <w:t xml:space="preserve">1.1  Standards probatórios (critérios de decisão) ao longo da persecução penal</w:t>
        </w:r>
      </w:hyperlink>
      <w:r>
        <w:rPr>
          <w:i/>
          <w:iCs/>
          <w:color w:val="666666"/>
          <w:sz w:val="20"/>
          <w:szCs w:val="20"/>
        </w:rPr>
        <w:t xml:space="preserve">  (STF / STJ)</w:t>
      </w:r>
    </w:p>
    <w:p>
      <w:pPr>
        <w:spacing w:after="60"/>
        <w:ind w:left="260"/>
      </w:pPr>
      <w:hyperlink w:history="1" w:anchor="ficha_2">
        <w:r>
          <w:rPr>
            <w:color w:val="1155CC"/>
            <w:sz w:val="20"/>
            <w:szCs w:val="20"/>
            <w:u w:val="single"/>
          </w:rPr>
          <w:t xml:space="preserve">1.2  Depoimento indireto (hearsay) não fundamenta a pronúncia</w:t>
        </w:r>
      </w:hyperlink>
      <w:r>
        <w:rPr>
          <w:i/>
          <w:iCs/>
          <w:color w:val="666666"/>
          <w:sz w:val="20"/>
          <w:szCs w:val="20"/>
        </w:rPr>
        <w:t xml:space="preserve">  (STJ)</w:t>
      </w:r>
    </w:p>
    <w:p>
      <w:pPr>
        <w:spacing w:after="60"/>
        <w:ind w:left="260"/>
      </w:pPr>
      <w:hyperlink w:history="1" w:anchor="ficha_3">
        <w:r>
          <w:rPr>
            <w:color w:val="1155CC"/>
            <w:sz w:val="20"/>
            <w:szCs w:val="20"/>
            <w:u w:val="single"/>
          </w:rPr>
          <w:t xml:space="preserve">1.3  Compartilhamento de provas de ação cível extinta sem resolução de mérito</w:t>
        </w:r>
      </w:hyperlink>
      <w:r>
        <w:rPr>
          <w:i/>
          <w:iCs/>
          <w:color w:val="666666"/>
          <w:sz w:val="20"/>
          <w:szCs w:val="20"/>
        </w:rPr>
        <w:t xml:space="preserve">  (STJ)</w:t>
      </w:r>
    </w:p>
    <w:p>
      <w:pPr>
        <w:spacing w:after="80" w:before="200"/>
      </w:pPr>
      <w:r>
        <w:rPr>
          <w:b/>
          <w:bCs/>
          <w:color w:val="333333"/>
          <w:sz w:val="22"/>
          <w:szCs w:val="22"/>
        </w:rPr>
        <w:t xml:space="preserve">2. Provas Ilícitas, Ilicitude por Derivação e suas Exceções (art. 157, CPP)</w:t>
      </w:r>
    </w:p>
    <w:p>
      <w:pPr>
        <w:spacing w:after="60"/>
        <w:ind w:left="260"/>
      </w:pPr>
      <w:hyperlink w:history="1" w:anchor="ficha_4">
        <w:r>
          <w:rPr>
            <w:color w:val="1155CC"/>
            <w:sz w:val="20"/>
            <w:szCs w:val="20"/>
            <w:u w:val="single"/>
          </w:rPr>
          <w:t xml:space="preserve">2.1  Teoria dos frutos da árvore envenenada, fonte independente e descoberta inevitável</w:t>
        </w:r>
      </w:hyperlink>
      <w:r>
        <w:rPr>
          <w:i/>
          <w:iCs/>
          <w:color w:val="666666"/>
          <w:sz w:val="20"/>
          <w:szCs w:val="20"/>
        </w:rPr>
        <w:t xml:space="preserve">  (STF / STJ)</w:t>
      </w:r>
    </w:p>
    <w:p>
      <w:pPr>
        <w:spacing w:after="60"/>
        <w:ind w:left="260"/>
      </w:pPr>
      <w:hyperlink w:history="1" w:anchor="ficha_5">
        <w:r>
          <w:rPr>
            <w:color w:val="1155CC"/>
            <w:sz w:val="20"/>
            <w:szCs w:val="20"/>
            <w:u w:val="single"/>
          </w:rPr>
          <w:t xml:space="preserve">2.2  Fonte independente após novo acesso lícito a celular (whatsapp)</w:t>
        </w:r>
      </w:hyperlink>
      <w:r>
        <w:rPr>
          <w:i/>
          <w:iCs/>
          <w:color w:val="666666"/>
          <w:sz w:val="20"/>
          <w:szCs w:val="20"/>
        </w:rPr>
        <w:t xml:space="preserve">  (STJ)</w:t>
      </w:r>
    </w:p>
    <w:p>
      <w:pPr>
        <w:spacing w:after="60"/>
        <w:ind w:left="260"/>
      </w:pPr>
      <w:hyperlink w:history="1" w:anchor="ficha_6">
        <w:r>
          <w:rPr>
            <w:color w:val="1155CC"/>
            <w:sz w:val="20"/>
            <w:szCs w:val="20"/>
            <w:u w:val="single"/>
          </w:rPr>
          <w:t xml:space="preserve">2.3  Prisão em flagrante ilegal contamina atos investigativos subsequentes</w:t>
        </w:r>
      </w:hyperlink>
      <w:r>
        <w:rPr>
          <w:i/>
          <w:iCs/>
          <w:color w:val="666666"/>
          <w:sz w:val="20"/>
          <w:szCs w:val="20"/>
        </w:rPr>
        <w:t xml:space="preserve">  (STJ)</w:t>
      </w:r>
    </w:p>
    <w:p>
      <w:pPr>
        <w:spacing w:after="60"/>
        <w:ind w:left="260"/>
      </w:pPr>
      <w:hyperlink w:history="1" w:anchor="ficha_7">
        <w:r>
          <w:rPr>
            <w:color w:val="1155CC"/>
            <w:sz w:val="20"/>
            <w:szCs w:val="20"/>
            <w:u w:val="single"/>
          </w:rPr>
          <w:t xml:space="preserve">2.4  Ilicitude da revista íntima não contamina a busca domiciliar (ausência de nexo causal)</w:t>
        </w:r>
      </w:hyperlink>
      <w:r>
        <w:rPr>
          <w:i/>
          <w:iCs/>
          <w:color w:val="666666"/>
          <w:sz w:val="20"/>
          <w:szCs w:val="20"/>
        </w:rPr>
        <w:t xml:space="preserve">  (STJ)</w:t>
      </w:r>
    </w:p>
    <w:p>
      <w:pPr>
        <w:spacing w:after="60"/>
        <w:ind w:left="260"/>
      </w:pPr>
      <w:hyperlink w:history="1" w:anchor="ficha_8">
        <w:r>
          <w:rPr>
            <w:color w:val="1155CC"/>
            <w:sz w:val="20"/>
            <w:szCs w:val="20"/>
            <w:u w:val="single"/>
          </w:rPr>
          <w:t xml:space="preserve">2.5  Cooperação jurídica internacional: prova utilizada em processo conexo</w:t>
        </w:r>
      </w:hyperlink>
      <w:r>
        <w:rPr>
          <w:i/>
          <w:iCs/>
          <w:color w:val="666666"/>
          <w:sz w:val="20"/>
          <w:szCs w:val="20"/>
        </w:rPr>
        <w:t xml:space="preserve">  (STF)</w:t>
      </w:r>
    </w:p>
    <w:p>
      <w:pPr>
        <w:spacing w:after="80" w:before="200"/>
      </w:pPr>
      <w:r>
        <w:rPr>
          <w:b/>
          <w:bCs/>
          <w:color w:val="333333"/>
          <w:sz w:val="22"/>
          <w:szCs w:val="22"/>
        </w:rPr>
        <w:t xml:space="preserve">3. Poderes Instrutórios do Juiz e Sistema Acusatório (arts. 3º-A e 156, CPP)</w:t>
      </w:r>
    </w:p>
    <w:p>
      <w:pPr>
        <w:spacing w:after="60"/>
        <w:ind w:left="260"/>
      </w:pPr>
      <w:hyperlink w:history="1" w:anchor="ficha_9">
        <w:r>
          <w:rPr>
            <w:color w:val="1155CC"/>
            <w:sz w:val="20"/>
            <w:szCs w:val="20"/>
            <w:u w:val="single"/>
          </w:rPr>
          <w:t xml:space="preserve">3.1  Diligências de ofício do juiz para dirimir dúvida sobre ponto relevante (art. 156, II, CPP)</w:t>
        </w:r>
      </w:hyperlink>
      <w:r>
        <w:rPr>
          <w:i/>
          <w:iCs/>
          <w:color w:val="666666"/>
          <w:sz w:val="20"/>
          <w:szCs w:val="20"/>
        </w:rPr>
        <w:t xml:space="preserve">  (Tese legal consolidada por reiterada jurisprudência do STJ e do STF)</w:t>
      </w:r>
    </w:p>
    <w:p>
      <w:pPr>
        <w:spacing w:after="60"/>
        <w:ind w:left="260"/>
      </w:pPr>
      <w:hyperlink w:history="1" w:anchor="ficha_10">
        <w:r>
          <w:rPr>
            <w:color w:val="1155CC"/>
            <w:sz w:val="20"/>
            <w:szCs w:val="20"/>
            <w:u w:val="single"/>
          </w:rPr>
          <w:t xml:space="preserve">3.2  Juiz não pode determinar de ofício, na investigação, busca e apreensão e quebra de sigilo além do requerido</w:t>
        </w:r>
      </w:hyperlink>
      <w:r>
        <w:rPr>
          <w:i/>
          <w:iCs/>
          <w:color w:val="666666"/>
          <w:sz w:val="20"/>
          <w:szCs w:val="20"/>
        </w:rPr>
        <w:t xml:space="preserve">  (STJ)</w:t>
      </w:r>
    </w:p>
    <w:p>
      <w:pPr>
        <w:spacing w:after="60"/>
        <w:ind w:left="260"/>
      </w:pPr>
      <w:hyperlink w:history="1" w:anchor="ficha_11">
        <w:r>
          <w:rPr>
            <w:color w:val="1155CC"/>
            <w:sz w:val="20"/>
            <w:szCs w:val="20"/>
            <w:u w:val="single"/>
          </w:rPr>
          <w:t xml:space="preserve">3.3  Juiz que assume postura inquisitorial na inquirição viola o art. 212 do CPP</w:t>
        </w:r>
      </w:hyperlink>
      <w:r>
        <w:rPr>
          <w:i/>
          <w:iCs/>
          <w:color w:val="666666"/>
          <w:sz w:val="20"/>
          <w:szCs w:val="20"/>
        </w:rPr>
        <w:t xml:space="preserve">  (STJ)</w:t>
      </w:r>
    </w:p>
    <w:p>
      <w:pPr>
        <w:spacing w:after="80" w:before="200"/>
      </w:pPr>
      <w:r>
        <w:rPr>
          <w:b/>
          <w:bCs/>
          <w:color w:val="333333"/>
          <w:sz w:val="22"/>
          <w:szCs w:val="22"/>
        </w:rPr>
        <w:t xml:space="preserve">4. Testemunhas (arts. 202 a 225, CPP)</w:t>
      </w:r>
    </w:p>
    <w:p>
      <w:pPr>
        <w:spacing w:after="60"/>
        <w:ind w:left="260"/>
      </w:pPr>
      <w:hyperlink w:history="1" w:anchor="ficha_12">
        <w:r>
          <w:rPr>
            <w:color w:val="1155CC"/>
            <w:sz w:val="20"/>
            <w:szCs w:val="20"/>
            <w:u w:val="single"/>
          </w:rPr>
          <w:t xml:space="preserve">4.1  Testemunha referida e oitiva de ofício pelo juiz (art. 209, CPP)</w:t>
        </w:r>
      </w:hyperlink>
      <w:r>
        <w:rPr>
          <w:i/>
          <w:iCs/>
          <w:color w:val="666666"/>
          <w:sz w:val="20"/>
          <w:szCs w:val="20"/>
        </w:rPr>
        <w:t xml:space="preserve">  (Tese legal consolidada — segundo dispositivo mais cobrado em toda a matéria)</w:t>
      </w:r>
    </w:p>
    <w:p>
      <w:pPr>
        <w:spacing w:after="60"/>
        <w:ind w:left="260"/>
      </w:pPr>
      <w:hyperlink w:history="1" w:anchor="ficha_13">
        <w:r>
          <w:rPr>
            <w:color w:val="1155CC"/>
            <w:sz w:val="20"/>
            <w:szCs w:val="20"/>
            <w:u w:val="single"/>
          </w:rPr>
          <w:t xml:space="preserve">4.2  Tribunal pode reinterrogar réu e reouvir testemunhas ouvidas de ofício em 1º grau</w:t>
        </w:r>
      </w:hyperlink>
      <w:r>
        <w:rPr>
          <w:i/>
          <w:iCs/>
          <w:color w:val="666666"/>
          <w:sz w:val="20"/>
          <w:szCs w:val="20"/>
        </w:rPr>
        <w:t xml:space="preserve">  (STJ)</w:t>
      </w:r>
    </w:p>
    <w:p>
      <w:pPr>
        <w:spacing w:after="80" w:before="200"/>
      </w:pPr>
      <w:r>
        <w:rPr>
          <w:b/>
          <w:bCs/>
          <w:color w:val="333333"/>
          <w:sz w:val="22"/>
          <w:szCs w:val="22"/>
        </w:rPr>
        <w:t xml:space="preserve">5. Reconhecimento de Pessoas (art. 226, CPP)</w:t>
      </w:r>
    </w:p>
    <w:p>
      <w:pPr>
        <w:spacing w:after="60"/>
        <w:ind w:left="260"/>
      </w:pPr>
      <w:hyperlink w:history="1" w:anchor="ficha_14">
        <w:r>
          <w:rPr>
            <w:color w:val="1155CC"/>
            <w:sz w:val="20"/>
            <w:szCs w:val="20"/>
            <w:u w:val="single"/>
          </w:rPr>
          <w:t xml:space="preserve">5.1  Teses sobre reconhecimento de pessoas — Tema Repetitivo 1258</w:t>
        </w:r>
      </w:hyperlink>
      <w:r>
        <w:rPr>
          <w:i/>
          <w:iCs/>
          <w:color w:val="666666"/>
          <w:sz w:val="20"/>
          <w:szCs w:val="20"/>
        </w:rPr>
        <w:t xml:space="preserve">  (STJ)</w:t>
      </w:r>
    </w:p>
    <w:p>
      <w:pPr>
        <w:spacing w:after="60"/>
        <w:ind w:left="260"/>
      </w:pPr>
      <w:hyperlink w:history="1" w:anchor="ficha_15">
        <w:r>
          <w:rPr>
            <w:color w:val="1155CC"/>
            <w:sz w:val="20"/>
            <w:szCs w:val="20"/>
            <w:u w:val="single"/>
          </w:rPr>
          <w:t xml:space="preserve">5.2  Reconhecimento irregular de pessoas torna inválida a prova de autoria</w:t>
        </w:r>
      </w:hyperlink>
      <w:r>
        <w:rPr>
          <w:i/>
          <w:iCs/>
          <w:color w:val="666666"/>
          <w:sz w:val="20"/>
          <w:szCs w:val="20"/>
        </w:rPr>
        <w:t xml:space="preserve">  (STJ)</w:t>
      </w:r>
    </w:p>
    <w:p>
      <w:pPr>
        <w:spacing w:after="60"/>
        <w:ind w:left="260"/>
      </w:pPr>
      <w:hyperlink w:history="1" w:anchor="ficha_16">
        <w:r>
          <w:rPr>
            <w:color w:val="1155CC"/>
            <w:sz w:val="20"/>
            <w:szCs w:val="20"/>
            <w:u w:val="single"/>
          </w:rPr>
          <w:t xml:space="preserve">5.3  Reconhecimento espontâneo pela vítima dispensa as formalidades do art. 226</w:t>
        </w:r>
      </w:hyperlink>
      <w:r>
        <w:rPr>
          <w:i/>
          <w:iCs/>
          <w:color w:val="666666"/>
          <w:sz w:val="20"/>
          <w:szCs w:val="20"/>
        </w:rPr>
        <w:t xml:space="preserve">  (STJ)</w:t>
      </w:r>
    </w:p>
    <w:p>
      <w:pPr>
        <w:spacing w:after="80" w:before="200"/>
      </w:pPr>
      <w:r>
        <w:rPr>
          <w:b/>
          <w:bCs/>
          <w:color w:val="333333"/>
          <w:sz w:val="22"/>
          <w:szCs w:val="22"/>
        </w:rPr>
        <w:t xml:space="preserve">6. Cadeia de Custódia e Perícias (arts. 158 a 184-A, CPP)</w:t>
      </w:r>
    </w:p>
    <w:p>
      <w:pPr>
        <w:spacing w:after="60"/>
        <w:ind w:left="260"/>
      </w:pPr>
      <w:hyperlink w:history="1" w:anchor="ficha_17">
        <w:r>
          <w:rPr>
            <w:color w:val="1155CC"/>
            <w:sz w:val="20"/>
            <w:szCs w:val="20"/>
            <w:u w:val="single"/>
          </w:rPr>
          <w:t xml:space="preserve">6.1  Irregularidade na cadeia de custódia não gera nulidade automática, mas afeta a eficácia da prova</w:t>
        </w:r>
      </w:hyperlink>
      <w:r>
        <w:rPr>
          <w:i/>
          <w:iCs/>
          <w:color w:val="666666"/>
          <w:sz w:val="20"/>
          <w:szCs w:val="20"/>
        </w:rPr>
        <w:t xml:space="preserve">  (STJ)</w:t>
      </w:r>
    </w:p>
    <w:p>
      <w:pPr>
        <w:spacing w:after="60"/>
        <w:ind w:left="260"/>
      </w:pPr>
      <w:hyperlink w:history="1" w:anchor="ficha_18">
        <w:r>
          <w:rPr>
            <w:color w:val="1155CC"/>
            <w:sz w:val="20"/>
            <w:szCs w:val="20"/>
            <w:u w:val="single"/>
          </w:rPr>
          <w:t xml:space="preserve">6.2  Nulo o laudo pericial baseado em mídias inacessíveis à defesa por falha na cadeia de custódia</w:t>
        </w:r>
      </w:hyperlink>
      <w:r>
        <w:rPr>
          <w:i/>
          <w:iCs/>
          <w:color w:val="666666"/>
          <w:sz w:val="20"/>
          <w:szCs w:val="20"/>
        </w:rPr>
        <w:t xml:space="preserve">  (STJ)</w:t>
      </w:r>
    </w:p>
    <w:p>
      <w:pPr>
        <w:spacing w:after="60"/>
        <w:ind w:left="260"/>
      </w:pPr>
      <w:hyperlink w:history="1" w:anchor="ficha_19">
        <w:r>
          <w:rPr>
            <w:color w:val="1155CC"/>
            <w:sz w:val="20"/>
            <w:szCs w:val="20"/>
            <w:u w:val="single"/>
          </w:rPr>
          <w:t xml:space="preserve">6.3  Relatório produzido com IA generativa não tem confiabilidade epistêmica para ser prova penal</w:t>
        </w:r>
      </w:hyperlink>
      <w:r>
        <w:rPr>
          <w:i/>
          <w:iCs/>
          <w:color w:val="666666"/>
          <w:sz w:val="20"/>
          <w:szCs w:val="20"/>
        </w:rPr>
        <w:t xml:space="preserve">  (STJ)</w:t>
      </w:r>
    </w:p>
    <w:p>
      <w:pPr>
        <w:spacing w:after="60"/>
        <w:ind w:left="260"/>
      </w:pPr>
      <w:hyperlink w:history="1" w:anchor="ficha_20">
        <w:r>
          <w:rPr>
            <w:color w:val="1155CC"/>
            <w:sz w:val="20"/>
            <w:szCs w:val="20"/>
            <w:u w:val="single"/>
          </w:rPr>
          <w:t xml:space="preserve">6.4  Dúvida sobre integridade de prova digital exige perícia e pode substituir prisão preventiva</w:t>
        </w:r>
      </w:hyperlink>
      <w:r>
        <w:rPr>
          <w:i/>
          <w:iCs/>
          <w:color w:val="666666"/>
          <w:sz w:val="20"/>
          <w:szCs w:val="20"/>
        </w:rPr>
        <w:t xml:space="preserve">  (STJ)</w:t>
      </w:r>
    </w:p>
    <w:p>
      <w:pPr>
        <w:spacing w:after="80" w:before="200"/>
      </w:pPr>
      <w:r>
        <w:rPr>
          <w:b/>
          <w:bCs/>
          <w:color w:val="333333"/>
          <w:sz w:val="22"/>
          <w:szCs w:val="22"/>
        </w:rPr>
        <w:t xml:space="preserve">7. Confissão, Interrogatório e Nemo Tenetur Se Detegere (arts. 185 a 200, CPP)</w:t>
      </w:r>
    </w:p>
    <w:p>
      <w:pPr>
        <w:spacing w:after="60"/>
        <w:ind w:left="260"/>
      </w:pPr>
      <w:hyperlink w:history="1" w:anchor="ficha_21">
        <w:r>
          <w:rPr>
            <w:color w:val="1155CC"/>
            <w:sz w:val="20"/>
            <w:szCs w:val="20"/>
            <w:u w:val="single"/>
          </w:rPr>
          <w:t xml:space="preserve">7.1  Confissão obtida sob coação policial é ilícita e contamina provas dela derivadas</w:t>
        </w:r>
      </w:hyperlink>
      <w:r>
        <w:rPr>
          <w:i/>
          <w:iCs/>
          <w:color w:val="666666"/>
          <w:sz w:val="20"/>
          <w:szCs w:val="20"/>
        </w:rPr>
        <w:t xml:space="preserve">  (STJ)</w:t>
      </w:r>
    </w:p>
    <w:p>
      <w:pPr>
        <w:spacing w:after="60"/>
        <w:ind w:left="260"/>
      </w:pPr>
      <w:hyperlink w:history="1" w:anchor="ficha_22">
        <w:r>
          <w:rPr>
            <w:color w:val="1155CC"/>
            <w:sz w:val="20"/>
            <w:szCs w:val="20"/>
            <w:u w:val="single"/>
          </w:rPr>
          <w:t xml:space="preserve">7.2  Recusa em fornecer padrão gráfico (nemo tenetur) e uso de padrões já existentes como fonte independente</w:t>
        </w:r>
      </w:hyperlink>
      <w:r>
        <w:rPr>
          <w:i/>
          <w:iCs/>
          <w:color w:val="666666"/>
          <w:sz w:val="20"/>
          <w:szCs w:val="20"/>
        </w:rPr>
        <w:t xml:space="preserve">  (Tese consolidada de doutrina e jurisprudência do STF/STJ sobre nemo tenetur se detegere, aplicada a exame grafotécnico)</w:t>
      </w:r>
    </w:p>
    <w:p>
      <w:pPr>
        <w:spacing w:after="80" w:before="200"/>
      </w:pPr>
      <w:r>
        <w:rPr>
          <w:b/>
          <w:bCs/>
          <w:color w:val="333333"/>
          <w:sz w:val="22"/>
          <w:szCs w:val="22"/>
        </w:rPr>
        <w:t xml:space="preserve">8. Busca e Apreensão (arts. 240 a 250, CPP)</w:t>
      </w:r>
    </w:p>
    <w:p>
      <w:pPr>
        <w:spacing w:after="60"/>
        <w:ind w:left="260"/>
      </w:pPr>
      <w:hyperlink w:history="1" w:anchor="ficha_23">
        <w:r>
          <w:rPr>
            <w:color w:val="1155CC"/>
            <w:sz w:val="20"/>
            <w:szCs w:val="20"/>
            <w:u w:val="single"/>
          </w:rPr>
          <w:t xml:space="preserve">8.1  Fuga para o interior do imóvel ao avistar a polícia caracteriza fundadas razões para busca domiciliar</w:t>
        </w:r>
      </w:hyperlink>
      <w:r>
        <w:rPr>
          <w:i/>
          <w:iCs/>
          <w:color w:val="666666"/>
          <w:sz w:val="20"/>
          <w:szCs w:val="20"/>
        </w:rPr>
        <w:t xml:space="preserve">  (STF / STJ)</w:t>
      </w:r>
    </w:p>
    <w:p>
      <w:pPr>
        <w:spacing w:after="60"/>
        <w:ind w:left="260"/>
      </w:pPr>
      <w:hyperlink w:history="1" w:anchor="ficha_24">
        <w:r>
          <w:rPr>
            <w:color w:val="1155CC"/>
            <w:sz w:val="20"/>
            <w:szCs w:val="20"/>
            <w:u w:val="single"/>
          </w:rPr>
          <w:t xml:space="preserve">8.2  Nervosismo ao avistar a polícia pode caracterizar fundadas razões para busca pessoal</w:t>
        </w:r>
      </w:hyperlink>
      <w:r>
        <w:rPr>
          <w:i/>
          <w:iCs/>
          <w:color w:val="666666"/>
          <w:sz w:val="20"/>
          <w:szCs w:val="20"/>
        </w:rPr>
        <w:t xml:space="preserve">  (STJ)</w:t>
      </w:r>
    </w:p>
    <w:p>
      <w:pPr>
        <w:spacing w:after="60"/>
        <w:ind w:left="260"/>
      </w:pPr>
      <w:hyperlink w:history="1" w:anchor="ficha_25">
        <w:r>
          <w:rPr>
            <w:color w:val="1155CC"/>
            <w:sz w:val="20"/>
            <w:szCs w:val="20"/>
            <w:u w:val="single"/>
          </w:rPr>
          <w:t xml:space="preserve">8.3  Mau estado de conservação do veículo NÃO constitui fundada suspeita</w:t>
        </w:r>
      </w:hyperlink>
      <w:r>
        <w:rPr>
          <w:i/>
          <w:iCs/>
          <w:color w:val="666666"/>
          <w:sz w:val="20"/>
          <w:szCs w:val="20"/>
        </w:rPr>
        <w:t xml:space="preserve">  (STJ)</w:t>
      </w:r>
    </w:p>
    <w:p>
      <w:pPr>
        <w:spacing w:after="60"/>
        <w:ind w:left="260"/>
      </w:pPr>
      <w:hyperlink w:history="1" w:anchor="ficha_26">
        <w:r>
          <w:rPr>
            <w:color w:val="1155CC"/>
            <w:sz w:val="20"/>
            <w:szCs w:val="20"/>
            <w:u w:val="single"/>
          </w:rPr>
          <w:t xml:space="preserve">8.4  Vedação a buscas domiciliares coletivas, genéricas e indiscriminadas ("varreduras")</w:t>
        </w:r>
      </w:hyperlink>
      <w:r>
        <w:rPr>
          <w:i/>
          <w:iCs/>
          <w:color w:val="666666"/>
          <w:sz w:val="20"/>
          <w:szCs w:val="20"/>
        </w:rPr>
        <w:t xml:space="preserve">  (STJ)</w:t>
      </w:r>
    </w:p>
    <w:p>
      <w:pPr>
        <w:spacing w:after="60"/>
        <w:ind w:left="260"/>
      </w:pPr>
      <w:hyperlink w:history="1" w:anchor="ficha_27">
        <w:r>
          <w:rPr>
            <w:color w:val="1155CC"/>
            <w:sz w:val="20"/>
            <w:szCs w:val="20"/>
            <w:u w:val="single"/>
          </w:rPr>
          <w:t xml:space="preserve">8.5  Busca domiciliar deve ser cumprida entre 5h e 21h (Lei de Abuso de Autoridade)</w:t>
        </w:r>
      </w:hyperlink>
      <w:r>
        <w:rPr>
          <w:i/>
          <w:iCs/>
          <w:color w:val="666666"/>
          <w:sz w:val="20"/>
          <w:szCs w:val="20"/>
        </w:rPr>
        <w:t xml:space="preserve">  (STJ)</w:t>
      </w:r>
    </w:p>
    <w:p>
      <w:pPr>
        <w:spacing w:after="60"/>
        <w:ind w:left="260"/>
      </w:pPr>
      <w:hyperlink w:history="1" w:anchor="ficha_28">
        <w:r>
          <w:rPr>
            <w:color w:val="1155CC"/>
            <w:sz w:val="20"/>
            <w:szCs w:val="20"/>
            <w:u w:val="single"/>
          </w:rPr>
          <w:t xml:space="preserve">8.6  Busca sem mandado físico é ilícita mesmo com autorização judicial</w:t>
        </w:r>
      </w:hyperlink>
      <w:r>
        <w:rPr>
          <w:i/>
          <w:iCs/>
          <w:color w:val="666666"/>
          <w:sz w:val="20"/>
          <w:szCs w:val="20"/>
        </w:rPr>
        <w:t xml:space="preserve">  (STJ)</w:t>
      </w:r>
    </w:p>
    <w:p>
      <w:pPr>
        <w:spacing w:after="80" w:before="200"/>
      </w:pPr>
      <w:r>
        <w:rPr>
          <w:b/>
          <w:bCs/>
          <w:color w:val="333333"/>
          <w:sz w:val="22"/>
          <w:szCs w:val="22"/>
        </w:rPr>
        <w:t xml:space="preserve">9. Provas Digitais, Dados Telemáticos e Novas Tecnologias</w:t>
      </w:r>
    </w:p>
    <w:p>
      <w:pPr>
        <w:spacing w:after="60"/>
        <w:ind w:left="260"/>
      </w:pPr>
      <w:hyperlink w:history="1" w:anchor="ficha_29">
        <w:r>
          <w:rPr>
            <w:color w:val="1155CC"/>
            <w:sz w:val="20"/>
            <w:szCs w:val="20"/>
            <w:u w:val="single"/>
          </w:rPr>
          <w:t xml:space="preserve">9.1  Apreensão de celular não exige ordem judicial; acesso aos dados, sim (regras diferenciadas) — Tema 977/RG</w:t>
        </w:r>
      </w:hyperlink>
      <w:r>
        <w:rPr>
          <w:i/>
          <w:iCs/>
          <w:color w:val="666666"/>
          <w:sz w:val="20"/>
          <w:szCs w:val="20"/>
        </w:rPr>
        <w:t xml:space="preserve">  (STF)</w:t>
      </w:r>
    </w:p>
    <w:p>
      <w:pPr>
        <w:spacing w:after="60"/>
        <w:ind w:left="260"/>
      </w:pPr>
      <w:hyperlink w:history="1" w:anchor="ficha_30">
        <w:r>
          <w:rPr>
            <w:color w:val="1155CC"/>
            <w:sz w:val="20"/>
            <w:szCs w:val="20"/>
            <w:u w:val="single"/>
          </w:rPr>
          <w:t xml:space="preserve">9.2  Sigilo de dados não protege celular usado ilicitamente em presídio</w:t>
        </w:r>
      </w:hyperlink>
      <w:r>
        <w:rPr>
          <w:i/>
          <w:iCs/>
          <w:color w:val="666666"/>
          <w:sz w:val="20"/>
          <w:szCs w:val="20"/>
        </w:rPr>
        <w:t xml:space="preserve">  (STJ)</w:t>
      </w:r>
    </w:p>
    <w:p>
      <w:pPr>
        <w:spacing w:after="60"/>
        <w:ind w:left="260"/>
      </w:pPr>
      <w:hyperlink w:history="1" w:anchor="ficha_31">
        <w:r>
          <w:rPr>
            <w:color w:val="1155CC"/>
            <w:sz w:val="20"/>
            <w:szCs w:val="20"/>
            <w:u w:val="single"/>
          </w:rPr>
          <w:t xml:space="preserve">9.3  Uso de software de ronda virtual (CRC) para identificar IPs não é infiltração de agentes e dispensa autorização judicial</w:t>
        </w:r>
      </w:hyperlink>
      <w:r>
        <w:rPr>
          <w:i/>
          <w:iCs/>
          <w:color w:val="666666"/>
          <w:sz w:val="20"/>
          <w:szCs w:val="20"/>
        </w:rPr>
        <w:t xml:space="preserve">  (STJ)</w:t>
      </w:r>
    </w:p>
    <w:p>
      <w:pPr>
        <w:spacing w:after="80" w:before="200"/>
      </w:pPr>
      <w:r>
        <w:rPr>
          <w:b/>
          <w:bCs/>
          <w:color w:val="333333"/>
          <w:sz w:val="22"/>
          <w:szCs w:val="22"/>
        </w:rPr>
        <w:t xml:space="preserve">10. Cooperação Internacional, RIF/COAF e Sigilo Bancário-Fiscal</w:t>
      </w:r>
    </w:p>
    <w:p>
      <w:pPr>
        <w:spacing w:after="60"/>
        <w:ind w:left="260"/>
      </w:pPr>
      <w:hyperlink w:history="1" w:anchor="ficha_32">
        <w:r>
          <w:rPr>
            <w:color w:val="1155CC"/>
            <w:sz w:val="20"/>
            <w:szCs w:val="20"/>
            <w:u w:val="single"/>
          </w:rPr>
          <w:t xml:space="preserve">10.1  MP não pode requisitar RIF ao COAF diretamente, sem autorização judicial (Tema 990-STF)</w:t>
        </w:r>
      </w:hyperlink>
      <w:r>
        <w:rPr>
          <w:i/>
          <w:iCs/>
          <w:color w:val="666666"/>
          <w:sz w:val="20"/>
          <w:szCs w:val="20"/>
        </w:rPr>
        <w:t xml:space="preserve">  (STJ)</w:t>
      </w:r>
    </w:p>
    <w:p>
      <w:pPr>
        <w:spacing w:after="60"/>
        <w:ind w:left="260"/>
      </w:pPr>
      <w:hyperlink w:history="1" w:anchor="ficha_33">
        <w:r>
          <w:rPr>
            <w:color w:val="1155CC"/>
            <w:sz w:val="20"/>
            <w:szCs w:val="20"/>
            <w:u w:val="single"/>
          </w:rPr>
          <w:t xml:space="preserve">10.2  Cooperação internacional penal: princípio da lex diligentiae</w:t>
        </w:r>
      </w:hyperlink>
      <w:r>
        <w:rPr>
          <w:i/>
          <w:iCs/>
          <w:color w:val="666666"/>
          <w:sz w:val="20"/>
          <w:szCs w:val="20"/>
        </w:rPr>
        <w:t xml:space="preserve">  (STJ)</w:t>
      </w:r>
    </w:p>
    <w:p>
      <w:pPr>
        <w:spacing w:after="60"/>
        <w:ind w:left="260"/>
      </w:pPr>
      <w:hyperlink w:history="1" w:anchor="ficha_34">
        <w:r>
          <w:rPr>
            <w:color w:val="1155CC"/>
            <w:sz w:val="20"/>
            <w:szCs w:val="20"/>
            <w:u w:val="single"/>
          </w:rPr>
          <w:t xml:space="preserve">10.3  Empresas multinacionais que atuam no Brasil submetem-se à lei brasileira, sem necessidade de cooperação internacional</w:t>
        </w:r>
      </w:hyperlink>
      <w:r>
        <w:rPr>
          <w:i/>
          <w:iCs/>
          <w:color w:val="666666"/>
          <w:sz w:val="20"/>
          <w:szCs w:val="20"/>
        </w:rPr>
        <w:t xml:space="preserve">  (STJ)</w:t>
      </w:r>
    </w:p>
    <w:p>
      <w:pPr>
        <w:spacing w:after="80" w:before="200"/>
      </w:pPr>
      <w:r>
        <w:rPr>
          <w:b/>
          <w:bCs/>
          <w:color w:val="333333"/>
          <w:sz w:val="22"/>
          <w:szCs w:val="22"/>
        </w:rPr>
        <w:t xml:space="preserve">11. Colaboração Premiada e Provas Atípicas</w:t>
      </w:r>
    </w:p>
    <w:p>
      <w:pPr>
        <w:spacing w:after="60"/>
        <w:ind w:left="260"/>
      </w:pPr>
      <w:hyperlink w:history="1" w:anchor="ficha_35">
        <w:r>
          <w:rPr>
            <w:color w:val="1155CC"/>
            <w:sz w:val="20"/>
            <w:szCs w:val="20"/>
            <w:u w:val="single"/>
          </w:rPr>
          <w:t xml:space="preserve">11.1  Colaboração premiada não fundamenta, isoladamente, condenação</w:t>
        </w:r>
      </w:hyperlink>
      <w:r>
        <w:rPr>
          <w:i/>
          <w:iCs/>
          <w:color w:val="666666"/>
          <w:sz w:val="20"/>
          <w:szCs w:val="20"/>
        </w:rPr>
        <w:t xml:space="preserve">  (STJ)</w:t>
      </w:r>
    </w:p>
    <w:p>
      <w:pPr>
        <w:spacing w:after="60"/>
        <w:ind w:left="260"/>
      </w:pPr>
      <w:hyperlink w:history="1" w:anchor="ficha_36">
        <w:r>
          <w:rPr>
            <w:color w:val="1155CC"/>
            <w:sz w:val="20"/>
            <w:szCs w:val="20"/>
            <w:u w:val="single"/>
          </w:rPr>
          <w:t xml:space="preserve">11.2  Colaboração premiada de advogado é válida quando versa sobre crimes em que ele próprio participou como agente</w:t>
        </w:r>
      </w:hyperlink>
      <w:r>
        <w:rPr>
          <w:i/>
          <w:iCs/>
          <w:color w:val="666666"/>
          <w:sz w:val="20"/>
          <w:szCs w:val="20"/>
        </w:rPr>
        <w:t xml:space="preserve">  (STJ)</w:t>
      </w:r>
    </w:p>
    <w:p>
      <w:pPr>
        <w:spacing w:after="80" w:before="200"/>
      </w:pPr>
      <w:r>
        <w:rPr>
          <w:b/>
          <w:bCs/>
          <w:color w:val="333333"/>
          <w:sz w:val="22"/>
          <w:szCs w:val="22"/>
        </w:rPr>
        <w:t xml:space="preserve">12. Provas em Crimes Sexuais e Proteção da Vítima</w:t>
      </w:r>
    </w:p>
    <w:p>
      <w:pPr>
        <w:spacing w:after="60"/>
        <w:ind w:left="260"/>
      </w:pPr>
      <w:hyperlink w:history="1" w:anchor="ficha_37">
        <w:r>
          <w:rPr>
            <w:color w:val="1155CC"/>
            <w:sz w:val="20"/>
            <w:szCs w:val="20"/>
            <w:u w:val="single"/>
          </w:rPr>
          <w:t xml:space="preserve">12.1  Nulidade de provas obtidas com violação dos direitos fundamentais da vítima em crimes sexuais (Caso Mariana Ferrer)</w:t>
        </w:r>
      </w:hyperlink>
      <w:r>
        <w:rPr>
          <w:i/>
          <w:iCs/>
          <w:color w:val="666666"/>
          <w:sz w:val="20"/>
          <w:szCs w:val="20"/>
        </w:rPr>
        <w:t xml:space="preserve">  (STF)</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fldChar w:fldCharType="begin"/>
      <w:instrText xml:space="preserve">PAGE</w:instrText>
      <w:fldChar w:fldCharType="separate"/>
      <w:fldChar w:fldCharType="end"/>
    </w:r>
    <w:r>
      <w:rPr>
        <w:color w:val="888888"/>
        <w:sz w:val="16"/>
        <w:szCs w:val="16"/>
      </w:rPr>
      <w:t xml:space="preserve"> /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i/>
        <w:iCs/>
        <w:color w:val="888888"/>
        <w:sz w:val="16"/>
        <w:szCs w:val="16"/>
      </w:rPr>
      <w:t xml:space="preserve">Processo Penal — Provas — Julgados Curados para Magistratura (FGV)  |  Curadoria: 11/07/2026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Calibri" w:cs="Calibri" w:eastAsia="Calibri" w:hAnsi="Calibri"/>
      <w:b/>
      <w:bCs/>
      <w:color w:val="8B1A1A"/>
      <w:sz w:val="30"/>
      <w:szCs w:val="30"/>
    </w:rPr>
  </w:style>
  <w:style w:type="paragraph" w:styleId="Heading2">
    <w:name w:val="Heading 2"/>
    <w:basedOn w:val="Normal"/>
    <w:next w:val="Normal"/>
    <w:qFormat/>
    <w:pPr>
      <w:spacing w:after="120" w:before="240"/>
      <w:outlineLvl w:val="1"/>
    </w:pPr>
    <w:rPr>
      <w:rFonts w:ascii="Calibri" w:cs="Calibri" w:eastAsia="Calibri" w:hAnsi="Calibri"/>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Processo Penal - Provas - Julgados Curados</dc:title>
  <dc:creator>Curadoria Jurídica</dc:creator>
  <cp:lastModifiedBy>Un-named</cp:lastModifiedBy>
  <cp:revision>1</cp:revision>
  <dcterms:created xsi:type="dcterms:W3CDTF">2026-07-11T14:17:52.700Z</dcterms:created>
  <dcterms:modified xsi:type="dcterms:W3CDTF">2026-07-11T14:17:52.706Z</dcterms:modified>
</cp:coreProperties>
</file>

<file path=docProps/custom.xml><?xml version="1.0" encoding="utf-8"?>
<Properties xmlns="http://schemas.openxmlformats.org/officeDocument/2006/custom-properties" xmlns:vt="http://schemas.openxmlformats.org/officeDocument/2006/docPropsVTypes"/>
</file>