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32"/>
          <w:szCs w:val="32"/>
        </w:rPr>
        <w:t xml:space="preserve">DIREITO ADMINISTRATIVO</w:t>
      </w:r>
    </w:p>
    <w:p>
      <w:pPr>
        <w:spacing w:after="200"/>
        <w:jc w:val="center"/>
      </w:pPr>
      <w:r>
        <w:rPr>
          <w:b/>
          <w:bCs/>
          <w:color w:val="9C6B1F"/>
          <w:sz w:val="44"/>
          <w:szCs w:val="44"/>
        </w:rPr>
        <w:t xml:space="preserve">IMPROBIDADE ADMINISTRATIVA</w:t>
      </w:r>
    </w:p>
    <w:p>
      <w:pPr>
        <w:spacing w:after="100"/>
        <w:jc w:val="center"/>
      </w:pPr>
      <w:r>
        <w:rPr>
          <w:sz w:val="26"/>
          <w:szCs w:val="26"/>
        </w:rPr>
        <w:t xml:space="preserve">Curadoria de Jurisprudência para Concursos de Magistratura Estadual (Banca FGV)</w:t>
      </w:r>
    </w:p>
    <w:p>
      <w:pPr>
        <w:spacing w:after="60"/>
        <w:jc w:val="center"/>
      </w:pPr>
      <w:r>
        <w:rPr>
          <w:color w:val="595959"/>
          <w:sz w:val="20"/>
          <w:szCs w:val="20"/>
        </w:rPr>
        <w:t xml:space="preserve">Janela de pesquisa: junho/2021 a junho/2026  |  Fonte: Buscador Dizer o Direito</w:t>
      </w:r>
    </w:p>
    <w:p>
      <w:pPr>
        <w:spacing w:after="60"/>
        <w:jc w:val="center"/>
      </w:pPr>
      <w:r>
        <w:rPr>
          <w:b/>
          <w:bCs/>
          <w:color w:val="595959"/>
          <w:sz w:val="20"/>
          <w:szCs w:val="20"/>
        </w:rPr>
        <w:t xml:space="preserve">Data da curadoria: 06/08/2026</w:t>
      </w:r>
    </w:p>
    <w:p>
      <w:pPr>
        <w:spacing w:after="600"/>
        <w:jc w:val="center"/>
      </w:pPr>
      <w:r>
        <w:rPr>
          <w:i/>
          <w:iCs/>
          <w:color w:val="595959"/>
          <w:sz w:val="18"/>
          <w:szCs w:val="18"/>
        </w:rPr>
        <w:t xml:space="preserve">Preparado para Felipe — uso pessoal de estudo</w:t>
      </w:r>
    </w:p>
    <w:p>
      <w:r>
        <w:br w:type="page"/>
      </w: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Nota Metodológica</w:t>
      </w:r>
    </w:p>
    <w:p>
      <w:pPr>
        <w:spacing w:after="120"/>
      </w:pPr>
      <w:r>
        <w:t xml:space="preserve">Este dossiê reúne os julgados de maior potencial de cobrança em prova de Magistratura Estadual (banca FGV) sobre Improbidade Administrativa, publicados no Buscador Dizer o Direito. Foram coletados todos os julgados vinculados a informativos na categoria "Direito Administrativo &gt; Improbidade administrativa" (94 resultados), no período de junho/2021 a junho/2026 para casos isolados (ampliado quando necessário para contextualizar precedentes-base) e sem limite de retrospecto para repercussão geral, recursos repetitivos e controle concentrado.</w:t>
      </w:r>
    </w:p>
    <w:p>
      <w:pPr>
        <w:spacing w:after="120"/>
      </w:pPr>
      <w:r>
        <w:t xml:space="preserve">Critérios de seleção: (a) teses já cobradas em provas objetivas ou discursivas/sentenças da FGV (verificado a partir de caderno de questões anexado); (b) repercussão geral, recursos repetitivos ou controle concentrado; (c) teses recentes semelhantes a outras já cobradas; (d) teses recentes vocacionadas a cobrança, dado seu impacto sobre a reforma promovida pela Lei nº 14.230/2021.</w:t>
      </w:r>
    </w:p>
    <w:p>
      <w:pPr>
        <w:spacing w:after="120"/>
      </w:pPr>
      <w:r>
        <w:t xml:space="preserve">Fichas marcadas com [VERIFICAR] indicam dados de citação (processo/relator/data) incompletos no momento da consulta ou entendimentos consolidados sem acórdão-fonte individualizado localizado no Buscador; por regra de segurança de importação, essas fichas NÃO constam do arquivo .txt de importação em massa, permanecendo apenas neste documento Word.</w:t>
      </w:r>
    </w:p>
    <w:p>
      <w:pPr>
        <w:spacing w:after="120"/>
      </w:pPr>
      <w:r>
        <w:t xml:space="preserve">Nota sobre taxonomia: a matéria "Improbidade Administrativa" aparece na taxonomia fornecida (taxonomia.js) sob duas divisões (L2) distintas dentro de Direito Administrativo: "Probidade e Responsabilidade Civil" (item genérico, cobrindo noções gerais, competência e temas diversos) e "Controle da Administração" (que contém dois itens específicos pós-reforma: "Sujeitos, Elemento Subjetivo e Atos" e "Sanções, Aspectos Processuais e Acordo (ANPC)"). Como a lista é fechada e cada ficha exige exatamente um caminho, adotou-se o seguinte critério de alocação, registrado aqui como ressalva: fichas sobre sujeitos, dolo/elemento subjetivo e tipicidade dos arts. 9º/10/11 foram alocadas em "Controle da Administração"; fichas sobre indisponibilidade, sanções, prescrição, procedimento e ANPC também em "Controle da Administração"; fichas sobre noções gerais, competência e temas diversos (não enquadráveis nos itens específicos) foram alocadas em "Probidade e Responsabilidade Civil". Essa alocação está refletida no arquivo de importação (marcadores ### L2).</w:t>
      </w:r>
    </w:p>
    <w:p>
      <w:r>
        <w:br w:type="page"/>
      </w:r>
    </w:p>
    <w:p>
      <w:pPr>
        <w:pStyle w:val="Heading1"/>
        <w:spacing w:after="200" w:before="200"/>
      </w:pPr>
      <w:r>
        <w:t xml:space="preserve">Noções Gerais e Natureza Jurídica</w:t>
      </w:r>
    </w:p>
    <w:p>
      <w:pPr>
        <w:pStyle w:val="Heading3"/>
        <w:spacing w:after="80" w:before="200"/>
      </w:pPr>
      <w:r>
        <w:rPr>
          <w:rFonts w:ascii="Segoe UI Emoji" w:cs="Segoe UI Emoji" w:eastAsia="Segoe UI Emoji" w:hAnsi="Segoe UI Emoji"/>
        </w:rPr>
        <w:t xml:space="preserve">📌 </w:t>
      </w:r>
      <w:r>
        <w:t xml:space="preserve">Constitucionalidade dos arts. 2º, 12, 13, 15 e 21 da LIA</w:t>
      </w:r>
    </w:p>
    <w:p>
      <w:pPr>
        <w:spacing w:after="80"/>
      </w:pPr>
      <w:r>
        <w:rPr>
          <w:b/>
          <w:bCs/>
        </w:rPr>
        <w:t xml:space="preserve">Tribunal: </w:t>
      </w:r>
      <w:r>
        <w:t xml:space="preserve">STF  |  Órgão: Plenário</w:t>
      </w:r>
    </w:p>
    <w:p>
      <w:pPr>
        <w:spacing w:after="80"/>
      </w:pPr>
      <w:r>
        <w:rPr>
          <w:b/>
          <w:bCs/>
        </w:rPr>
        <w:t xml:space="preserve">Processo: </w:t>
      </w:r>
      <w:r>
        <w:t xml:space="preserve">ADI 4.295/DF  |  Relator: Min. Marco Aurélio (red. p/ o acórdão Min. Gilmar Mendes)  |  Data: 22/08/2023</w:t>
      </w:r>
    </w:p>
    <w:p>
      <w:pPr>
        <w:spacing w:after="80"/>
      </w:pPr>
      <w:r>
        <w:rPr>
          <w:b/>
          <w:bCs/>
        </w:rPr>
        <w:t xml:space="preserve">Sistemática: </w:t>
      </w:r>
      <w:r>
        <w:t xml:space="preserve">Controle Concentrado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São constitucionais os dispositivos da LIA que ampliam o conceito de agente público, impõem obrigações de declaração patrimonial para posse e exercício de cargo e preveem sanções autônomas em relação às esferas penal, civil e administrativa, com acompanhamento pelo MP e pelo Tribunal de Contas.</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Ação direta ajuizada contra diversos dispositivos da Lei 8.429/92 questionando, entre outros pontos, a amplitude do conceito de agente público, a exigência de declaração de bens para posse em cargo público e a cumulação de sanções com outras esferas de responsabilização. O STF julgou improcedente a ADI quanto aos dispositivos impugnados, reafirmando a compatibilidade do modelo de responsabilização múltipla e autônoma da LIA com o art. 37, §4º, da CF/88, inclusive quanto ao controle do MP e do Tribunal de Contas sobre o cumprimento das obrigações de transparência patrimonial.</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37, §4º, CF/88; independência de instâncias; art. 1º, §4º e art. 3º da LIA (conceito de agente público e de terceiro).</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Legitimidade concorrente da pessoa jurídica interessada e inexistência de obrigatoriedade de defesa pela assessoria jurídica</w:t>
      </w:r>
    </w:p>
    <w:p>
      <w:pPr>
        <w:spacing w:after="80"/>
      </w:pPr>
      <w:r>
        <w:rPr>
          <w:b/>
          <w:bCs/>
        </w:rPr>
        <w:t xml:space="preserve">Tribunal: </w:t>
      </w:r>
      <w:r>
        <w:t xml:space="preserve">STF  |  Órgão: Plenário</w:t>
      </w:r>
    </w:p>
    <w:p>
      <w:pPr>
        <w:spacing w:after="80"/>
      </w:pPr>
      <w:r>
        <w:rPr>
          <w:b/>
          <w:bCs/>
        </w:rPr>
        <w:t xml:space="preserve">Processo: </w:t>
      </w:r>
      <w:r>
        <w:t xml:space="preserve">ADI 7.042/DF e ADI 7.043/DF  |  Relator: Min. Alexandre de Moraes  |  Data: 31/08/2022</w:t>
      </w:r>
    </w:p>
    <w:p>
      <w:pPr>
        <w:spacing w:after="80"/>
      </w:pPr>
      <w:r>
        <w:rPr>
          <w:b/>
          <w:bCs/>
        </w:rPr>
        <w:t xml:space="preserve">Sistemática: </w:t>
      </w:r>
      <w:r>
        <w:t xml:space="preserve">Controle Concentrado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É inconstitucional restringir ao MP a legitimidade para propor ação de improbidade e celebrar ANPC; a pessoa jurídica interessada mantém legitimidade concorrente e disjuntiva. É inconstitucional, sem redução de texto, impor à assessoria jurídica que emitiu parecer prévio a obrigatoriedade de defender judicialmente o administrador processado por improbidade.</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 Lei 14.230/2021 alterou o art. 17 da LIA para atribuir exclusivamente ao Ministério Público a legitimidade para propor a ação de improbidade e celebrar acordos de não persecução cível, além de impor à assessoria jurídica que atestou a legalidade prévia do ato a obrigação de depois defender judicialmente o agente processado. O STF, em duas ADIs julgadas conjuntamente, declarou inconstitucionais essas restrições, restabelecendo a legitimidade concorrente e disjuntiva do ente lesado e afastando a obrigatoriedade de defesa pela advocacia pública.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17, caput e §20, da LIA; art. 17-B (ANPC); Lei 7.347/85 (legitimidade concorrente na ACP).</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Colaboração premiada em ação civil de improbidade administrativa</w:t>
      </w:r>
    </w:p>
    <w:p>
      <w:pPr>
        <w:spacing w:after="80"/>
      </w:pPr>
      <w:r>
        <w:rPr>
          <w:b/>
          <w:bCs/>
        </w:rPr>
        <w:t xml:space="preserve">Tribunal: </w:t>
      </w:r>
      <w:r>
        <w:t xml:space="preserve">STF  |  Órgão: Plenário</w:t>
      </w:r>
    </w:p>
    <w:p>
      <w:pPr>
        <w:spacing w:after="80"/>
      </w:pPr>
      <w:r>
        <w:rPr>
          <w:b/>
          <w:bCs/>
        </w:rPr>
        <w:t xml:space="preserve">Processo: </w:t>
      </w:r>
      <w:r>
        <w:t xml:space="preserve">ARE 1.175.650/PR  |  Relator: Min. Alexandre de Moraes  |  Data: 01/07/2023</w:t>
      </w:r>
    </w:p>
    <w:p>
      <w:pPr>
        <w:spacing w:after="80"/>
      </w:pPr>
      <w:r>
        <w:rPr>
          <w:b/>
          <w:bCs/>
        </w:rPr>
        <w:t xml:space="preserve">Sistemática: </w:t>
      </w:r>
      <w:r>
        <w:t xml:space="preserve">Repercussão Geral – Tema 1043</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É constitucional a utilização da colaboração premiada (Lei 12.850/2013) na ação civil pública por improbidade administrativa ajuizada pelo MP, desde que: homologação judicial com oitiva sigilosa do colaborador; declarações isoladas não bastam para lastrear a ação; o ressarcimento integral do dano não é transacionável (apenas modo e condições de pagamento); o acordo deve ter interveniência da pessoa jurídica interessada.</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Discutia-se se o instrumento da colaboração premiada, criado para a esfera penal, poderia ser utilizado para fundamentar ação de improbidade administrativa movida pelo Ministério Público. O STF fixou tese em repercussão geral admitindo a colaboração premiada nesse contexto civil, desde que observadas garantias de homologação judicial, existência de lastro probatório além das declarações do colaborador, integralidade do ressarcimento do dano e participação da pessoa jurídica lesada no acordo.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Lei 12.850/2013; art. 17-B da LIA (ANPC); acordo de leniência da Lei 12.846/2013.</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Bis in idem entre crime eleitoral de caixa dois e improbidade administrativa</w:t>
      </w:r>
    </w:p>
    <w:p>
      <w:pPr>
        <w:spacing w:after="80"/>
      </w:pPr>
      <w:r>
        <w:rPr>
          <w:b/>
          <w:bCs/>
        </w:rPr>
        <w:t xml:space="preserve">Tribunal: </w:t>
      </w:r>
      <w:r>
        <w:t xml:space="preserve">STF  |  Órgão: Plenário</w:t>
      </w:r>
    </w:p>
    <w:p>
      <w:pPr>
        <w:spacing w:after="80"/>
      </w:pPr>
      <w:r>
        <w:rPr>
          <w:b/>
          <w:bCs/>
        </w:rPr>
        <w:t xml:space="preserve">Processo: </w:t>
      </w:r>
      <w:r>
        <w:t xml:space="preserve">ARE 1.428.742/SP  |  Relator: Min. Alexandre de Moraes  |  Data: 09/02/2026</w:t>
      </w:r>
    </w:p>
    <w:p>
      <w:pPr>
        <w:spacing w:after="80"/>
      </w:pPr>
      <w:r>
        <w:rPr>
          <w:b/>
          <w:bCs/>
        </w:rPr>
        <w:t xml:space="preserve">Sistemática: </w:t>
      </w:r>
      <w:r>
        <w:t xml:space="preserve">Repercussão Geral – Tema 1.260</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(I) É possível a dupla responsabilização por crime eleitoral de caixa dois (art. 350 do Código Eleitoral) e por ato de improbidade administrativa; (II) o reconhecimento, na esfera eleitoral, de inexistência do fato ou negativa de autoria repercute na esfera administrativa; (III) compete à Justiça Comum processar e julgar a ação de improbidade por ato que também configure crime eleitoral.</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Vereador recebeu doação eleitoral não declarada (caixa dois), possivelmente vinculada a favorecimentos de empresa em negócios com a Prefeitura. Além da responsabilização eleitoral, discutiu-se a possibilidade de ação de improbidade administrativa pelos mesmos fatos e a competência para processá-la. O STF fixou tese em repercussão geral afastando o bis in idem, por se tratar de esferas de responsabilização distintas, e definiu a competência da Justiça Comum para a ação de improbidade, ressalvando a comunicação de efeitos apenas quando a Justiça Eleitoral reconhecer inexistência do fato ou negativa de autoria.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Independência de instâncias; art. 21, §3º e §4º (suspenso por liminar na ADI 7.236) da LIA; art. 350 do Código Eleitoral.</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Uso simultâneo da LIA e da Lei Anticorrupção na mesma ação civil não configura bis in idem por si só</w:t>
      </w:r>
    </w:p>
    <w:p>
      <w:pPr>
        <w:spacing w:after="80"/>
      </w:pPr>
      <w:r>
        <w:rPr>
          <w:b/>
          <w:bCs/>
        </w:rPr>
        <w:t xml:space="preserve">Tribunal: </w:t>
      </w:r>
      <w:r>
        <w:t xml:space="preserve">STJ  |  Órgão: 1ª Turma</w:t>
      </w:r>
    </w:p>
    <w:p>
      <w:pPr>
        <w:spacing w:after="80"/>
      </w:pPr>
      <w:r>
        <w:rPr>
          <w:b/>
          <w:bCs/>
        </w:rPr>
        <w:t xml:space="preserve">Processo: </w:t>
      </w:r>
      <w:r>
        <w:t xml:space="preserve">REsp 2.107.398-RJ  |  Relator: Min. Gurgel de Faria  |  Data: 18/02/2025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utilização conjunta da Lei 8.429/92 e da Lei 12.846/2013 em uma mesma ação civil pública não viola, por si só, o princípio do non bis in idem; o controle da não duplicação de sanções idênticas deve ocorrer no momento da aplicação da pena, não na fase de admissibilidade da ação.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O Ministério Público ajuizou ação civil cumulando pedidos com fundamento na Lei de Improbidade e na Lei Anticorrupção contra sociedade empresária e seu diretor, por pagamento de propina a autoridades administrativas. A defesa alegou violação ao non bis in idem pela cumulação de regimes sancionatórios. O STJ afastou a tese, esclarecendo que a compatibilidade normativa decorre do art. 3º, §2º, da LIA, e que eventual sobreposição de sanções idênticas deve ser resolvida no momento da dosimetria, e não pela vedação de ajuizamento conjunto.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em prova FGV: JF TRF1/2025 (Q2) e Proc PGE AC/2026 (Q47) sobre non bis in idem LIA x Lei Anticorrupção; art. 3º, §2º, da LIA; art. 30, I, da Lei 12.846/2013.</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Absolvição em mandado de segurança sobre proporcionalidade da pena não impede ação de improbidade pelos mesmos fatos</w:t>
      </w:r>
    </w:p>
    <w:p>
      <w:pPr>
        <w:spacing w:after="80"/>
      </w:pPr>
      <w:r>
        <w:rPr>
          <w:b/>
          <w:bCs/>
        </w:rPr>
        <w:t xml:space="preserve">Tribunal: </w:t>
      </w:r>
      <w:r>
        <w:t xml:space="preserve">STJ  |  Órgão: 1ª Turma</w:t>
      </w:r>
    </w:p>
    <w:p>
      <w:pPr>
        <w:spacing w:after="80"/>
      </w:pPr>
      <w:r>
        <w:rPr>
          <w:b/>
          <w:bCs/>
        </w:rPr>
        <w:t xml:space="preserve">Processo: </w:t>
      </w:r>
      <w:r>
        <w:t xml:space="preserve">AgInt no AgInt no REsp 1.928.279-RS  |  Relator: Min. Sérgio Kukina  |  Data: 02/06/2026</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O reconhecimento, em mandado de segurança impetrado contra demissão em PAD, de que a conduta não configurava improbidade administrativa para fins de dosimetria da pena disciplinar não impede o ajuizamento nem o prosseguimento de ação de improbidade administrativa pelos mesmos fatos, por não haver coisa julgada sobre a inexistência da conduta ou negativa de autoria.</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Servidor federal foi demitido após PAD por conduta considerada ímproba. Impetrou mandado de segurança e obteve o afastamento da demissão, com redimensionamento da punição, sem que o STJ tenha negado a existência dos fatos ou a autoria. Posteriormente, a União ajuizou ação de improbidade pelos mesmos fatos, e o réu invocou coisa julgada com base no art. 21, §3º, da LIA. O STJ afastou a alegação, por entender que os motivos da decisão do mandado de segurança não fazem coisa julgada (art. 504, I, do CPC) quando o debate se limitou à proporcionalidade da sanção disciplinar.</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21, §3º, da LIA; art. 504, I, do CPC; independência das instâncias administrativa, cível e penal.</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Prosseguimento de ação de improbidade exclusivamente contra particular quando agentes públicos respondem em demanda conexa</w:t>
      </w:r>
    </w:p>
    <w:p>
      <w:pPr>
        <w:spacing w:after="80"/>
      </w:pPr>
      <w:r>
        <w:rPr>
          <w:b/>
          <w:bCs/>
        </w:rPr>
        <w:t xml:space="preserve">Tribunal: </w:t>
      </w:r>
      <w:r>
        <w:t xml:space="preserve">STJ  |  Órgão: 1ª Turma</w:t>
      </w:r>
    </w:p>
    <w:p>
      <w:pPr>
        <w:spacing w:after="80"/>
      </w:pPr>
      <w:r>
        <w:rPr>
          <w:b/>
          <w:bCs/>
        </w:rPr>
        <w:t xml:space="preserve">Processo: </w:t>
      </w:r>
      <w:r>
        <w:t xml:space="preserve">AREsp 1.402.806-TO  |  Relator: Min. Manoel Erhardt (Des. convocado do TRF5)  |  Data: 19/10/2021</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É inviável, em regra, o manejo de ação de improbidade exclusivamente contra particular, sem a concomitante presença de agente público no polo passivo; contudo, essa exigência é satisfeita quando os agentes públicos já respondem por fatos idênticos em ação conexa, ainda que distinta.</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O DNIT contratou empresa para supervisionar obra rodoviária; foram propostas duas ações de improbidade sobre os mesmos fatos — uma pelo DNIT contra os agentes públicos, outra pelo MPF contra os agentes públicos e o particular beneficiado. Diante da existência de ação prévia contra os agentes públicos, o juiz recebeu a segunda ação apenas contra o particular. O Tribunal de origem extinguiu a ação por entender inviável demandar somente o particular, mas o STJ reformou a decisão, por reconhecer que a exigência de litisconsórcio necessário com agente público estava satisfeita pela ação conexa.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3º da LIA (terceiro); Súmula 634-STJ (regime prescricional do particular).</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Sujeitos da Improbidade Administrativa</w:t>
      </w:r>
    </w:p>
    <w:p>
      <w:pPr>
        <w:pStyle w:val="Heading3"/>
        <w:spacing w:after="80" w:before="200"/>
      </w:pPr>
      <w:r>
        <w:rPr>
          <w:rFonts w:ascii="Segoe UI Emoji" w:cs="Segoe UI Emoji" w:eastAsia="Segoe UI Emoji" w:hAnsi="Segoe UI Emoji"/>
        </w:rPr>
        <w:t xml:space="preserve">📌 </w:t>
      </w:r>
      <w:r>
        <w:t xml:space="preserve">Agente de fato necessário: voluntário que se apropria de doações em situação de calamidade responde por improbidade</w:t>
      </w:r>
    </w:p>
    <w:p>
      <w:pPr>
        <w:spacing w:after="80"/>
      </w:pPr>
      <w:r>
        <w:rPr>
          <w:b/>
          <w:bCs/>
        </w:rPr>
        <w:t xml:space="preserve">Tribunal: </w:t>
      </w:r>
      <w:r>
        <w:t xml:space="preserve">—  |  Órgão: —</w:t>
      </w:r>
    </w:p>
    <w:p>
      <w:pPr>
        <w:spacing w:after="80"/>
      </w:pPr>
      <w:r>
        <w:rPr>
          <w:b/>
          <w:bCs/>
        </w:rPr>
        <w:t xml:space="preserve">Processo: </w:t>
      </w:r>
      <w:r>
        <w:t xml:space="preserve">[VERIFICAR — questão de prova, não localizado julgado específico no Buscador]  |  Relator: —  |  Data: —</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Segundo o entendimento cobrado pela FGV (JF/CSJT-2023), o particular que atua como voluntário em situação de calamidade pública, gerindo bens e recursos destinados a vítimas com a aquiescência do poder público, qualifica-se como agente de fato necessário, sujeito às sanções da LIA em caso de apropriação de bens doados.</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Voluntário que auxiliava distribuição de donativos após enchente apropriou-se de parte dos bens doados às vítimas. A doutrina e a jurisprudência de tribunais superiores reconhecem a figura do agente de fato necessário — que exerce função pública em situação de emergência sem vínculo formal — como sujeito ativo apto a responder por enriquecimento ilícito.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cobrado: FGV JT (CSJT)/2023, Q5 (Gabarito E); art. 2º e art. 3º da LIA; teoria do funcionário de fato.</w:t>
      </w:r>
    </w:p>
    <w:p>
      <w:pPr>
        <w:spacing w:after="100"/>
      </w:pPr>
      <w:r>
        <w:rPr>
          <w:rFonts w:ascii="Segoe UI Emoji" w:cs="Segoe UI Emoji" w:eastAsia="Segoe UI Emoji" w:hAnsi="Segoe UI Emoji"/>
        </w:rPr>
        <w:t xml:space="preserve">⚠ </w:t>
      </w:r>
      <w:r>
        <w:rPr>
          <w:b/>
          <w:bCs/>
          <w:color w:val="C00000"/>
        </w:rPr>
        <w:t xml:space="preserve">[VERIFICAR] Dado(s) de citação incompletos/pendentes de confirmação — não incluído no arquivo de importação (.txt).</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Pessoa jurídica não pode ser condenada por presunção de ciência e dever genérico de vigilância sobre representante</w:t>
      </w:r>
    </w:p>
    <w:p>
      <w:pPr>
        <w:spacing w:after="80"/>
      </w:pPr>
      <w:r>
        <w:rPr>
          <w:b/>
          <w:bCs/>
        </w:rPr>
        <w:t xml:space="preserve">Tribunal: </w:t>
      </w:r>
      <w:r>
        <w:t xml:space="preserve">STJ  |  Órgão: 2ª Turma</w:t>
      </w:r>
    </w:p>
    <w:p>
      <w:pPr>
        <w:spacing w:after="80"/>
      </w:pPr>
      <w:r>
        <w:rPr>
          <w:b/>
          <w:bCs/>
        </w:rPr>
        <w:t xml:space="preserve">Processo: </w:t>
      </w:r>
      <w:r>
        <w:t xml:space="preserve">AgInt no REsp 2.169.344-RJ  |  Relator: Min. Teodoro Silva Santos  |  Data: 12/05/2026</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pessoa jurídica não pode ser condenada por improbidade administrativa com base em presunção de ciência e em dever genérico de vigilância sobre atos de seu representante praticados em relações estranhas às atividades institucionais ou contratuais da entidade; a má escolha do representante revela, no máximo, culpa (negligência), incompatível com o atual regime, que exige dolo.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Representante de entidade privada, contratada para prestar consultoria a Município, passou a atuar também na execução de convênio federal — atividade estranha ao objeto da consultoria — e participou de fraude que desviou verbas. O MPF buscou responsabilizar também a pessoa jurídica, unicamente pela condição de representante de Pedro. O STJ afastou a condenação da entidade, por entender atípica a conduta, já que, após a Lei 14.230/2021, todos os atos de improbidade exigem dolo (Tema 1.199/STF), sendo insuficiente a presunção de ciência ou o dever genérico de vigilância.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1.199/STF (dolo obrigatório); art. 3º da LIA (terceiro); responsabilidade subjetiva da pessoa jurídica.</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Estagiário e agentes sem vínculo formal podem responder por improbidade administrativa</w:t>
      </w:r>
    </w:p>
    <w:p>
      <w:pPr>
        <w:spacing w:after="80"/>
      </w:pPr>
      <w:r>
        <w:rPr>
          <w:b/>
          <w:bCs/>
        </w:rPr>
        <w:t xml:space="preserve">Tribunal: </w:t>
      </w:r>
      <w:r>
        <w:t xml:space="preserve">STJ  |  Órgão: 2ª Turma</w:t>
      </w:r>
    </w:p>
    <w:p>
      <w:pPr>
        <w:spacing w:after="80"/>
      </w:pPr>
      <w:r>
        <w:rPr>
          <w:b/>
          <w:bCs/>
        </w:rPr>
        <w:t xml:space="preserve">Processo: </w:t>
      </w:r>
      <w:r>
        <w:t xml:space="preserve">REsp 1.352.035-RS  |  Relator: Min. Herman Benjamin  |  Data: 18/08/2015</w:t>
      </w:r>
    </w:p>
    <w:p>
      <w:pPr>
        <w:spacing w:after="80"/>
      </w:pPr>
      <w:r>
        <w:rPr>
          <w:b/>
          <w:bCs/>
        </w:rPr>
        <w:t xml:space="preserve">Sistemática: </w:t>
      </w:r>
      <w:r>
        <w:t xml:space="preserve">Caso Isolado [VERIFICAR — julgado anterior à janela de 5 anos; incluído apenas como referência doutrinária consolidada, sem ficha de importação]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O estagiário que atua no serviço público, ainda que transitoriamente e sem remuneração, está sujeito a responsabilização por improbidade administrativa, pois o conceito de agente público abrange todo aquele que exerce função pública por qualquer forma de investidura, ainda que transitória.</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Julgado paradigmático, ainda hoje citado pelo Buscador Dizer o Direito como referência do amplo conceito de agente público para fins de improbidade, que também alcança o terceiro que induz, concorre ou se beneficia do ato ímprobo (art. 3º da LIA). Mantido no material por relevância doutrinária, embora anterior à janela de 5 anos considerada nesta curadoria.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2º e art. 3º da LIA; conceito amplo de agente público.</w:t>
      </w:r>
    </w:p>
    <w:p>
      <w:pPr>
        <w:spacing w:after="100"/>
      </w:pPr>
      <w:r>
        <w:rPr>
          <w:rFonts w:ascii="Segoe UI Emoji" w:cs="Segoe UI Emoji" w:eastAsia="Segoe UI Emoji" w:hAnsi="Segoe UI Emoji"/>
        </w:rPr>
        <w:t xml:space="preserve">⚠ </w:t>
      </w:r>
      <w:r>
        <w:rPr>
          <w:b/>
          <w:bCs/>
          <w:color w:val="C00000"/>
        </w:rPr>
        <w:t xml:space="preserve">[VERIFICAR] Dado(s) de citação incompletos/pendentes de confirmação — não incluído no arquivo de importação (.txt).</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Elemento Subjetivo (Dolo) e Retroatividade da Lei 14.230/2021</w:t>
      </w:r>
    </w:p>
    <w:p>
      <w:pPr>
        <w:pStyle w:val="Heading3"/>
        <w:spacing w:after="80" w:before="200"/>
      </w:pPr>
      <w:r>
        <w:rPr>
          <w:rFonts w:ascii="Segoe UI Emoji" w:cs="Segoe UI Emoji" w:eastAsia="Segoe UI Emoji" w:hAnsi="Segoe UI Emoji"/>
        </w:rPr>
        <w:t xml:space="preserve">📌 </w:t>
      </w:r>
      <w:r>
        <w:t xml:space="preserve">Tema 1.199/STF: dolo obrigatório em todos os atos de improbidade e irretroatividade do novo regime prescricional</w:t>
      </w:r>
    </w:p>
    <w:p>
      <w:pPr>
        <w:spacing w:after="80"/>
      </w:pPr>
      <w:r>
        <w:rPr>
          <w:b/>
          <w:bCs/>
        </w:rPr>
        <w:t xml:space="preserve">Tribunal: </w:t>
      </w:r>
      <w:r>
        <w:t xml:space="preserve">STF  |  Órgão: Plenário</w:t>
      </w:r>
    </w:p>
    <w:p>
      <w:pPr>
        <w:spacing w:after="80"/>
      </w:pPr>
      <w:r>
        <w:rPr>
          <w:b/>
          <w:bCs/>
        </w:rPr>
        <w:t xml:space="preserve">Processo: </w:t>
      </w:r>
      <w:r>
        <w:t xml:space="preserve">ARE 843.989/PR  |  Relator: Min. Alexandre de Moraes  |  Data: 18/08/2022</w:t>
      </w:r>
    </w:p>
    <w:p>
      <w:pPr>
        <w:spacing w:after="80"/>
      </w:pPr>
      <w:r>
        <w:rPr>
          <w:b/>
          <w:bCs/>
        </w:rPr>
        <w:t xml:space="preserve">Sistemática: </w:t>
      </w:r>
      <w:r>
        <w:t xml:space="preserve">Repercussão Geral – Tema 1.199</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1) É necessária a comprovação de dolo (arts. 9º, 10 e 11 da LIA), não subsistindo a modalidade culposa; 2) a revogação da modalidade culposa é irretroativa, não afetando coisa julgada nem execução de penas já definitivas; 3) a Lei 14.230/2021 aplica-se aos atos culposos praticados na vigência da lei anterior, desde que sem trânsito em julgado, cabendo ao juízo competente examinar o dolo; 4) o novo regime prescricional é irretroativo.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Julgamento central da reforma da LIA. O STF definiu os marcos de aplicação no tempo da Lei 14.230/2021, que extinguiu a modalidade culposa de improbidade administrativa e alterou substancialmente o regime sancionatório e prescricional. A tese fixada tornou-se a referência obrigatória para todos os processos em curso à época da reforma, distinguindo entre normas processuais (aplicação imediata) e normas de direito material benéficas (retroatividade limitada aos processos sem trânsito em julgado).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É a base de praticamente toda a jurisprudência posterior sobre direito intertemporal na LIA (continuidade típico-normativa, dolo específico, prescrição); arts. 1º, §§1º e 2º, 9º, 10 e 11 da LIA; art. 5º, XXXVI, CF/88.</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Nomeação de parentes para cargos políticos não configura, por si só, improbidade: exige-se dolo específico</w:t>
      </w:r>
    </w:p>
    <w:p>
      <w:pPr>
        <w:spacing w:after="80"/>
      </w:pPr>
      <w:r>
        <w:rPr>
          <w:b/>
          <w:bCs/>
        </w:rPr>
        <w:t xml:space="preserve">Tribunal: </w:t>
      </w:r>
      <w:r>
        <w:t xml:space="preserve">STJ  |  Órgão: 1ª Turma</w:t>
      </w:r>
    </w:p>
    <w:p>
      <w:pPr>
        <w:spacing w:after="80"/>
      </w:pPr>
      <w:r>
        <w:rPr>
          <w:b/>
          <w:bCs/>
        </w:rPr>
        <w:t xml:space="preserve">Processo: </w:t>
      </w:r>
      <w:r>
        <w:t xml:space="preserve">AgInt no REsp 2.154.497-MG  |  Relator: Min. Paulo Sérgio Domingues  |  Data: 16/06/2026</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As alterações benéficas da Lei 14.230/2021 aplicam-se também ao art. 11 da LIA; a condenação por violação a princípios exige dolo específico de obter proveito indevido, não bastando a mera voluntariedade; em cargos políticos, o nepotismo depende de exame do caso concreto, exigindo fraude ou manifesta ausência de qualificação técnica do nomeado.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Prefeito nomeou as próprias filhas para secretarias municipais; o MP alegou nepotismo (art. 11, XI, LIA, incluído pela reforma), sustentando que a mera nomeação já demonstraria dolo. O STJ manteve a improcedência, por ausência de fraude ou de falta de qualificação técnica das nomeadas, aplicando à hipótese o mesmo raciocínio da Súmula Vinculante 13, que excepciona cargos de natureza política.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muito similar ao cobrado em provas FGV sobre nepotismo em cargos políticos; Súmula Vinculante 13/STF; art. 11, §§1º e 2º e inciso XI, da LIA; Tema 1.199/STF.</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Aplicação da exigência de dolo específico aos processos em curso, mesmo sem debate expresso no Tema 1.199</w:t>
      </w:r>
    </w:p>
    <w:p>
      <w:pPr>
        <w:spacing w:after="80"/>
      </w:pPr>
      <w:r>
        <w:rPr>
          <w:b/>
          <w:bCs/>
        </w:rPr>
        <w:t xml:space="preserve">Tribunal: </w:t>
      </w:r>
      <w:r>
        <w:t xml:space="preserve">STJ  |  Órgão: 1ª Turma</w:t>
      </w:r>
    </w:p>
    <w:p>
      <w:pPr>
        <w:spacing w:after="80"/>
      </w:pPr>
      <w:r>
        <w:rPr>
          <w:b/>
          <w:bCs/>
        </w:rPr>
        <w:t xml:space="preserve">Processo: </w:t>
      </w:r>
      <w:r>
        <w:t xml:space="preserve">REsp 2.107.601-MG  |  Relator: Min. Gurgel de Faria  |  Data: 23/04/2024</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Embora o Tema 1.199/STF tenha tratado apenas da modalidade culposa, o mesmo raciocínio de retroatividade das normas benéficas se estende à exigência de dolo específico introduzida pela Lei 14.230/2021: réu sem trânsito em julgado deve ser absolvido se não demonstrado o dolo específico, ainda que haja condenação anterior.</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Discutia-se se a exigência, trazida pela Lei 14.230/2021, de dolo específico (finalidade de obter proveito ou benefício indevido) para configuração de improbidade poderia beneficiar processos em curso ao tempo da reforma, tema não expressamente enfrentado no Tema 1.199/STF, que versava sobre a modalidade culposa. O STJ estendeu o mesmo racional, absolvendo o réu quando ausente comprovação do dolo específico em processo ainda sem coisa julgada.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1.199/STF; art. 11, §§1º e 2º, da LIA; continuidade típico-normativa.</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Inconstitucionalidade da modalidade culposa mesmo antes da Lei 14.230/2021; constitucionalidade da contratação direta de advogados</w:t>
      </w:r>
    </w:p>
    <w:p>
      <w:pPr>
        <w:spacing w:after="80"/>
      </w:pPr>
      <w:r>
        <w:rPr>
          <w:b/>
          <w:bCs/>
        </w:rPr>
        <w:t xml:space="preserve">Tribunal: </w:t>
      </w:r>
      <w:r>
        <w:t xml:space="preserve">STF  |  Órgão: Plenário</w:t>
      </w:r>
    </w:p>
    <w:p>
      <w:pPr>
        <w:spacing w:after="80"/>
      </w:pPr>
      <w:r>
        <w:rPr>
          <w:b/>
          <w:bCs/>
        </w:rPr>
        <w:t xml:space="preserve">Processo: </w:t>
      </w:r>
      <w:r>
        <w:t xml:space="preserve">RE 610.523/SP e RE 656.558/SP  |  Relator: Min. Dias Toffoli  |  Data: 28/10/2024</w:t>
      </w:r>
    </w:p>
    <w:p>
      <w:pPr>
        <w:spacing w:after="80"/>
      </w:pPr>
      <w:r>
        <w:rPr>
          <w:b/>
          <w:bCs/>
        </w:rPr>
        <w:t xml:space="preserve">Sistemática: </w:t>
      </w:r>
      <w:r>
        <w:t xml:space="preserve">Repercussão Geral – Tema 309</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O dolo é necessário para configuração de qualquer ato de improbidade (art. 37, §4º, CF/88), sendo inconstitucional a modalidade culposa prevista na redação original dos arts. 5º e 10 da LIA; b) são constitucionais os dispositivos que autorizam a contratação direta de advogados por inexigibilidade de licitação, desde que observados os critérios de notória especialização, singularidade e preço compatível.</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O STF, ao examinar recursos sobre contratação direta de serviços advocatícios sem licitação, aproveitou para fixar tese de repercussão geral declarando que, mesmo antes da reforma de 2021, já era inconstitucional a responsabilização por improbidade culposa, reforçando a exigência constitucional de dolo (art. 37, §4º, CF/88) como pressuposto de qualquer ato de improbidade.</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1.199/STF; art. 13, V, e art. 25, II, da Lei 8.666/93; inexigibilidade de licitação para serviços advocatícios.</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Ausência de dolo específico afasta as sanções da LIA, mas não a obrigação civil de ressarcir o erário quando há dano comprovado</w:t>
      </w:r>
    </w:p>
    <w:p>
      <w:pPr>
        <w:spacing w:after="80"/>
      </w:pPr>
      <w:r>
        <w:rPr>
          <w:b/>
          <w:bCs/>
        </w:rPr>
        <w:t xml:space="preserve">Tribunal: </w:t>
      </w:r>
      <w:r>
        <w:t xml:space="preserve">STJ  |  Órgão: 1ª Turma</w:t>
      </w:r>
    </w:p>
    <w:p>
      <w:pPr>
        <w:spacing w:after="80"/>
      </w:pPr>
      <w:r>
        <w:rPr>
          <w:b/>
          <w:bCs/>
        </w:rPr>
        <w:t xml:space="preserve">Processo: </w:t>
      </w:r>
      <w:r>
        <w:t xml:space="preserve">AgInt no AREsp 1.994.350-SP  |  Relator: Min. Benedito Gonçalves  |  Data: 22/09/2025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atipicidade superveniente da conduta por ausência de dolo específico afasta as sanções típicas da LIA, mas não impede o prosseguimento da ação exclusivamente para fins de ressarcimento ao erário, que tem natureza civil e independe de punição.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Prefeito e sua esposa, à frente do Fundo Social de Solidariedade, contrataram sem licitação imóvel inadequado, gerando dano ao erário. Condenados com base em dolo genérico/culpa, viram a condenação por improbidade afastada após a exigência de dolo específico trazida pela Lei 14.230/2021. O STJ, contudo, manteve o prosseguimento da ação exclusivamente para o ressarcimento do dano efetivamente comprovado.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Muito similar ao caso cobrado em FGV JE TJGO/2026 (Q46, Gabarito C); Tema 1.199/STF; natureza civil autônoma do dever de ressarcir.</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Tipicidade dos Atos de Improbidade (arts. 9º, 10 e 11) e Continuidade Típico-Normativa</w:t>
      </w:r>
    </w:p>
    <w:p>
      <w:pPr>
        <w:pStyle w:val="Heading3"/>
        <w:spacing w:after="80" w:before="200"/>
      </w:pPr>
      <w:r>
        <w:rPr>
          <w:rFonts w:ascii="Segoe UI Emoji" w:cs="Segoe UI Emoji" w:eastAsia="Segoe UI Emoji" w:hAnsi="Segoe UI Emoji"/>
        </w:rPr>
        <w:t xml:space="preserve">📌 </w:t>
      </w:r>
      <w:r>
        <w:t xml:space="preserve">Exigência de perda patrimonial efetiva no art. 10 aplica-se aos processos em curso; fim do dano presumido</w:t>
      </w:r>
    </w:p>
    <w:p>
      <w:pPr>
        <w:spacing w:after="80"/>
      </w:pPr>
      <w:r>
        <w:rPr>
          <w:b/>
          <w:bCs/>
        </w:rPr>
        <w:t xml:space="preserve">Tribunal: </w:t>
      </w:r>
      <w:r>
        <w:t xml:space="preserve">STJ  |  Órgão: 1ª Turma</w:t>
      </w:r>
    </w:p>
    <w:p>
      <w:pPr>
        <w:spacing w:after="80"/>
      </w:pPr>
      <w:r>
        <w:rPr>
          <w:b/>
          <w:bCs/>
        </w:rPr>
        <w:t xml:space="preserve">Processo: </w:t>
      </w:r>
      <w:r>
        <w:t xml:space="preserve">REsp 1.929.685-TO  |  Relator: Min. Gurgel de Faria  |  Data: 27/08/2024</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exigência de prejuízo "efetiva e comprovadamente" causado ao erário, introduzida pela nova redação do caput do art. 10 da LIA (Lei 14.230/2021), aplica-se aos processos em curso; não se trata de retroatividade da lei nova, mas de abandono de construção jurisprudencial (dano in re ipsa) incompatível com o texto legal vigente.</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Réu havia sido condenado, antes da reforma, por ato lesivo ao erário sob a tese de dano presumido. Pendente recurso especial, sobreveio a Lei 14.230/2021, que passou a exigir prejuízo efetivo e comprovado. O STJ aplicou a nova exigência ao processo em curso, por entender que a jurisprudência do dano presumido era construção pretoriana sem base em texto legal expresso, devendo ceder à opção clara do legislador.</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recorrente em provas FGV (dano in re ipsa x dano efetivo); art. 10, VIII e XI, da LIA; Info 826/STJ (dano efetivo em frustração de licitação).</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Dispensa indevida de licitação com pagamento sem prestação de serviço: dano efetivo e continuidade típico-normativa</w:t>
      </w:r>
    </w:p>
    <w:p>
      <w:pPr>
        <w:spacing w:after="80"/>
      </w:pPr>
      <w:r>
        <w:rPr>
          <w:b/>
          <w:bCs/>
        </w:rPr>
        <w:t xml:space="preserve">Tribunal: </w:t>
      </w:r>
      <w:r>
        <w:t xml:space="preserve">STJ  |  Órgão: 2ª Turma</w:t>
      </w:r>
    </w:p>
    <w:p>
      <w:pPr>
        <w:spacing w:after="80"/>
      </w:pPr>
      <w:r>
        <w:rPr>
          <w:b/>
          <w:bCs/>
        </w:rPr>
        <w:t xml:space="preserve">Processo: </w:t>
      </w:r>
      <w:r>
        <w:t xml:space="preserve">AREsp 1.417.207-MG  |  Relator: Min. Francisco Falcão  |  Data: 17/09/2024</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conduta de frustrar ou dispensar indevidamente licitação continua tipificada como improbidade após a Lei 14.230/2021 (art. 10, VIII, e art. 11, V, da LIA), por continuidade típico-normativa; exige-se, porém, "perda patrimonial efetiva" (art. 10, caput), afastando-se a tese do dano presumido; a absolvição criminal por atipicidade não faz coisa julgada na esfera cível.</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Servidor dispensou indevidamente licitação, gerando pagamento sem efetiva prestação de serviço. Condenado com base no caput do art. 11 (redação antiga), a defesa alegou abolitio após a reforma. O STJ reconheceu a continuidade típico-normativa para o novo art. 10, VIII, e art. 11, V, exigindo, porém, comprovação de dano efetivo, e reafirmou a independência entre a absolvição penal por atipicidade e a responsabilização civil por improbidade.</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21, §4º, da LIA (suspenso por liminar na ADI 7.236); Tema 1.199/STF; continuidade típico-normativa.</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Revogação do art. 11, I: continuidade típico-normativa para o novo inciso XII (promoção pessoal)</w:t>
      </w:r>
    </w:p>
    <w:p>
      <w:pPr>
        <w:spacing w:after="80"/>
      </w:pPr>
      <w:r>
        <w:rPr>
          <w:b/>
          <w:bCs/>
        </w:rPr>
        <w:t xml:space="preserve">Tribunal: </w:t>
      </w:r>
      <w:r>
        <w:t xml:space="preserve">STJ  |  Órgão: 1ª Turma</w:t>
      </w:r>
    </w:p>
    <w:p>
      <w:pPr>
        <w:spacing w:after="80"/>
      </w:pPr>
      <w:r>
        <w:rPr>
          <w:b/>
          <w:bCs/>
        </w:rPr>
        <w:t xml:space="preserve">Processo: </w:t>
      </w:r>
      <w:r>
        <w:t xml:space="preserve">AgInt no AREsp 1.206.630-SP  |  Relator: Min. Paulo Sérgio Domingues  |  Data: 27/02/2024</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Não obstante a revogação da hipótese genérica de violação a princípios do antigo caput/inciso I do art. 11, a nova previsão específica do inciso XII do art. 11 (violação à moralidade e impessoalidade pela promoção pessoal) evidencia continuidade típico-normativa da conduta, afastando a abolitio.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Ex-prefeito respondia por improbidade por fazer promoção pessoal em publicidade institucional, com base no revogado inciso I do art. 11. Após a Lei 14.230/2021, alegou abolitio da conduta. O STJ manteve a condenação, reconhecendo que a mesma conduta passou a ser tipificada, de forma específica, pelo novo inciso XII do art. 11.</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37, §1º, CF/88 (vedação à promoção pessoal); Tema 1.199/STF; caso similar ao de placas de obra cobrado na FGV JE TJPR/2023 (Q11).</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Revogação do inciso II do art. 11 (retardar ou deixar de praticar ato de ofício): abolitio sem possibilidade de reenquadramento em recurso exclusivo da defesa</w:t>
      </w:r>
    </w:p>
    <w:p>
      <w:pPr>
        <w:spacing w:after="80"/>
      </w:pPr>
      <w:r>
        <w:rPr>
          <w:b/>
          <w:bCs/>
        </w:rPr>
        <w:t xml:space="preserve">Tribunal: </w:t>
      </w:r>
      <w:r>
        <w:t xml:space="preserve">STJ  |  Órgão: 2ª Turma</w:t>
      </w:r>
    </w:p>
    <w:p>
      <w:pPr>
        <w:spacing w:after="80"/>
      </w:pPr>
      <w:r>
        <w:rPr>
          <w:b/>
          <w:bCs/>
        </w:rPr>
        <w:t xml:space="preserve">Processo: </w:t>
      </w:r>
      <w:r>
        <w:t xml:space="preserve">EDcl no AgInt nos EDcl no AREsp 1.486.065-SP  |  Relator: Min. Francisco Falcão (Rel. p/ acórdão Min. Maria Thereza de Assis Moura)  |  Data: 09/06/2026</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revogação do inciso II do art. 11 (retardar/deixar de praticar ato de ofício) e a taxatividade do novo rol impedem a continuidade típico-normativa quando a conduta não se enquadra em nenhum dos incisos vigentes; havendo recurso exclusivo da defesa, é vedado o reenquadramento para outro artigo da LIA, sob pena de reformatio in pejus.</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Oficial de justiça deixou de cumprir mandados e lançou certidões falsas de diligências, sendo condenado com base no revogado inciso II do art. 11. Com a reforma, esse inciso foi revogado e o rol tornou-se taxativo, sem correspondência para a conduta. Como apenas a defesa recorreu, o STJ afastou a condenação sem possibilidade de reclassificação para outro dispositivo, em respeito ao princípio do ne reformatio in pejus.</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Contraponto ao caso do inciso XII (promoção pessoal): aqui não há tipo de acolhida; princípio da taxatividade do rol do art. 11; ne reformatio in pejus.</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Tortura praticada por agente público deixou de ser ato de improbidade após a Lei 14.230/2021</w:t>
      </w:r>
    </w:p>
    <w:p>
      <w:pPr>
        <w:spacing w:after="80"/>
      </w:pPr>
      <w:r>
        <w:rPr>
          <w:b/>
          <w:bCs/>
        </w:rPr>
        <w:t xml:space="preserve">Tribunal: </w:t>
      </w:r>
      <w:r>
        <w:t xml:space="preserve">STJ  |  Órgão: 1ª Turma</w:t>
      </w:r>
    </w:p>
    <w:p>
      <w:pPr>
        <w:spacing w:after="80"/>
      </w:pPr>
      <w:r>
        <w:rPr>
          <w:b/>
          <w:bCs/>
        </w:rPr>
        <w:t xml:space="preserve">Processo: </w:t>
      </w:r>
      <w:r>
        <w:t xml:space="preserve">REsp 2.232.623-AL  |  Relator: Min. Regina Helena Costa  |  Data: 03/02/2026</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Com a taxatividade do rol do art. 11 trazida pela Lei 14.230/2021, a prática de tortura por agente público deixou de configurar improbidade administrativa por falta de enquadramento em qualquer inciso do dispositivo, não sendo possível reconhecer continuidade típico-normativa para condutas anteriores à reforma sem trânsito em julgado.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Antes da reforma, o STJ enquadrava a tortura praticada por policiais no caput (então exemplificativo) do art. 11. Com a taxatividade do rol trazida pela Lei 14.230/2021, essa conduta deixou de ter correspondência em qualquer inciso, tornando inviável a manutenção da condenação por improbidade para fatos sem trânsito em julgado, sem prejuízo, evidentemente, da responsabilização penal.</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Excelente contraste com o caso da promoção pessoal (continuidade) e do art. 11, II revogado (abolitio); taxatividade do rol do art. 11; Tema 1.199/STF.</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Enriquecimento ilícito por acréscimo patrimonial sem origem identificada: inversão do ônus da prova</w:t>
      </w:r>
    </w:p>
    <w:p>
      <w:pPr>
        <w:spacing w:after="80"/>
      </w:pPr>
      <w:r>
        <w:rPr>
          <w:b/>
          <w:bCs/>
        </w:rPr>
        <w:t xml:space="preserve">Tribunal: </w:t>
      </w:r>
      <w:r>
        <w:t xml:space="preserve">STJ  |  Órgão: 1ª Turma</w:t>
      </w:r>
    </w:p>
    <w:p>
      <w:pPr>
        <w:spacing w:after="80"/>
      </w:pPr>
      <w:r>
        <w:rPr>
          <w:b/>
          <w:bCs/>
        </w:rPr>
        <w:t xml:space="preserve">Processo: </w:t>
      </w:r>
      <w:r>
        <w:t xml:space="preserve">REsp 2.256.539-MS  |  Relator: Min. Regina Helena Costa  |  Data: 05/05/2026</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Configura enriquecimento ilícito (art. 9º, VII, da LIA) o acréscimo patrimonial a descoberto, incompatível com os rendimentos lícitos do agente público; comprovada a evolução patrimonial incompatível, forma-se presunção relativa de irregularidade, com inversão do ônus da prova, cabendo ao réu demonstrar a origem lícita dos valores.</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Ex-Procurador-Geral de Justiça recebeu diversos depósitos mensais de origem não identificada em suas contas durante o exercício do cargo, alegando tratar-se de reserva pessoal em espécie mantida em residência. O CNMP rejeitou a justificativa e aplicou demissão, mas as instâncias ordinárias julgaram improcedente a ação de improbidade por falta de prova de vantagem em razão do cargo. O STJ reformou, reconhecendo presunção relativa a partir da incompatibilidade patrimonial e destacando que a manutenção de valores fora do sistema bancário é estratégia clássica de mascaramento.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9º, VII, da LIA; art. 102, I, "r", CF/88 (deliberações do CNMP e competência do STF); inversão do ônus da prova em improbidade patrimonial.</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Competência</w:t>
      </w:r>
    </w:p>
    <w:p>
      <w:pPr>
        <w:pStyle w:val="Heading3"/>
        <w:spacing w:after="80" w:before="200"/>
      </w:pPr>
      <w:r>
        <w:rPr>
          <w:rFonts w:ascii="Segoe UI Emoji" w:cs="Segoe UI Emoji" w:eastAsia="Segoe UI Emoji" w:hAnsi="Segoe UI Emoji"/>
        </w:rPr>
        <w:t xml:space="preserve">📌 </w:t>
      </w:r>
      <w:r>
        <w:t xml:space="preserve">Regra de competência territorial do art. 17, §4º-A, da LIA é relativa e não desloca ações propostas antes da Lei 14.230/2021</w:t>
      </w:r>
    </w:p>
    <w:p>
      <w:pPr>
        <w:spacing w:after="80"/>
      </w:pPr>
      <w:r>
        <w:rPr>
          <w:b/>
          <w:bCs/>
        </w:rPr>
        <w:t xml:space="preserve">Tribunal: </w:t>
      </w:r>
      <w:r>
        <w:t xml:space="preserve">STJ  |  Órgão: 1ª Turma</w:t>
      </w:r>
    </w:p>
    <w:p>
      <w:pPr>
        <w:spacing w:after="80"/>
      </w:pPr>
      <w:r>
        <w:rPr>
          <w:b/>
          <w:bCs/>
        </w:rPr>
        <w:t xml:space="preserve">Processo: </w:t>
      </w:r>
      <w:r>
        <w:t xml:space="preserve">AgInt no AREsp 3.000.174-PR  |  Relator: Min. Regina Helena Costa  |  Data: 09/06/2026</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regra de competência do art. 17, §4º-A, da LIA (foro do dano ou da sede da pessoa jurídica prejudicada), incluída pela Lei 14.230/2021, tem natureza territorial, relativa e concorrente; por não configurar competência absoluta, as normas processuais da nova lei não retroagem para deslocar ações propostas sob a sistemática anterior (perpetuatio jurisdictionis, art. 43 do CPC).</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Ação de improbidade envolvendo contratos com a Petrobras, proposta em Curitiba sob a sistemática anterior à Lei 14.230/2021, que então não previa regra expressa de competência territorial. Após a reforma, os réus pleitearam o deslocamento do feito para o foro da sede da empresa lesada (Rio de Janeiro), sob a alegação de competência absoluta e aplicação imediata. O STJ manteve a competência de Curitiba, por entender relativa a nova regra territorial.</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17, §4º-A, LIA; art. 14 e art. 43 do CPC; perpetuatio jurisdictionis.</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Não é permitido que Constituição Estadual institua foro por prerrogativa de função para ações de improbidade</w:t>
      </w:r>
    </w:p>
    <w:p>
      <w:pPr>
        <w:spacing w:after="80"/>
      </w:pPr>
      <w:r>
        <w:rPr>
          <w:b/>
          <w:bCs/>
        </w:rPr>
        <w:t xml:space="preserve">Tribunal: </w:t>
      </w:r>
      <w:r>
        <w:t xml:space="preserve">STF  |  Órgão: Plenário</w:t>
      </w:r>
    </w:p>
    <w:p>
      <w:pPr>
        <w:spacing w:after="80"/>
      </w:pPr>
      <w:r>
        <w:rPr>
          <w:b/>
          <w:bCs/>
        </w:rPr>
        <w:t xml:space="preserve">Processo: </w:t>
      </w:r>
      <w:r>
        <w:t xml:space="preserve">ADI 4.870/ES  |  Relator: Min. Dias Toffoli  |  Data: 14/12/2020</w:t>
      </w:r>
    </w:p>
    <w:p>
      <w:pPr>
        <w:spacing w:after="80"/>
      </w:pPr>
      <w:r>
        <w:rPr>
          <w:b/>
          <w:bCs/>
        </w:rPr>
        <w:t xml:space="preserve">Sistemática: </w:t>
      </w:r>
      <w:r>
        <w:t xml:space="preserve">Controle Concentrado [VERIFICAR — julgado anterior à janela de 5 anos; mantido por ser controle concentrado ainda hoje aplicado e frequentemente citado]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É incompatível com a Constituição Federal norma de Constituição estadual que crie nova hipótese de foro por prerrogativa de função para ações de improbidade administrativa, por se tratar de ação de natureza civil, cujo foro especial não é extensível pela via estadual.</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Constituição do Estado do Espírito Santo previa foro por prerrogativa de função para julgamento de determinadas autoridades em ações de improbidade administrativa. O STF julgou inconstitucional o dispositivo, reafirmando entendimento já consolidado (Pet 3.240 AgR) de que o foro privilegiado é exclusivo das infrações penais comuns.</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Pet 3.240 AgR/DF; competência de 1ª instância para agentes políticos em ação de improbidade.</w:t>
      </w:r>
    </w:p>
    <w:p>
      <w:pPr>
        <w:spacing w:after="100"/>
      </w:pPr>
      <w:r>
        <w:rPr>
          <w:rFonts w:ascii="Segoe UI Emoji" w:cs="Segoe UI Emoji" w:eastAsia="Segoe UI Emoji" w:hAnsi="Segoe UI Emoji"/>
        </w:rPr>
        <w:t xml:space="preserve">⚠ </w:t>
      </w:r>
      <w:r>
        <w:rPr>
          <w:b/>
          <w:bCs/>
          <w:color w:val="C00000"/>
        </w:rPr>
        <w:t xml:space="preserve">[VERIFICAR] Dado(s) de citação incompletos/pendentes de confirmação — não incluído no arquivo de importação (.txt).</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Procedimento e Petição Inicial</w:t>
      </w:r>
    </w:p>
    <w:p>
      <w:pPr>
        <w:pStyle w:val="Heading3"/>
        <w:spacing w:after="80" w:before="200"/>
      </w:pPr>
      <w:r>
        <w:rPr>
          <w:rFonts w:ascii="Segoe UI Emoji" w:cs="Segoe UI Emoji" w:eastAsia="Segoe UI Emoji" w:hAnsi="Segoe UI Emoji"/>
        </w:rPr>
        <w:t xml:space="preserve">📌 </w:t>
      </w:r>
      <w:r>
        <w:t xml:space="preserve">In dubio pro societate no recebimento da inicial exige indicação mínima de elementos de dolo, não bastando mera ilegalidade</w:t>
      </w:r>
    </w:p>
    <w:p>
      <w:pPr>
        <w:spacing w:after="80"/>
      </w:pPr>
      <w:r>
        <w:rPr>
          <w:b/>
          <w:bCs/>
        </w:rPr>
        <w:t xml:space="preserve">Tribunal: </w:t>
      </w:r>
      <w:r>
        <w:t xml:space="preserve">STJ  |  Órgão: 2ª Turma</w:t>
      </w:r>
    </w:p>
    <w:p>
      <w:pPr>
        <w:spacing w:after="80"/>
      </w:pPr>
      <w:r>
        <w:rPr>
          <w:b/>
          <w:bCs/>
        </w:rPr>
        <w:t xml:space="preserve">Processo: </w:t>
      </w:r>
      <w:r>
        <w:t xml:space="preserve">AREsp 2.080.146-SP  |  Relator: Min. Francisco Falcão (Rel. Acd. Min. Afrânio Vilela)  |  Data: 20/05/2025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Ainda que prevaleça o princípio do in dubio pro societate na fase de recebimento da petição inicial, o autor deve indicar expressamente elementos que evidenciem o elemento subjetivo (dolo) da conduta do agente, não bastando a mera indicação de ilegalidade do ato; a mera condição de sócio minoritário não basta para inclusão no polo passivo.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Ministério Público ajuizou ação de improbidade por fraude em licitação, incluindo sócia minoritária de empresa contratante sem descrever qualquer conduta específica atribuída a ela, com base apenas no in dubio pro societate. O STJ determinou sua exclusão do processo, por entender insuficiente a mera indicação de ilegalidade do ato sem elementos concretos de dolo.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17, §6º, da LIA (requisitos da petição inicial); indícios mínimos de autoria e dolo; Info 842/STJ (petição inicial recebida com indícios mínimos).</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Petição inicial deve ser recebida havendo indícios mínimos; análise do dolo e do dano é reservada à instrução</w:t>
      </w:r>
    </w:p>
    <w:p>
      <w:pPr>
        <w:spacing w:after="80"/>
      </w:pPr>
      <w:r>
        <w:rPr>
          <w:b/>
          <w:bCs/>
        </w:rPr>
        <w:t xml:space="preserve">Tribunal: </w:t>
      </w:r>
      <w:r>
        <w:t xml:space="preserve">STJ  |  Órgão: 2ª Turma</w:t>
      </w:r>
    </w:p>
    <w:p>
      <w:pPr>
        <w:spacing w:after="80"/>
      </w:pPr>
      <w:r>
        <w:rPr>
          <w:b/>
          <w:bCs/>
        </w:rPr>
        <w:t xml:space="preserve">Processo: </w:t>
      </w:r>
      <w:r>
        <w:t xml:space="preserve">REsp 2.175.480-SP  |  Relator: Min. Teodoro Silva Santos  |  Data: 18/02/2025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petição inicial da ação de improbidade só pode ser rejeitada quando ausentes indícios mínimos do ato; havendo tais indícios, deve ser recebida e realizada a instrução, sendo a sentença o momento adequado para aferir a existência de dolo e a ocorrência de dano efetivo ao erário.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Discussão recorrente sobre o padrão de cognição no juízo de admissibilidade da ação de improbidade após a Lei 14.230/2021, que extinguiu o antigo §8º do art. 17 (defesa prévia com juízo de mérito antecipado). O STJ reafirmou que a análise aprofundada do dolo específico e do dano efetivo deve ocorrer apenas após a instrução processual.</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Complementa o entendimento sobre in dubio pro societate (AREsp 2.080.146-SP); art. 17, §§6º a 10-C, da LIA (nova sistemática de recebimento).</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Desmembramento do litisconsórcio passivo pode ser determinado de ofício para otimizar a instrução</w:t>
      </w:r>
    </w:p>
    <w:p>
      <w:pPr>
        <w:spacing w:after="80"/>
      </w:pPr>
      <w:r>
        <w:rPr>
          <w:b/>
          <w:bCs/>
        </w:rPr>
        <w:t xml:space="preserve">Tribunal: </w:t>
      </w:r>
      <w:r>
        <w:t xml:space="preserve">—  |  Órgão: —</w:t>
      </w:r>
    </w:p>
    <w:p>
      <w:pPr>
        <w:spacing w:after="80"/>
      </w:pPr>
      <w:r>
        <w:rPr>
          <w:b/>
          <w:bCs/>
        </w:rPr>
        <w:t xml:space="preserve">Processo: </w:t>
      </w:r>
      <w:r>
        <w:t xml:space="preserve">[VERIFICAR — tema de prova FGV, julgado específico não localizado no Buscador dentro do período pesquisado]  |  Relator: —  |  Data: —</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Segundo entendimento cobrado pela FGV (Prom Jus MPE RJ/2026), o juiz pode, ouvido o autor, desmembrar de ofício o litisconsórcio passivo na ação de improbidade, com vistas a otimizar a instrução processual, não dependendo de requerimento exclusivo das partes.</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Ação de improbidade movida contra agente público e pessoa jurídica contratada, com contestações autônomas e requerimentos de prova distintos (perícia contábil de um lado, testemunhas em comarcas diversas de outro). O tema envolve a flexibilização procedimental trazida pela reforma para viabilizar a gestão eficiente de processos complexos com múltiplos réus.</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cobrado: FGV Prom Jus (MPE RJ)/2026, Q16 (Gabarito B); art. 17, §7º, da LIA; princípio da adequação procedimental.</w:t>
      </w:r>
    </w:p>
    <w:p>
      <w:pPr>
        <w:spacing w:after="100"/>
      </w:pPr>
      <w:r>
        <w:rPr>
          <w:rFonts w:ascii="Segoe UI Emoji" w:cs="Segoe UI Emoji" w:eastAsia="Segoe UI Emoji" w:hAnsi="Segoe UI Emoji"/>
        </w:rPr>
        <w:t xml:space="preserve">⚠ </w:t>
      </w:r>
      <w:r>
        <w:rPr>
          <w:b/>
          <w:bCs/>
          <w:color w:val="C00000"/>
        </w:rPr>
        <w:t xml:space="preserve">[VERIFICAR] Dado(s) de citação incompletos/pendentes de confirmação — não incluído no arquivo de importação (.txt).</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Conversão da ação de improbidade em ação civil pública deve ocorrer em primeiro grau, antes da sentença</w:t>
      </w:r>
    </w:p>
    <w:p>
      <w:pPr>
        <w:spacing w:after="80"/>
      </w:pPr>
      <w:r>
        <w:rPr>
          <w:b/>
          <w:bCs/>
        </w:rPr>
        <w:t xml:space="preserve">Tribunal: </w:t>
      </w:r>
      <w:r>
        <w:t xml:space="preserve">STJ  |  Órgão: 1ª Turma</w:t>
      </w:r>
    </w:p>
    <w:p>
      <w:pPr>
        <w:spacing w:after="80"/>
      </w:pPr>
      <w:r>
        <w:rPr>
          <w:b/>
          <w:bCs/>
        </w:rPr>
        <w:t xml:space="preserve">Processo: </w:t>
      </w:r>
      <w:r>
        <w:t xml:space="preserve">REsp 2.139.458-SC  |  Relator: Min. Gurgel de Faria  |  Data: 18/02/2025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conversão da ação de improbidade em ação civil pública (art. 17, §16, da LIA), cabível quando ausentes os requisitos para sancionamento mas identificadas ilegalidades a sanar, deve ocorrer no primeiro grau de jurisdição e antes da sentença, sujeitando-se a decisão de conversão a agravo de instrumento.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Dispositivo introduzido pela Lei 14.230/2021 permite ao magistrado converter a ação de improbidade em ação civil pública quando não estejam presentes todos os requisitos para as sanções da LIA, mas existam irregularidades administrativas a sanar. O STJ delimitou o momento processual adequado para essa conversão, restringindo-a à primeira instância e ao período anterior à sentença.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17, §§16 e 17, da LIA; Lei 7.347/85 (Ação Civil Pública).</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Inquérito civil para apuração de improbidade só pode ser prorrogado uma única vez por 365 dias, com fundamentação específica</w:t>
      </w:r>
    </w:p>
    <w:p>
      <w:pPr>
        <w:spacing w:after="80"/>
      </w:pPr>
      <w:r>
        <w:rPr>
          <w:b/>
          <w:bCs/>
        </w:rPr>
        <w:t xml:space="preserve">Tribunal: </w:t>
      </w:r>
      <w:r>
        <w:t xml:space="preserve">STJ  |  Órgão: 1ª Turma</w:t>
      </w:r>
    </w:p>
    <w:p>
      <w:pPr>
        <w:spacing w:after="80"/>
      </w:pPr>
      <w:r>
        <w:rPr>
          <w:b/>
          <w:bCs/>
        </w:rPr>
        <w:t xml:space="preserve">Processo: </w:t>
      </w:r>
      <w:r>
        <w:t xml:space="preserve">REsp 2.181.090-DF  |  Relator: Min. Gurgel de Faria  |  Data: 11/11/2025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Após a Lei 14.230/2021, o inquérito civil para apuração de improbidade pode ser prorrogado uma única vez por igual período de 365 dias (art. 23, §2º, da LIA), com caráter peremptório; a prorrogação exige fundamentação específica sobre a necessidade de continuidade das investigações, não bastando a mera referência ao vencimento do prazo; extrapolado o prazo, aplica-se o art. 23, §3º.</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O Ministério Público prorrogou inquérito civil que já havia sido prorrogado anteriormente, com despacho expedido após o vencimento do prazo e com fundamentação genérica. O STJ anulou a prorrogação, fixando balizas rígidas para o novo regime de prazos do inquérito civil em matéria de improbidade, sem ofensa à autonomia institucional do MP (art. 127, CF/88).</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23, §§2º e 3º, da LIA; art. 50 da Lei 9.784/1999; art. 127 CF/88 (autonomia do MP).</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Vedação ao reexame necessário na LIA não se aplica a sentenças anteriores à Lei 14.230/2021</w:t>
      </w:r>
    </w:p>
    <w:p>
      <w:pPr>
        <w:spacing w:after="80"/>
      </w:pPr>
      <w:r>
        <w:rPr>
          <w:b/>
          <w:bCs/>
        </w:rPr>
        <w:t xml:space="preserve">Tribunal: </w:t>
      </w:r>
      <w:r>
        <w:t xml:space="preserve">STJ  |  Órgão: 1ª Seção</w:t>
      </w:r>
    </w:p>
    <w:p>
      <w:pPr>
        <w:spacing w:after="80"/>
      </w:pPr>
      <w:r>
        <w:rPr>
          <w:b/>
          <w:bCs/>
        </w:rPr>
        <w:t xml:space="preserve">Processo: </w:t>
      </w:r>
      <w:r>
        <w:t xml:space="preserve">REsp 2.117.355-MG, REsp 2.118.137-MG e REsp 2.120.300-MG  |  Relator: Min. Teodoro Silva Santos  |  Data: 11/06/2025</w:t>
      </w:r>
    </w:p>
    <w:p>
      <w:pPr>
        <w:spacing w:after="80"/>
      </w:pPr>
      <w:r>
        <w:rPr>
          <w:b/>
          <w:bCs/>
        </w:rPr>
        <w:t xml:space="preserve">Sistemática: </w:t>
      </w:r>
      <w:r>
        <w:t xml:space="preserve">Recurso Repetitivo – Tema 1284</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vedação ao reexame necessário da sentença de improcedência ou de extinção sem resolução de mérito (art. 17, §19, IV, c/c art. 17-C, §3º, da LIA, na redação da Lei 14.230/2021) não se aplica aos processos em curso quando a sentença for anterior à vigência da nova lei, por força do princípio tempus regit actum (art. 14 do CPC).</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Antes da reforma, o STJ entendia aplicável o reexame necessário às sentenças de improcedência em ações de improbidade, por analogia à Lei da Ação Popular. A Lei 14.230/2021 vedou expressamente o reexame necessário nesses casos. O STJ, em recurso repetitivo, definiu que a data da sentença — e não a data do julgamento do reexame — determina qual regime se aplica.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Súmula 634-STJ (regime prescricional do particular); EREsp 1.220.667-MG (entendimento superado); art. 19 da Lei 4.717/65 (Ação Popular).</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Provas colhidas no inquérito civil têm valor probatório relativo, afastável apenas por contraprova sob contraditório</w:t>
      </w:r>
    </w:p>
    <w:p>
      <w:pPr>
        <w:spacing w:after="80"/>
      </w:pPr>
      <w:r>
        <w:rPr>
          <w:b/>
          <w:bCs/>
        </w:rPr>
        <w:t xml:space="preserve">Tribunal: </w:t>
      </w:r>
      <w:r>
        <w:t xml:space="preserve">STJ  |  Órgão: 2ª Turma</w:t>
      </w:r>
    </w:p>
    <w:p>
      <w:pPr>
        <w:spacing w:after="80"/>
      </w:pPr>
      <w:r>
        <w:rPr>
          <w:b/>
          <w:bCs/>
        </w:rPr>
        <w:t xml:space="preserve">Processo: </w:t>
      </w:r>
      <w:r>
        <w:t xml:space="preserve">AREsp 1.417.207-MG  |  Relator: Min. Francisco Falcão  |  Data: 17/09/2024</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As provas produzidas no inquérito civil têm valor probatório relativo, podendo o magistrado utilizá-las para formar ou reforçar convicção, desde que não sejam contrapostas por prova produzida sob a garantia do contraditório.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Réu condenado com base, entre outros elementos, em provas colhidas em inquérito civil, alegou violação ao ônus da prova e ao contraditório por ausência de produção de contraprova capaz de desconstituir as conclusões do inquérito. O STJ manteve a condenação, por entender que a ausência de contraprova qualificada preserva o valor probatório relativo dos elementos colhidos extrajudicialmente.</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Mesmo acórdão que tratou de dano efetivo em frustração de licitação (AREsp 1.417.207-MG); art. 8º-A da LIA (procedimento investigatório).</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Indisponibilidade de Bens</w:t>
      </w:r>
    </w:p>
    <w:p>
      <w:pPr>
        <w:pStyle w:val="Heading3"/>
        <w:spacing w:after="80" w:before="200"/>
      </w:pPr>
      <w:r>
        <w:rPr>
          <w:rFonts w:ascii="Segoe UI Emoji" w:cs="Segoe UI Emoji" w:eastAsia="Segoe UI Emoji" w:hAnsi="Segoe UI Emoji"/>
        </w:rPr>
        <w:t xml:space="preserve">📌 </w:t>
      </w:r>
      <w:r>
        <w:t xml:space="preserve">Indisponibilidade solidária entre corréus, sem divisão em quota-parte, limitada ao montante indicado na inicial</w:t>
      </w:r>
    </w:p>
    <w:p>
      <w:pPr>
        <w:spacing w:after="80"/>
      </w:pPr>
      <w:r>
        <w:rPr>
          <w:b/>
          <w:bCs/>
        </w:rPr>
        <w:t xml:space="preserve">Tribunal: </w:t>
      </w:r>
      <w:r>
        <w:t xml:space="preserve">STJ  |  Órgão: 1ª Seção</w:t>
      </w:r>
    </w:p>
    <w:p>
      <w:pPr>
        <w:spacing w:after="80"/>
      </w:pPr>
      <w:r>
        <w:rPr>
          <w:b/>
          <w:bCs/>
        </w:rPr>
        <w:t xml:space="preserve">Processo: </w:t>
      </w:r>
      <w:r>
        <w:t xml:space="preserve">REsp 1.955.116-AM, REsp 1.955.957, REsp 1.955.300-DF e REsp 1.955.440-DF  |  Relator: Min. Herman Benjamin  |  Data: 22/05/2024</w:t>
      </w:r>
    </w:p>
    <w:p>
      <w:pPr>
        <w:spacing w:after="80"/>
      </w:pPr>
      <w:r>
        <w:rPr>
          <w:b/>
          <w:bCs/>
        </w:rPr>
        <w:t xml:space="preserve">Sistemática: </w:t>
      </w:r>
      <w:r>
        <w:t xml:space="preserve">Recurso Repetitivo – Tema 1213</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Há solidariedade entre corréus para fins de indisponibilidade de bens na ação de improbidade, de modo que a constrição recai sobre os bens de todos, sem divisão em quota-parte, limitando-se o somatório da medida ao montante fixado pelo juiz — sendo vedado que o bloqueio de cada réu corresponda ao débito total.</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Discutia-se se, havendo pluralidade de réus, a indisponibilidade de bens deveria ser fracionada proporcionalmente à participação de cada um ou se poderia recair, solidariamente, sobre o patrimônio de qualquer deles até o limite do dano total. O STJ, em recurso repetitivo, fixou a solidariedade da medida cautelar (distinta da vedação de solidariedade na condenação final, prevista no art. 17-C, §2º), desde que o somatório das constrições não ultrapasse o valor indicado na petição inicial.</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16 da LIA; art. 17-C, §2º, da LIA (vedação de solidariedade na sanção final); art. 942 do CC.</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Alterações da Lei 14.230/2021 sobre indisponibilidade de bens aplicam-se retroativamente aos processos em curso</w:t>
      </w:r>
    </w:p>
    <w:p>
      <w:pPr>
        <w:spacing w:after="80"/>
      </w:pPr>
      <w:r>
        <w:rPr>
          <w:b/>
          <w:bCs/>
        </w:rPr>
        <w:t xml:space="preserve">Tribunal: </w:t>
      </w:r>
      <w:r>
        <w:t xml:space="preserve">STJ  |  Órgão: 1ª Seção</w:t>
      </w:r>
    </w:p>
    <w:p>
      <w:pPr>
        <w:spacing w:after="80"/>
      </w:pPr>
      <w:r>
        <w:rPr>
          <w:b/>
          <w:bCs/>
        </w:rPr>
        <w:t xml:space="preserve">Processo: </w:t>
      </w:r>
      <w:r>
        <w:t xml:space="preserve">REsp 2.074.601-MG, REsp 2.089.767-MG, REsp 2.076.137-MG, REsp 2.076.911-SP e REsp 2.078.360-MG  |  Relator: Min. Afrânio Vilela  |  Data: 06/02/2025</w:t>
      </w:r>
    </w:p>
    <w:p>
      <w:pPr>
        <w:spacing w:after="80"/>
      </w:pPr>
      <w:r>
        <w:rPr>
          <w:b/>
          <w:bCs/>
        </w:rPr>
        <w:t xml:space="preserve">Sistemática: </w:t>
      </w:r>
      <w:r>
        <w:t xml:space="preserve">Recurso Repetitivo – Tema 1257</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As disposições da Lei 14.230/2021 são aplicáveis aos processos em curso para regular o procedimento da tutela provisória de indisponibilidade de bens (exigência de demonstração de perigo de dano irreparável ou de risco ao resultado útil do processo, e não incidência sobre multa civil ou acréscimo patrimonial lícito), inclusive para reapreciação de medidas já deferidas.</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 Lei 14.230/2021 passou a exigir a demonstração de urgência (art. 16, §3º) e excluiu da indisponibilidade os valores de eventual multa civil e o acréscimo patrimonial de origem lícita (art. 16, §10). Por se tratar de tutela provisória, de natureza processual e revogável a qualquer tempo, o STJ, em recurso repetitivo, autorizou a aplicação imediata dessas regras aos processos em curso, inclusive para revisão de medidas já deferidas sob a sistemática anterior.</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16, §§3º e 10, da LIA; art. 14 do CPC; tese confirma entendimento previamente firmado em turma (AREsp 2.272.508-RN).</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Indisponibilidade pode ser decretada sem oitiva prévia do réu quando demonstrada urgência</w:t>
      </w:r>
    </w:p>
    <w:p>
      <w:pPr>
        <w:spacing w:after="80"/>
      </w:pPr>
      <w:r>
        <w:rPr>
          <w:b/>
          <w:bCs/>
        </w:rPr>
        <w:t xml:space="preserve">Tribunal: </w:t>
      </w:r>
      <w:r>
        <w:t xml:space="preserve">STJ  |  Órgão: —</w:t>
      </w:r>
    </w:p>
    <w:p>
      <w:pPr>
        <w:spacing w:after="80"/>
      </w:pPr>
      <w:r>
        <w:rPr>
          <w:b/>
          <w:bCs/>
        </w:rPr>
        <w:t xml:space="preserve">Processo: </w:t>
      </w:r>
      <w:r>
        <w:t xml:space="preserve">Entendimento consolidado (art. 16, §3º, da LIA)  |  Relator: —  |  Data: —</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decretação da indisponibilidade de bens em ação de improbidade pode ocorrer sem a prévia oitiva do réu sempre que o contraditório prévio puder frustrar comprovadamente a efetividade da medida ou houver outras circunstâncias que recomendem a proteção liminar; a urgência não pode ser presumida, exigindo demonstração no caso concreto.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Tema recorrentíssimo em provas de Magistratura: a Lei 14.230/2021, ao inserir o §3º no art. 16, passou a exigir demonstração de perigo de dano irreparável ou de risco ao resultado útil do processo, superando o entendimento anterior que dispensava tal demonstração. Mantida a possibilidade de decretação liminar sem contraditório prévio quando a urgência justificar.</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cobrado em múltiplas questões FGV: JE TJCE/2025 (Q24), JE TJMS/2026 (Q14), Proc AGE MG/2022 (Q36); art. 16, §3º, da LIA; contraditório diferido.</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Ordem de preferência da indisponibilidade e limites: bem de família, poupança até 40 salários mínimos, dinheiro/ativos financeiros prioritários</w:t>
      </w:r>
    </w:p>
    <w:p>
      <w:pPr>
        <w:spacing w:after="80"/>
      </w:pPr>
      <w:r>
        <w:rPr>
          <w:b/>
          <w:bCs/>
        </w:rPr>
        <w:t xml:space="preserve">Tribunal: </w:t>
      </w:r>
      <w:r>
        <w:t xml:space="preserve">STJ  |  Órgão: —</w:t>
      </w:r>
    </w:p>
    <w:p>
      <w:pPr>
        <w:spacing w:after="80"/>
      </w:pPr>
      <w:r>
        <w:rPr>
          <w:b/>
          <w:bCs/>
        </w:rPr>
        <w:t xml:space="preserve">Processo: </w:t>
      </w:r>
      <w:r>
        <w:t xml:space="preserve">Entendimento consolidado (art. 16, §§6º a 12, da LIA)  |  Relator: —  |  Data: —</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indisponibilidade recai sobre bens que assegurem o ressarcimento integral do dano e a multa civil eventualmente aplicável, mas não sobre acréscimo patrimonial de origem lícita; recai preferencialmente sobre dinheiro e ativos financeiros; não pode atingir bem de família, salvo se fruto da vantagem indevida, nem valores em poupança até 40 salários mínimos.</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 Lei 14.230/2021 disciplinou minuciosamente a ordem de preferência dos bens sujeitos à indisponibilidade e as hipóteses de impenhorabilidade aplicáveis por analogia (bem de família, poupança até 40 salários mínimos), tema amplamente explorado pela FGV em casos concretos envolvendo comparação entre veículos, contas-correntes e poupança.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extensamente cobrado: FGV Prom Jus MPE MT/2026 (Q22 topic), Prom Jus MPE RJ/2025 (Q26), NeR ENAC/2026 (Q13), Proc PGE AC/2026 (Q6); art. 16, §§6º a 12, da LIA.</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Decisão de indisponibilidade pode ser revista a qualquer tempo, inclusive em recurso pendente, exigindo demonstração atual dos requisitos</w:t>
      </w:r>
    </w:p>
    <w:p>
      <w:pPr>
        <w:spacing w:after="80"/>
      </w:pPr>
      <w:r>
        <w:rPr>
          <w:b/>
          <w:bCs/>
        </w:rPr>
        <w:t xml:space="preserve">Tribunal: </w:t>
      </w:r>
      <w:r>
        <w:t xml:space="preserve">STJ  |  Órgão: —</w:t>
      </w:r>
    </w:p>
    <w:p>
      <w:pPr>
        <w:spacing w:after="80"/>
      </w:pPr>
      <w:r>
        <w:rPr>
          <w:b/>
          <w:bCs/>
        </w:rPr>
        <w:t xml:space="preserve">Processo: </w:t>
      </w:r>
      <w:r>
        <w:t xml:space="preserve">REsp citado no material de referência (entendimento consolidado)  |  Relator: —  |  Data: —</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tutela provisória de indisponibilidade de bens pode ser revogada ou modificada a qualquer tempo, inclusive na pendência de recurso, exigindo-se a demonstração concreta da probabilidade dos fatos descritos na inicial e do perigo de dano ao resultado útil do processo para sua manutenção.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Consolidação da natureza provisória e revisável da medida de indisponibilidade, que não faz coisa julgada material e pode ser reapreciada sempre que ausentes, supervenientemente, os pressupostos que a justificaram — inclusive à luz das alterações da Lei 14.230/2021 (Tema 1257).</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Tese complementar ao Tema 1257/STJ; cobrada na FGV Prom Jus MPE RJ/2025 (Q22, Gabarito D).</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Sanções (Perda da Função, Suspensão de Direitos Políticos, Multa Civil, Cassação de Aposentadoria)</w:t>
      </w:r>
    </w:p>
    <w:p>
      <w:pPr>
        <w:pStyle w:val="Heading3"/>
        <w:spacing w:after="80" w:before="200"/>
      </w:pPr>
      <w:r>
        <w:rPr>
          <w:rFonts w:ascii="Segoe UI Emoji" w:cs="Segoe UI Emoji" w:eastAsia="Segoe UI Emoji" w:hAnsi="Segoe UI Emoji"/>
        </w:rPr>
        <w:t xml:space="preserve">📌 </w:t>
      </w:r>
      <w:r>
        <w:t xml:space="preserve">Herdeiros não respondem pela multa civil após a Lei 14.230/2021; respondem apenas até o limite da herança pelo ressarcimento e enriquecimento ilícito</w:t>
      </w:r>
    </w:p>
    <w:p>
      <w:pPr>
        <w:spacing w:after="80"/>
      </w:pPr>
      <w:r>
        <w:rPr>
          <w:b/>
          <w:bCs/>
        </w:rPr>
        <w:t xml:space="preserve">Tribunal: </w:t>
      </w:r>
      <w:r>
        <w:t xml:space="preserve">STJ  |  Órgão: 1ª Turma</w:t>
      </w:r>
    </w:p>
    <w:p>
      <w:pPr>
        <w:spacing w:after="80"/>
      </w:pPr>
      <w:r>
        <w:rPr>
          <w:b/>
          <w:bCs/>
        </w:rPr>
        <w:t xml:space="preserve">Processo: </w:t>
      </w:r>
      <w:r>
        <w:t xml:space="preserve">AREsp 1.440.445-SP  |  Relator: Min. Sérgio Kukina  |  Data: 04/11/2025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nova redação do art. 8º da LIA, dada pela Lei 14.230/2021, restringe a responsabilidade dos sucessores ao ressarcimento do dano ao erário e ao enriquecimento ilícito, até o limite da herança, não mais abrangendo a sanção de multa civil.</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Ex-prefeito faleceu antes do trânsito em julgado de condenação por improbidade que incluía multa civil; os herdeiros foram mantidos no polo passivo. Sobreveio a Lei 14.230/2021, que restringiu a responsabilidade sucessória. O STJ afastou a transmissão da multa civil aos herdeiros, mantendo apenas o dever de ressarcimento até o limite do patrimônio transferido.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idêntico ao cobrado na FGV JE TJBA/2026 (Q1, Gabarito D); art. 8º da LIA; direito material sucessório em improbidade.</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É possível a conversão da perda da função pública em cassação de aposentadoria na fase de execução</w:t>
      </w:r>
    </w:p>
    <w:p>
      <w:pPr>
        <w:spacing w:after="80"/>
      </w:pPr>
      <w:r>
        <w:rPr>
          <w:b/>
          <w:bCs/>
        </w:rPr>
        <w:t xml:space="preserve">Tribunal: </w:t>
      </w:r>
      <w:r>
        <w:t xml:space="preserve">STJ  |  Órgão: 1ª Seção</w:t>
      </w:r>
    </w:p>
    <w:p>
      <w:pPr>
        <w:spacing w:after="80"/>
      </w:pPr>
      <w:r>
        <w:rPr>
          <w:b/>
          <w:bCs/>
        </w:rPr>
        <w:t xml:space="preserve">Processo: </w:t>
      </w:r>
      <w:r>
        <w:t xml:space="preserve">MS 26.106-DF; EREsp 1.781.874-DF  |  Relator: Min. Marco Aurélio Bellizze  |  Data: 05/06/2025</w:t>
      </w:r>
    </w:p>
    <w:p>
      <w:pPr>
        <w:spacing w:after="80"/>
      </w:pPr>
      <w:r>
        <w:rPr>
          <w:b/>
          <w:bCs/>
        </w:rPr>
        <w:t xml:space="preserve">Sistemática: </w:t>
      </w:r>
      <w:r>
        <w:t xml:space="preserve">Caso Isolado — mudança de entendimento (superou EREsp 1.496.347/ES e REsp 1.761.937)</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É possível, na ação de improbidade administrativa, a conversão da sanção de perda da função pública em cassação de aposentadoria na fase de cumprimento de sentença, quando o agente já se encontra inativo; a medida não viola o princípio da legalidade nem configura confisco, dado o caráter contributivo e solidário do regime previdenciário.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O STJ mudou de posição em 2025: até então entendia que apenas a autoridade administrativa poderia cassar aposentadoria, sendo vedado ao juiz da execução da improbidade fazê-lo. Alinhando-se à jurisprudência do STF (ADPF 418), a 1ª Seção passou a admitir a conversão judicial da perda da função em cassação de aposentadoria quando o servidor já estiver inativo ao tempo da execução.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Superação de EREsp 1.496.347/ES e REsp 1.761.937 (STJ, 2021); ADPF 418/STF; alinhamento à jurisprudência do STF (ARE 1.321.655 AgR e ARE 1.257.379 AgR).</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Multa civil deve ser revertida à entidade diretamente lesada, mesmo sem dano patrimonial direto quantificável</w:t>
      </w:r>
    </w:p>
    <w:p>
      <w:pPr>
        <w:spacing w:after="80"/>
      </w:pPr>
      <w:r>
        <w:rPr>
          <w:b/>
          <w:bCs/>
        </w:rPr>
        <w:t xml:space="preserve">Tribunal: </w:t>
      </w:r>
      <w:r>
        <w:t xml:space="preserve">STJ  |  Órgão: 1ª Turma</w:t>
      </w:r>
    </w:p>
    <w:p>
      <w:pPr>
        <w:spacing w:after="80"/>
      </w:pPr>
      <w:r>
        <w:rPr>
          <w:b/>
          <w:bCs/>
        </w:rPr>
        <w:t xml:space="preserve">Processo: </w:t>
      </w:r>
      <w:r>
        <w:t xml:space="preserve">REsp 1.925.304-SC  |  Relator: Min. Sérgio Kukina  |  Data: 07/10/2025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multa civil aplicada em ação de improbidade deve reverter em favor da pessoa jurídica pública diretamente prejudicada pela conduta ímproba, ainda que a lesão não se resuma a prejuízo patrimonial quantificável em dinheiro; não é adequado destiná-la ao fundo da Lei da Ação Civil Pública (art. 13 da Lei 7.347/85), que trata de reparação de dano, e não de multa punitiva.</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Professora universitária obteve fraudulentamente bolsa da CAPES por anos e foi condenada por violação a princípios (art. 11), com aplicação de multa civil. O juiz determinou a destinação ao Fundo de Defesa de Direitos Difusos, por analogia à Lei da Ação Civil Pública. O STJ acolheu recurso da CAPES, determinando que a multa deve reverter à própria entidade lesada, por interpretação sistemática do art. 18 da LIA.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18 da LIA (destinação do ressarcimento); art. 13 da Lei 7.347/85; execução fiscal da multa civil (REsp 2.123.875-MG).</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Multa civil por improbidade pode ser cobrada por execução fiscal, sendo o ente lesado parte legítima</w:t>
      </w:r>
    </w:p>
    <w:p>
      <w:pPr>
        <w:spacing w:after="80"/>
      </w:pPr>
      <w:r>
        <w:rPr>
          <w:b/>
          <w:bCs/>
        </w:rPr>
        <w:t xml:space="preserve">Tribunal: </w:t>
      </w:r>
      <w:r>
        <w:t xml:space="preserve">STJ  |  Órgão: 2ª Turma</w:t>
      </w:r>
    </w:p>
    <w:p>
      <w:pPr>
        <w:spacing w:after="80"/>
      </w:pPr>
      <w:r>
        <w:rPr>
          <w:b/>
          <w:bCs/>
        </w:rPr>
        <w:t xml:space="preserve">Processo: </w:t>
      </w:r>
      <w:r>
        <w:t xml:space="preserve">REsp 2.123.875-MG  |  Relator: Min. Marco Aurélio Bellizze  |  Data: 01/04/2025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execução fiscal é cabível para a cobrança de multa civil fixada em sentença de improbidade administrativa, desde que instruída com a respectiva Certidão de Dívida Ativa (CDA), sendo a Fazenda Pública lesada parte legítima para propor a execução.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O STJ reconheceu que a multa civil, uma vez fixada em sentença condenatória de improbidade, pode ser cobrada pela via da execução fiscal, mediante inscrição em dívida ativa, conferindo maior efetividade à recuperação de valores destinados ao erário lesado.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Complementa o entendimento sobre destinação da multa civil (REsp 1.925.304-SC); Lei 6.830/1980 (Lei de Execução Fiscal).</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Suspensão de direitos políticos afastada retroativamente para atos do art. 11 sem trânsito em julgado</w:t>
      </w:r>
    </w:p>
    <w:p>
      <w:pPr>
        <w:spacing w:after="80"/>
      </w:pPr>
      <w:r>
        <w:rPr>
          <w:b/>
          <w:bCs/>
        </w:rPr>
        <w:t xml:space="preserve">Tribunal: </w:t>
      </w:r>
      <w:r>
        <w:t xml:space="preserve">STJ  |  Órgão: 2ª Turma</w:t>
      </w:r>
    </w:p>
    <w:p>
      <w:pPr>
        <w:spacing w:after="80"/>
      </w:pPr>
      <w:r>
        <w:rPr>
          <w:b/>
          <w:bCs/>
        </w:rPr>
        <w:t xml:space="preserve">Processo: </w:t>
      </w:r>
      <w:r>
        <w:t xml:space="preserve">AgInt nos EDcl no AREsp 2.047.048-SP  |  Relator: Min. Teodoro Silva Santos  |  Data: 16/09/2025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Deve ser aplicada retroativamente, aos processos sem trânsito em julgado, a alteração mais benéfica do art. 12, III, da LIA, afastando-se a sanção de suspensão dos direitos políticos para os atos de improbidade que atentam contra os princípios da Administração Pública (art. 11).</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 Lei 14.230/2021 excluiu a suspensão de direitos políticos do rol de sanções aplicáveis aos atos do art. 11 (violação a princípios), mantendo-a apenas para os arts. 9º e 10. O STJ reafirmou a retroatividade dessa alteração benéfica para processos ainda sem coisa julgada, afastando a sanção mesmo quando a conduta subsistir por continuidade típico-normativa.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12, I, II e III, da LIA (sanções por artigo); Tema 1.199/STF; Info 826/STJ (mesma tese).</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Suspensão de direitos políticos aplicável a particulares e proibição de contratar mesmo sem atividade empresarial atual</w:t>
      </w:r>
    </w:p>
    <w:p>
      <w:pPr>
        <w:spacing w:after="80"/>
      </w:pPr>
      <w:r>
        <w:rPr>
          <w:b/>
          <w:bCs/>
        </w:rPr>
        <w:t xml:space="preserve">Tribunal: </w:t>
      </w:r>
      <w:r>
        <w:t xml:space="preserve">STJ  |  Órgão: 1ª Turma</w:t>
      </w:r>
    </w:p>
    <w:p>
      <w:pPr>
        <w:spacing w:after="80"/>
      </w:pPr>
      <w:r>
        <w:rPr>
          <w:b/>
          <w:bCs/>
        </w:rPr>
        <w:t xml:space="preserve">Processo: </w:t>
      </w:r>
      <w:r>
        <w:t xml:space="preserve">REsp 1.735.603-AL  |  Relator: Min. Gurgel de Faria  |  Data: 03/09/2024</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suspensão dos direitos políticos aplicada a particulares não é medida inócua, pois atinge tanto a capacidade eleitoral ativa quanto a passiva; a proibição de contratar com o Poder Público pode ser aplicada a agente público mesmo que, à época da condenação, não exerça atividade empresarial, por poder vir a exercê-la no futuro.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Discutia-se a utilidade prática de aplicar a particulares (que não ocupam cargos eletivos) a suspensão de direitos políticos, e a agentes públicos (sem atividade empresarial) a proibição de contratar com o poder público. O STJ afastou a tese de inocuidade das sanções, por reconhecer seus efeitos potenciais sobre situações futuras dos condenados.</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12, caput, da LIA; efeitos futuros das sanções de improbidade sobre a capacidade político-eleitoral e empresarial.</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Prescrição</w:t>
      </w:r>
    </w:p>
    <w:p>
      <w:pPr>
        <w:pStyle w:val="Heading3"/>
        <w:spacing w:after="80" w:before="200"/>
      </w:pPr>
      <w:r>
        <w:rPr>
          <w:rFonts w:ascii="Segoe UI Emoji" w:cs="Segoe UI Emoji" w:eastAsia="Segoe UI Emoji" w:hAnsi="Segoe UI Emoji"/>
        </w:rPr>
        <w:t xml:space="preserve">📌 </w:t>
      </w:r>
      <w:r>
        <w:t xml:space="preserve">Não existe prescrição intercorrente na fase de execução da ação de improbidade</w:t>
      </w:r>
    </w:p>
    <w:p>
      <w:pPr>
        <w:spacing w:after="80"/>
      </w:pPr>
      <w:r>
        <w:rPr>
          <w:b/>
          <w:bCs/>
        </w:rPr>
        <w:t xml:space="preserve">Tribunal: </w:t>
      </w:r>
      <w:r>
        <w:t xml:space="preserve">STJ  |  Órgão: 2ª Turma</w:t>
      </w:r>
    </w:p>
    <w:p>
      <w:pPr>
        <w:spacing w:after="80"/>
      </w:pPr>
      <w:r>
        <w:rPr>
          <w:b/>
          <w:bCs/>
        </w:rPr>
        <w:t xml:space="preserve">Processo: </w:t>
      </w:r>
      <w:r>
        <w:t xml:space="preserve">REsp 1.931.489-DF  |  Relator: Min. Afrânio Vilela  |  Data: 16/09/2025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prescrição intercorrente, introduzida pela Lei 14.230/2021 no art. 23 da LIA, aplica-se apenas à fase de conhecimento da ação de improbidade; na fase de execução de sentença condenatória transitada em julgado, não há prescrição intercorrente, incidindo apenas a prescrição da pretensão executória, nos termos da Súmula 150/STF (mesmo prazo da ação de conhecimento — 8 anos).</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 Lei 14.230/2021 criou, pela primeira vez, a figura da prescrição intercorrente nas ações de improbidade, com prazo de 8 anos (após suspensão do prazo de 4 anos do §5º do art. 23 pela ADI 7.236). O STJ delimitou seu alcance, restringindo-a à fase de conhecimento e afastando-a da fase executiva, regida pela Súmula 150/STF.</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Súmula 150/STF; art. 23, caput e §5º (suspenso), da LIA; ADI 7.236/DF (medida cautelar).</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Prazo prescricional do particular em concurso com agentes públicos de regimes distintos segue o prazo mais longo</w:t>
      </w:r>
    </w:p>
    <w:p>
      <w:pPr>
        <w:spacing w:after="80"/>
      </w:pPr>
      <w:r>
        <w:rPr>
          <w:b/>
          <w:bCs/>
        </w:rPr>
        <w:t xml:space="preserve">Tribunal: </w:t>
      </w:r>
      <w:r>
        <w:t xml:space="preserve">STJ  |  Órgão: 1ª Turma</w:t>
      </w:r>
    </w:p>
    <w:p>
      <w:pPr>
        <w:spacing w:after="80"/>
      </w:pPr>
      <w:r>
        <w:rPr>
          <w:b/>
          <w:bCs/>
        </w:rPr>
        <w:t xml:space="preserve">Processo: </w:t>
      </w:r>
      <w:r>
        <w:t xml:space="preserve">REsp 2.058.311-RN  |  Relator: Min. Paulo Sérgio Domingues  |  Data: 03/03/2026</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Havendo concurso entre particular e agentes públicos ocupantes de cargos de natureza jurídica distinta (efetivo e comissionado), o regime prescricional aplicável ao particular é o relativo ao cargo efetivo, ou seja, o mais longo, nos termos da Súmula 634-STJ, aplicável ao regime anterior à Lei 14.230/2021.</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Desembargador (cargo efetivo), seu assessor comissionado e um advogado particular foram acusados de negociar decisões judiciais mediante propina, em fatos anteriores à reforma de 2021. Diante de prazos prescricionais distintos para os agentes públicos (mais longo para o cargo efetivo, mais curto para o comissionado), o STJ definiu que o particular se submete ao prazo mais longo, aplicável ao corréu com cargo efetivo, por força da Súmula 634-STJ.</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Súmula 634-STJ; art. 23, II, da LIA (redação anterior à Lei 14.230/2021); Tema 1.199/STF (irretroatividade do novo regime prescricional).</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Prescrição da ação de improbidade contra magistrado estadual: aplicação subsidiária da Lei 8.112/1990</w:t>
      </w:r>
    </w:p>
    <w:p>
      <w:pPr>
        <w:spacing w:after="80"/>
      </w:pPr>
      <w:r>
        <w:rPr>
          <w:b/>
          <w:bCs/>
        </w:rPr>
        <w:t xml:space="preserve">Tribunal: </w:t>
      </w:r>
      <w:r>
        <w:t xml:space="preserve">STJ  |  Órgão: 2ª Turma</w:t>
      </w:r>
    </w:p>
    <w:p>
      <w:pPr>
        <w:spacing w:after="80"/>
      </w:pPr>
      <w:r>
        <w:rPr>
          <w:b/>
          <w:bCs/>
        </w:rPr>
        <w:t xml:space="preserve">Processo: </w:t>
      </w:r>
      <w:r>
        <w:t xml:space="preserve">AgInt no AREsp 2.630.083-SP  |  Relator: Min. Afrânio Vilela  |  Data: 26/02/2025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O prazo prescricional da ação de improbidade referente a fatos que também configuram crime cometido por magistrado estadual é regulado, subsidiariamente, pela Lei 8.112/1990, diante do silêncio da LOMAN; o termo inicial é a data em que a autoridade competente para instaurar o PAD toma ciência do fato.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Discutia-se qual o regime prescricional aplicável a magistrado estadual acusado de improbidade por fatos que também configuram ilícito penal, na ausência de disciplina específica na Lei Orgânica da Magistratura Nacional. O STJ aplicou subsidiariamente a Lei 8.112/1990, fixando o termo inicial na ciência do fato pela autoridade disciplinar competente.</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LC 35/1979 (LOMAN); Lei 8.112/1990 (regime disciplinar federal aplicado subsidiariamente); regime prescricional anterior à Lei 14.230/2021.</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Prescrição intercorrente é de 8 anos: suspensão cautelar do prazo de 4 anos do §5º do art. 23 pela ADI 7.236</w:t>
      </w:r>
    </w:p>
    <w:p>
      <w:pPr>
        <w:spacing w:after="80"/>
      </w:pPr>
      <w:r>
        <w:rPr>
          <w:b/>
          <w:bCs/>
        </w:rPr>
        <w:t xml:space="preserve">Tribunal: </w:t>
      </w:r>
      <w:r>
        <w:t xml:space="preserve">STF  |  Órgão: —</w:t>
      </w:r>
    </w:p>
    <w:p>
      <w:pPr>
        <w:spacing w:after="80"/>
      </w:pPr>
      <w:r>
        <w:rPr>
          <w:b/>
          <w:bCs/>
        </w:rPr>
        <w:t xml:space="preserve">Processo: </w:t>
      </w:r>
      <w:r>
        <w:t xml:space="preserve">Medida cautelar na ADI 7.236/DF  |  Relator: Min. Alexandre de Moraes  |  Data: 27/12/2022</w:t>
      </w:r>
    </w:p>
    <w:p>
      <w:pPr>
        <w:spacing w:after="80"/>
      </w:pPr>
      <w:r>
        <w:rPr>
          <w:b/>
          <w:bCs/>
        </w:rPr>
        <w:t xml:space="preserve">Sistemática: </w:t>
      </w:r>
      <w:r>
        <w:t xml:space="preserve">Caso Isolado [VERIFICAR — decisão monocrática em medida cautelar, ainda pendente de referendo pelo Plenário; incluída apenas como contexto necessário à compreensão do prazo de 8 anos]</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O Ministro Alexandre de Moraes, em medida cautelar monocrática na ADI 7.236, suspendeu a eficácia do §5º do art. 23 da LIA (prazo de 4 anos para prescrição intercorrente), fazendo prevalecer o prazo geral de 8 anos do caput, entendimento que orienta toda a jurisprudência do STJ sobre o tema.</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A associação nacional de membros do Ministério Público impugnou diversos dispositivos da Lei 14.230/2021 perante o STF (ADI 7.236), entre eles o §5º do art. 23, que previa prazo de apenas 4 anos para a prescrição intercorrente. A suspensão cautelar dessa norma é pressuposto de todas as decisões do STJ que aplicam o prazo de 8 anos para a prescrição intercorrente.</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Base normativa de REsp 1.931.489-DF (prescrição intercorrente); também suspendeu o §1º do art. 12 e o §4º do art. 21 da LIA.</w:t>
      </w:r>
    </w:p>
    <w:p>
      <w:pPr>
        <w:spacing w:after="100"/>
      </w:pPr>
      <w:r>
        <w:rPr>
          <w:rFonts w:ascii="Segoe UI Emoji" w:cs="Segoe UI Emoji" w:eastAsia="Segoe UI Emoji" w:hAnsi="Segoe UI Emoji"/>
        </w:rPr>
        <w:t xml:space="preserve">⚠ </w:t>
      </w:r>
      <w:r>
        <w:rPr>
          <w:b/>
          <w:bCs/>
          <w:color w:val="C00000"/>
        </w:rPr>
        <w:t xml:space="preserve">[VERIFICAR] Dado(s) de citação incompletos/pendentes de confirmação — não incluído no arquivo de importação (.txt).</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Acordo de Não Persecução Cível (ANPC)</w:t>
      </w:r>
    </w:p>
    <w:p>
      <w:pPr>
        <w:pStyle w:val="Heading3"/>
        <w:spacing w:after="80" w:before="200"/>
      </w:pPr>
      <w:r>
        <w:rPr>
          <w:rFonts w:ascii="Segoe UI Emoji" w:cs="Segoe UI Emoji" w:eastAsia="Segoe UI Emoji" w:hAnsi="Segoe UI Emoji"/>
        </w:rPr>
        <w:t xml:space="preserve">📌 </w:t>
      </w:r>
      <w:r>
        <w:t xml:space="preserve">Em concurso de agentes, o ANPC pode limitar o ressarcimento à contribuição causal de cada um</w:t>
      </w:r>
    </w:p>
    <w:p>
      <w:pPr>
        <w:spacing w:after="80"/>
      </w:pPr>
      <w:r>
        <w:rPr>
          <w:b/>
          <w:bCs/>
        </w:rPr>
        <w:t xml:space="preserve">Tribunal: </w:t>
      </w:r>
      <w:r>
        <w:t xml:space="preserve">STJ  |  Órgão: 1ª Turma</w:t>
      </w:r>
    </w:p>
    <w:p>
      <w:pPr>
        <w:spacing w:after="80"/>
      </w:pPr>
      <w:r>
        <w:rPr>
          <w:b/>
          <w:bCs/>
        </w:rPr>
        <w:t xml:space="preserve">Processo: </w:t>
      </w:r>
      <w:r>
        <w:t xml:space="preserve">REsp 2.263.884-SE  |  Relator: Min. Regina Helena Costa  |  Data: 02/06/2026</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1) É cláusula obrigatória do ANPC o compromisso de reparação integral do dano, limitado, em caso de concurso de agentes, à contribuição causal do imputado, desde que mensurável sua participação (art. 17-C, §2º, veda solidariedade); 2) o art. 17-B, §2º, autoriza controle judicial formal e substancial do ANPC, sob pena de o juiz tornar-se mero avalista acrítico do acordo.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Deputado estadual, condenado solidariamente com outros sete réus por desvio de recursos, celebrou ANPC durante a apelação, comprometendo-se a devolver metade do prejuízo, proporcional à sua participação apurada pelo próprio Tribunal. O relator recusou a homologação por entender exigível o ressarcimento integral do dano total. O STJ reformou, esclarecendo que a exigência de integralidade se refere à contribuição causal de cada agente, não ao dano total do grupo.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muito próximo ao cobrado na FGV Prom Jus MPE MT/2026 (Q21); art. 17-B, §§1º e 2º, e art. 17-C, §2º, da LIA.</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Requisitos cumulativos do ANPC: oitiva do ente lesado, aprovação do órgão ministerial competente e homologação judicial</w:t>
      </w:r>
    </w:p>
    <w:p>
      <w:pPr>
        <w:spacing w:after="80"/>
      </w:pPr>
      <w:r>
        <w:rPr>
          <w:b/>
          <w:bCs/>
        </w:rPr>
        <w:t xml:space="preserve">Tribunal: </w:t>
      </w:r>
      <w:r>
        <w:t xml:space="preserve">—  |  Órgão: —</w:t>
      </w:r>
    </w:p>
    <w:p>
      <w:pPr>
        <w:spacing w:after="80"/>
      </w:pPr>
      <w:r>
        <w:rPr>
          <w:b/>
          <w:bCs/>
        </w:rPr>
        <w:t xml:space="preserve">Processo: </w:t>
      </w:r>
      <w:r>
        <w:t xml:space="preserve">Entendimento consolidado do art. 17-B, §1º, da LIA  |  Relator: —  |  Data: —</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celebração do ANPC, antes ou depois do ajuizamento da ação, depende cumulativamente da oitiva do ente lesado, da aprovação do órgão do Ministério Público competente para apreciar arquivamento de inquéritos civis e de homologação judicial, não sendo a manifestação do ente lesado vinculante.</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Tema estruturante do ANPC, exaustivamente cobrado pela FGV em 2025-2026, que testa a compreensão dos requisitos formais cumulativos do acordo, distinguindo-os da legitimidade para propositura da ação (concorrente e disjuntiva entre MP e pessoa jurídica interessada, após ADI 7.042/7.043).</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cobrado: FGV Prom Jus MPE MT/2026 (Q20-21), NeR TJ ES/2025 (Q23), JE TJSE/Remoção/2023 (Q15); art. 17-B, §1º, da LIA; ADI 7.042 e 7.043/DF.</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ANPC pode ser celebrado mesmo com a ação de improbidade já em fase recursal</w:t>
      </w:r>
    </w:p>
    <w:p>
      <w:pPr>
        <w:spacing w:after="80"/>
      </w:pPr>
      <w:r>
        <w:rPr>
          <w:b/>
          <w:bCs/>
        </w:rPr>
        <w:t xml:space="preserve">Tribunal: </w:t>
      </w:r>
      <w:r>
        <w:t xml:space="preserve">STJ  |  Órgão: 1ª Seção</w:t>
      </w:r>
    </w:p>
    <w:p>
      <w:pPr>
        <w:spacing w:after="80"/>
      </w:pPr>
      <w:r>
        <w:rPr>
          <w:b/>
          <w:bCs/>
        </w:rPr>
        <w:t xml:space="preserve">Processo: </w:t>
      </w:r>
      <w:r>
        <w:t xml:space="preserve">EAREsp 102.585-RS  |  Relator: Min. Gurgel de Faria  |  Data: 09/03/2022</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É possível a homologação judicial de acordo de não persecução cível no âmbito de ação de improbidade administrativa já em fase recursal, não havendo óbice à sua celebração após a sentença condenatória, enquanto pendente o trânsito em julgado.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Discussão sobre o momento processual limite para a celebração do ANPC. O STJ, em embargos de divergência, admitiu expressamente sua celebração mesmo na fase recursal, favorecendo a solução consensual de litígios de improbidade em qualquer fase do processo, até a formação da coisa julgada.</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17-B da LIA; reafirmado no Acordo no AREsp 1.314.581/SP (STJ, 1ª Turma, 23/02/2021).</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Recusa do Promotor de Justiça em celebrar ANPC comporta pedido de revisão ao Conselho Superior do MP</w:t>
      </w:r>
    </w:p>
    <w:p>
      <w:pPr>
        <w:spacing w:after="80"/>
      </w:pPr>
      <w:r>
        <w:rPr>
          <w:b/>
          <w:bCs/>
        </w:rPr>
        <w:t xml:space="preserve">Tribunal: </w:t>
      </w:r>
      <w:r>
        <w:t xml:space="preserve">—  |  Órgão: —</w:t>
      </w:r>
    </w:p>
    <w:p>
      <w:pPr>
        <w:spacing w:after="80"/>
      </w:pPr>
      <w:r>
        <w:rPr>
          <w:b/>
          <w:bCs/>
        </w:rPr>
        <w:t xml:space="preserve">Processo: </w:t>
      </w:r>
      <w:r>
        <w:t xml:space="preserve">[VERIFICAR — tema de prova FGV; sistemática do controle interno do arquivamento aplicada por analogia ao ANPC]  |  Relator: —  |  Data: —</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Não existe direito subjetivo do investigado à celebração do ANPC. Havendo discordância do Promotor de Justiça quanto às cláusulas propostas e decisão de não celebrar o acordo, é cabível ao investigado requerer revisão ao Conselho Superior do Ministério Público, por aplicação analógica do sistema de controle do arquivamento do inquérito civil.</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Tema testado em caso envolvendo agente público que teria acumulado ilicitamente cargos públicos, apurado mediante inquérito civil, no qual se discutiu a natureza jurídica da negativa de celebração do ANPC e os mecanismos de controle interno disponíveis ao investigado.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Tema cobrado: FGV Prom Jus (MPE RJ)/2026, Q19 (Gabarito E); art. 17-B da LIA; sistemática de controle do arquivamento do inquérito civil (Lei 7.347/85 e Resoluções do CNMP).</w:t>
      </w:r>
    </w:p>
    <w:p>
      <w:pPr>
        <w:spacing w:after="100"/>
      </w:pPr>
      <w:r>
        <w:rPr>
          <w:rFonts w:ascii="Segoe UI Emoji" w:cs="Segoe UI Emoji" w:eastAsia="Segoe UI Emoji" w:hAnsi="Segoe UI Emoji"/>
        </w:rPr>
        <w:t xml:space="preserve">⚠ </w:t>
      </w:r>
      <w:r>
        <w:rPr>
          <w:b/>
          <w:bCs/>
          <w:color w:val="C00000"/>
        </w:rPr>
        <w:t xml:space="preserve">[VERIFICAR] Dado(s) de citação incompletos/pendentes de confirmação — não incluído no arquivo de importação (.txt).</w:t>
      </w:r>
    </w:p>
    <w:p>
      <w:pPr>
        <w:spacing w:after="60"/>
      </w:pPr>
      <w:r>
        <w:rPr>
          <w:i/>
          <w:iCs/>
          <w:color w:val="595959"/>
          <w:sz w:val="18"/>
          <w:szCs w:val="18"/>
        </w:rPr>
        <w:t xml:space="preserve">Data da consulta: 06/08/2026</w:t>
      </w:r>
    </w:p>
    <w:p>
      <w:pPr>
        <w:pBdr>
          <w:bottom w:val="single" w:color="BFBFBF" w:sz="6"/>
        </w:pBdr>
        <w:spacing w:after="120" w:before="120"/>
      </w:pPr>
    </w:p>
    <w:p>
      <w:pPr>
        <w:pStyle w:val="Heading1"/>
        <w:spacing w:after="200" w:before="200"/>
      </w:pPr>
      <w:r>
        <w:t xml:space="preserve">Outros Temas (Execução, Leniência, Medidas Atípicas, Dano Moral Coletivo)</w:t>
      </w:r>
    </w:p>
    <w:p>
      <w:pPr>
        <w:pStyle w:val="Heading3"/>
        <w:spacing w:after="80" w:before="200"/>
      </w:pPr>
      <w:r>
        <w:rPr>
          <w:rFonts w:ascii="Segoe UI Emoji" w:cs="Segoe UI Emoji" w:eastAsia="Segoe UI Emoji" w:hAnsi="Segoe UI Emoji"/>
        </w:rPr>
        <w:t xml:space="preserve">📌 </w:t>
      </w:r>
      <w:r>
        <w:t xml:space="preserve">Acordo de leniência não afasta o dever de reparação integral do dano, exigível em ação própria ou na própria ação de improbidade</w:t>
      </w:r>
    </w:p>
    <w:p>
      <w:pPr>
        <w:spacing w:after="80"/>
      </w:pPr>
      <w:r>
        <w:rPr>
          <w:b/>
          <w:bCs/>
        </w:rPr>
        <w:t xml:space="preserve">Tribunal: </w:t>
      </w:r>
      <w:r>
        <w:t xml:space="preserve">STJ  |  Órgão: 2ª Turma</w:t>
      </w:r>
    </w:p>
    <w:p>
      <w:pPr>
        <w:spacing w:after="80"/>
      </w:pPr>
      <w:r>
        <w:rPr>
          <w:b/>
          <w:bCs/>
        </w:rPr>
        <w:t xml:space="preserve">Processo: </w:t>
      </w:r>
      <w:r>
        <w:t xml:space="preserve">REsp 1.890.353-PR  |  Relator: Min. Maria Thereza de Assis Moura (Rel. Acd. Min. Francisco Falcão)  |  Data: 11/03/2025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O acordo de leniência (art. 16, §3º, da Lei 12.846/2013) não afasta o dever de reparação integral do dano, podendo a reparação ser postulada em ação própria ou na própria ação de improbidade; a pessoa jurídica lesada tem legitimidade para requerer indenização por perdas e danos no curso da ação de improbidade, mesmo após a desistência da ação pelo ente celebrante do acordo.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Empresa envolvida na Operação Lava Jato firmou acordo de leniência com a União, que desistiu da ação de improbidade contra ela. A Petrobras, admitida como litisconsorte ativa por ser vítima direta, pretendeu prosseguir a demanda para buscar reparação integral. O STJ deu razão à Petrobras, esclarecendo que o acordo de leniência não exime a reparação de danos patrimoniais e extrapatrimoniais, individuais ou coletivos.</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16, §3º, da Lei 12.846/2013 (Lei Anticorrupção); legitimidade da pessoa jurídica lesada como litisconsorte ativo.</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Divergência sobre dano moral coletivo em ação de improbidade após a Lei 14.230/2021</w:t>
      </w:r>
    </w:p>
    <w:p>
      <w:pPr>
        <w:spacing w:after="80"/>
      </w:pPr>
      <w:r>
        <w:rPr>
          <w:b/>
          <w:bCs/>
        </w:rPr>
        <w:t xml:space="preserve">Tribunal: </w:t>
      </w:r>
      <w:r>
        <w:t xml:space="preserve">STJ  |  Órgão: 1ª e 2ª Turmas</w:t>
      </w:r>
    </w:p>
    <w:p>
      <w:pPr>
        <w:spacing w:after="80"/>
      </w:pPr>
      <w:r>
        <w:rPr>
          <w:b/>
          <w:bCs/>
        </w:rPr>
        <w:t xml:space="preserve">Processo: </w:t>
      </w:r>
      <w:r>
        <w:t xml:space="preserve">AREsp 1.987.837-SP (1ª T.) e REsp 2.094.489/SP (2ª T.)  |  Relator: Min. Sérgio Kukina (Rel. Acd. Min. Regina Helena Costa) / Min. Teodoro Silva Santos  |  Data: 07/04/2026 e 16/12/2025</w:t>
      </w:r>
    </w:p>
    <w:p>
      <w:pPr>
        <w:spacing w:after="80"/>
      </w:pPr>
      <w:r>
        <w:rPr>
          <w:b/>
          <w:bCs/>
        </w:rPr>
        <w:t xml:space="preserve">Sistemática: </w:t>
      </w:r>
      <w:r>
        <w:t xml:space="preserve">Caso Isolado — divergência entre Turmas, ainda não uniformizada pela 1ª Seção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1ª Turma do STJ: NÃO é possível a condenação por dano moral coletivo em ação de improbidade após a Lei 14.230/2021, devendo a reparação extrapatrimonial coletiva ser buscada em ação civil pública própria. 2ª Turma do STJ: SIM, ainda é possível, com destinação a fundos de interesse coletivo, por ter a coletividade — e não o ente público — como destinatária da reparação.</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Tema de alta relevância para prova discursiva por envolver divergência não pacificada entre as Turmas da 1ª Seção do STJ. Enquanto a 1ª Turma passou a restringir o objeto da ação de improbidade após a reforma, a 2ª Turma manteve a possibilidade de cumulação de pedido de dano moral coletivo, por entender que a reparação se destina à coletividade lesada, e não ao ente público.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Excelente tema para questão discursiva/sentença por divergência ainda viva; art. 12 da LIA (rol de sanções); Fundo de Defesa de Direitos Difusos.</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Cabem medidas executivas atípicas de cunho não patrimonial no cumprimento de sentença de improbidade</w:t>
      </w:r>
    </w:p>
    <w:p>
      <w:pPr>
        <w:spacing w:after="80"/>
      </w:pPr>
      <w:r>
        <w:rPr>
          <w:b/>
          <w:bCs/>
        </w:rPr>
        <w:t xml:space="preserve">Tribunal: </w:t>
      </w:r>
      <w:r>
        <w:t xml:space="preserve">STJ  |  Órgão: 2ª Turma</w:t>
      </w:r>
    </w:p>
    <w:p>
      <w:pPr>
        <w:spacing w:after="80"/>
      </w:pPr>
      <w:r>
        <w:rPr>
          <w:b/>
          <w:bCs/>
        </w:rPr>
        <w:t xml:space="preserve">Processo: </w:t>
      </w:r>
      <w:r>
        <w:t xml:space="preserve">REsp 1.929.230-MT  |  Relator: Min. Herman Benjamin  |  Data: 04/05/2021</w:t>
      </w:r>
    </w:p>
    <w:p>
      <w:pPr>
        <w:spacing w:after="80"/>
      </w:pPr>
      <w:r>
        <w:rPr>
          <w:b/>
          <w:bCs/>
        </w:rPr>
        <w:t xml:space="preserve">Sistemática: </w:t>
      </w:r>
      <w:r>
        <w:t xml:space="preserve">Caso Isolado [VERIFICAR — julgado em 04/05/2021, marginalmente anterior à janela de 5 anos (jun/2021); mantido por relevância temática e por ainda ser citado como precedente vigente]</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São cabíveis medidas executivas atípicas de cunho não patrimonial — como apreensão de passaporte e suspensão da CNH — no cumprimento de sentença proferida em ação de improbidade administrativa, desde que indícios de patrimônio expropriável, decisão fundamentada e observância do contraditório e da proporcionalidade.</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O STJ estendeu à execução de sentenças de improbidade a mesma lógica das medidas executivas atípicas já admitidas na execução civil comum (art. 139, IV, CPC), reforçando que o interesse público envolvido na tutela da moralidade e do patrimônio público justifica, com ainda mais razão, seu uso subsidiário.</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Art. 139, IV, do CPC; agravo de instrumento cabível contra toda decisão interlocutória em ação de improbidade (REsp 1.925.492-RJ, mesma sessão).</w:t>
      </w:r>
    </w:p>
    <w:p>
      <w:pPr>
        <w:spacing w:after="100"/>
      </w:pPr>
      <w:r>
        <w:rPr>
          <w:rFonts w:ascii="Segoe UI Emoji" w:cs="Segoe UI Emoji" w:eastAsia="Segoe UI Emoji" w:hAnsi="Segoe UI Emoji"/>
        </w:rPr>
        <w:t xml:space="preserve">⚠ </w:t>
      </w:r>
      <w:r>
        <w:rPr>
          <w:b/>
          <w:bCs/>
          <w:color w:val="C00000"/>
        </w:rPr>
        <w:t xml:space="preserve">[VERIFICAR] Dado(s) de citação incompletos/pendentes de confirmação — não incluído no arquivo de importação (.txt).</w:t>
      </w:r>
    </w:p>
    <w:p>
      <w:pPr>
        <w:spacing w:after="60"/>
      </w:pPr>
      <w:r>
        <w:rPr>
          <w:i/>
          <w:iCs/>
          <w:color w:val="595959"/>
          <w:sz w:val="18"/>
          <w:szCs w:val="18"/>
        </w:rPr>
        <w:t xml:space="preserve">Data da consulta: 06/08/2026</w:t>
      </w:r>
    </w:p>
    <w:p>
      <w:pPr>
        <w:pBdr>
          <w:bottom w:val="single" w:color="BFBFBF" w:sz="6"/>
        </w:pBdr>
        <w:spacing w:after="120" w:before="120"/>
      </w:pPr>
    </w:p>
    <w:p>
      <w:pPr>
        <w:pStyle w:val="Heading3"/>
        <w:spacing w:after="80" w:before="200"/>
      </w:pPr>
      <w:r>
        <w:rPr>
          <w:rFonts w:ascii="Segoe UI Emoji" w:cs="Segoe UI Emoji" w:eastAsia="Segoe UI Emoji" w:hAnsi="Segoe UI Emoji"/>
        </w:rPr>
        <w:t xml:space="preserve">📌 </w:t>
      </w:r>
      <w:r>
        <w:t xml:space="preserve">Solidariedade na condenação apesar do art. 17-C, §2º, quando não for possível individualizar a contribuição de cada réu</w:t>
      </w:r>
    </w:p>
    <w:p>
      <w:pPr>
        <w:spacing w:after="80"/>
      </w:pPr>
      <w:r>
        <w:rPr>
          <w:b/>
          <w:bCs/>
        </w:rPr>
        <w:t xml:space="preserve">Tribunal: </w:t>
      </w:r>
      <w:r>
        <w:t xml:space="preserve">STJ  |  Órgão: 1ª Turma</w:t>
      </w:r>
    </w:p>
    <w:p>
      <w:pPr>
        <w:spacing w:after="80"/>
      </w:pPr>
      <w:r>
        <w:rPr>
          <w:b/>
          <w:bCs/>
        </w:rPr>
        <w:t xml:space="preserve">Processo: </w:t>
      </w:r>
      <w:r>
        <w:t xml:space="preserve">AgInt no AREsp 1.485.464-SP  |  Relator: Min. Paulo Sérgio Domingues  |  Data: 08/04/2025</w:t>
      </w:r>
    </w:p>
    <w:p>
      <w:pPr>
        <w:spacing w:after="80"/>
      </w:pPr>
      <w:r>
        <w:rPr>
          <w:b/>
          <w:bCs/>
        </w:rPr>
        <w:t xml:space="preserve">Sistemática: </w:t>
      </w:r>
      <w:r>
        <w:t xml:space="preserve">Caso Isolado</w:t>
      </w:r>
    </w:p>
    <w:p>
      <w:pPr>
        <w:spacing w:after="60" w:before="100"/>
      </w:pPr>
      <w:r>
        <w:rPr>
          <w:rFonts w:ascii="Segoe UI Emoji" w:cs="Segoe UI Emoji" w:eastAsia="Segoe UI Emoji" w:hAnsi="Segoe UI Emoji"/>
        </w:rPr>
        <w:t xml:space="preserve">📍 </w:t>
      </w:r>
      <w:r>
        <w:rPr>
          <w:b/>
          <w:bCs/>
          <w:color w:val="1F3864"/>
        </w:rPr>
        <w:t xml:space="preserve">Tese fixada / Decisão</w:t>
      </w:r>
    </w:p>
    <w:p>
      <w:pPr>
        <w:spacing w:after="100"/>
      </w:pPr>
      <w:r>
        <w:t xml:space="preserve">A vedação à solidariedade do art. 17-C, §2º, da LIA aplica-se quando individualizáveis os desígnios dos agentes; quando todos tiverem participado em unidade de vontades no cometimento da improbidade, é possível atribuir a todos o dever de ressarcir integralmente os danos, por aplicação subsidiária do art. 942 do Código Civil.</w:t>
      </w:r>
    </w:p>
    <w:p>
      <w:pPr>
        <w:spacing w:after="60" w:before="60"/>
      </w:pPr>
      <w:r>
        <w:rPr>
          <w:rFonts w:ascii="Segoe UI Emoji" w:cs="Segoe UI Emoji" w:eastAsia="Segoe UI Emoji" w:hAnsi="Segoe UI Emoji"/>
        </w:rPr>
        <w:t xml:space="preserve">📚 </w:t>
      </w:r>
      <w:r>
        <w:rPr>
          <w:b/>
          <w:bCs/>
          <w:color w:val="1F3864"/>
        </w:rPr>
        <w:t xml:space="preserve">Resumo do caso</w:t>
      </w:r>
    </w:p>
    <w:p>
      <w:pPr>
        <w:spacing w:after="100"/>
      </w:pPr>
      <w:r>
        <w:t xml:space="preserve">Interpretação restritiva da vedação à solidariedade trazida pela reforma de 2021: o STJ esclareceu que a regra do art. 17-C, §2º, pressupõe a possibilidade de individualização das contribuições de cada corréu, não se aplicando aos casos de atuação conjunta e indissociável no ilícito, hipótese em que subsiste a responsabilidade solidária do direito civil comum.</w:t>
      </w:r>
    </w:p>
    <w:p>
      <w:pPr>
        <w:spacing w:after="60" w:before="60"/>
      </w:pPr>
      <w:r>
        <w:rPr>
          <w:rFonts w:ascii="Segoe UI Emoji" w:cs="Segoe UI Emoji" w:eastAsia="Segoe UI Emoji" w:hAnsi="Segoe UI Emoji"/>
        </w:rPr>
        <w:t xml:space="preserve">🔗 </w:t>
      </w:r>
      <w:r>
        <w:rPr>
          <w:b/>
          <w:bCs/>
          <w:color w:val="1F3864"/>
        </w:rPr>
        <w:t xml:space="preserve">Conexões</w:t>
      </w:r>
    </w:p>
    <w:p>
      <w:pPr>
        <w:spacing w:after="100"/>
      </w:pPr>
      <w:r>
        <w:rPr>
          <w:i/>
          <w:iCs/>
        </w:rPr>
        <w:t xml:space="preserve">Contraponto necessário ao Tema 1213/STJ (indisponibilidade solidária) e ao caso do ANPC em concurso de agentes (REsp 2.263.884-SE); art. 17-C, §2º, da LIA; art. 942 do CC.</w:t>
      </w:r>
    </w:p>
    <w:p>
      <w:pPr>
        <w:spacing w:after="60"/>
      </w:pPr>
      <w:r>
        <w:rPr>
          <w:i/>
          <w:iCs/>
          <w:color w:val="595959"/>
          <w:sz w:val="18"/>
          <w:szCs w:val="18"/>
        </w:rPr>
        <w:t xml:space="preserve">Data da consulta: 06/08/2026</w:t>
      </w:r>
    </w:p>
    <w:p>
      <w:pPr>
        <w:pBdr>
          <w:bottom w:val="single" w:color="BFBFBF" w:sz="6"/>
        </w:pBdr>
        <w:spacing w:after="120" w:before="120"/>
      </w:pPr>
    </w:p>
    <w:p>
      <w:r>
        <w:br w:type="page"/>
      </w:r>
    </w:p>
    <w:p>
      <w:pPr>
        <w:pStyle w:val="Heading1"/>
      </w:pPr>
      <w:r>
        <w:t xml:space="preserve">Índice Navegável de Julgados</w:t>
      </w:r>
    </w:p>
    <w:p>
      <w:pPr>
        <w:spacing w:after="200"/>
      </w:pPr>
      <w:r>
        <w:rPr>
          <w:i/>
          <w:iCs/>
          <w:color w:val="595959"/>
          <w:sz w:val="20"/>
          <w:szCs w:val="20"/>
        </w:rPr>
        <w:t xml:space="preserve">Lista completa dos julgados desta curadoria, organizada por subtema, com referência de processo e sistemática. Use o Sumário (início do documento) para navegação direta por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4"/>
        <w:gridCol w:w="3149"/>
        <w:gridCol w:w="787"/>
        <w:gridCol w:w="2362"/>
        <w:gridCol w:w="1968"/>
        <w:gridCol w:w="1181"/>
      </w:tblGrid>
      <w:tr>
        <w:trPr>
          <w:tblHeader/>
        </w:trPr>
        <w:tc>
          <w:tcPr>
            <w:tcW w:type="pct" w:w="4%"/>
            <w:shd w:fill="1F3864" w:val="clear"/>
            <w:vAlign w:val="center"/>
          </w:tcPr>
          <w:p>
            <w:r>
              <w:rPr>
                <w:b/>
                <w:bCs/>
                <w:color w:val="FFFFFF"/>
                <w:sz w:val="18"/>
                <w:szCs w:val="18"/>
              </w:rPr>
              <w:t xml:space="preserve">#</w:t>
            </w:r>
          </w:p>
        </w:tc>
        <w:tc>
          <w:tcPr>
            <w:tcW w:type="pct" w:w="32%"/>
            <w:shd w:fill="1F3864" w:val="clear"/>
            <w:vAlign w:val="center"/>
          </w:tcPr>
          <w:p>
            <w:r>
              <w:rPr>
                <w:b/>
                <w:bCs/>
                <w:color w:val="FFFFFF"/>
                <w:sz w:val="18"/>
                <w:szCs w:val="18"/>
              </w:rPr>
              <w:t xml:space="preserve">Julgado / Tema</w:t>
            </w:r>
          </w:p>
        </w:tc>
        <w:tc>
          <w:tcPr>
            <w:tcW w:type="pct" w:w="8%"/>
            <w:shd w:fill="1F3864" w:val="clear"/>
            <w:vAlign w:val="center"/>
          </w:tcPr>
          <w:p>
            <w:r>
              <w:rPr>
                <w:b/>
                <w:bCs/>
                <w:color w:val="FFFFFF"/>
                <w:sz w:val="18"/>
                <w:szCs w:val="18"/>
              </w:rPr>
              <w:t xml:space="preserve">Tribunal</w:t>
            </w:r>
          </w:p>
        </w:tc>
        <w:tc>
          <w:tcPr>
            <w:tcW w:type="pct" w:w="24%"/>
            <w:shd w:fill="1F3864" w:val="clear"/>
            <w:vAlign w:val="center"/>
          </w:tcPr>
          <w:p>
            <w:r>
              <w:rPr>
                <w:b/>
                <w:bCs/>
                <w:color w:val="FFFFFF"/>
                <w:sz w:val="18"/>
                <w:szCs w:val="18"/>
              </w:rPr>
              <w:t xml:space="preserve">Processo</w:t>
            </w:r>
          </w:p>
        </w:tc>
        <w:tc>
          <w:tcPr>
            <w:tcW w:type="pct" w:w="20%"/>
            <w:shd w:fill="1F3864" w:val="clear"/>
            <w:vAlign w:val="center"/>
          </w:tcPr>
          <w:p>
            <w:r>
              <w:rPr>
                <w:b/>
                <w:bCs/>
                <w:color w:val="FFFFFF"/>
                <w:sz w:val="18"/>
                <w:szCs w:val="18"/>
              </w:rPr>
              <w:t xml:space="preserve">Sistemática</w:t>
            </w:r>
          </w:p>
        </w:tc>
        <w:tc>
          <w:tcPr>
            <w:tcW w:type="pct" w:w="12%"/>
            <w:shd w:fill="1F3864" w:val="clear"/>
            <w:vAlign w:val="center"/>
          </w:tcPr>
          <w:p>
            <w:r>
              <w:rPr>
                <w:b/>
                <w:bCs/>
                <w:color w:val="FFFFFF"/>
                <w:sz w:val="18"/>
                <w:szCs w:val="18"/>
              </w:rPr>
              <w:t xml:space="preserve">Data</w:t>
            </w:r>
          </w:p>
        </w:tc>
      </w:tr>
      <w:tr>
        <w:tc>
          <w:tcPr>
            <w:tcW w:type="pct" w:w="4%"/>
            <w:shd w:fill="F2F2F2" w:val="clear"/>
          </w:tcPr>
          <w:p>
            <w:r>
              <w:rPr>
                <w:sz w:val="16"/>
                <w:szCs w:val="16"/>
              </w:rPr>
              <w:t xml:space="preserve">1</w:t>
            </w:r>
          </w:p>
        </w:tc>
        <w:tc>
          <w:tcPr>
            <w:tcW w:type="pct" w:w="34%"/>
            <w:shd w:fill="F2F2F2" w:val="clear"/>
          </w:tcPr>
          <w:p>
            <w:r>
              <w:rPr>
                <w:sz w:val="16"/>
                <w:szCs w:val="16"/>
              </w:rPr>
              <w:t xml:space="preserve">Constitucionalidade dos arts. 2º, 12, 13, 15 e 21 da LIA</w:t>
            </w:r>
          </w:p>
        </w:tc>
        <w:tc>
          <w:tcPr>
            <w:tcW w:type="pct" w:w="8%"/>
            <w:shd w:fill="F2F2F2" w:val="clear"/>
          </w:tcPr>
          <w:p>
            <w:r>
              <w:rPr>
                <w:sz w:val="16"/>
                <w:szCs w:val="16"/>
              </w:rPr>
              <w:t xml:space="preserve">STF</w:t>
            </w:r>
          </w:p>
        </w:tc>
        <w:tc>
          <w:tcPr>
            <w:tcW w:type="pct" w:w="22%"/>
            <w:shd w:fill="F2F2F2" w:val="clear"/>
          </w:tcPr>
          <w:p>
            <w:r>
              <w:rPr>
                <w:sz w:val="16"/>
                <w:szCs w:val="16"/>
              </w:rPr>
              <w:t xml:space="preserve">ADI 4.295/DF</w:t>
            </w:r>
          </w:p>
        </w:tc>
        <w:tc>
          <w:tcPr>
            <w:tcW w:type="pct" w:w="18%"/>
            <w:shd w:fill="F2F2F2" w:val="clear"/>
          </w:tcPr>
          <w:p>
            <w:r>
              <w:rPr>
                <w:sz w:val="16"/>
                <w:szCs w:val="16"/>
              </w:rPr>
              <w:t xml:space="preserve">Controle Concentrado</w:t>
            </w:r>
          </w:p>
        </w:tc>
        <w:tc>
          <w:tcPr>
            <w:tcW w:type="pct" w:w="8%"/>
            <w:shd w:fill="F2F2F2" w:val="clear"/>
          </w:tcPr>
          <w:p>
            <w:r>
              <w:rPr>
                <w:sz w:val="16"/>
                <w:szCs w:val="16"/>
              </w:rPr>
              <w:t xml:space="preserve">22/08/2023</w:t>
            </w:r>
          </w:p>
        </w:tc>
      </w:tr>
      <w:tr>
        <w:tc>
          <w:tcPr>
            <w:tcW w:type="pct" w:w="4%"/>
            <w:shd w:fill="FFFFFF" w:val="clear"/>
          </w:tcPr>
          <w:p>
            <w:r>
              <w:rPr>
                <w:sz w:val="16"/>
                <w:szCs w:val="16"/>
              </w:rPr>
              <w:t xml:space="preserve">2</w:t>
            </w:r>
          </w:p>
        </w:tc>
        <w:tc>
          <w:tcPr>
            <w:tcW w:type="pct" w:w="34%"/>
            <w:shd w:fill="FFFFFF" w:val="clear"/>
          </w:tcPr>
          <w:p>
            <w:r>
              <w:rPr>
                <w:sz w:val="16"/>
                <w:szCs w:val="16"/>
              </w:rPr>
              <w:t xml:space="preserve">Legitimidade concorrente da pessoa jurídica interessada e inexistência de obrigatoriedade de defesa pela assessoria jurídica</w:t>
            </w:r>
          </w:p>
        </w:tc>
        <w:tc>
          <w:tcPr>
            <w:tcW w:type="pct" w:w="8%"/>
            <w:shd w:fill="FFFFFF" w:val="clear"/>
          </w:tcPr>
          <w:p>
            <w:r>
              <w:rPr>
                <w:sz w:val="16"/>
                <w:szCs w:val="16"/>
              </w:rPr>
              <w:t xml:space="preserve">STF</w:t>
            </w:r>
          </w:p>
        </w:tc>
        <w:tc>
          <w:tcPr>
            <w:tcW w:type="pct" w:w="22%"/>
            <w:shd w:fill="FFFFFF" w:val="clear"/>
          </w:tcPr>
          <w:p>
            <w:r>
              <w:rPr>
                <w:sz w:val="16"/>
                <w:szCs w:val="16"/>
              </w:rPr>
              <w:t xml:space="preserve">ADI 7.042/DF e ADI 7.043/DF</w:t>
            </w:r>
          </w:p>
        </w:tc>
        <w:tc>
          <w:tcPr>
            <w:tcW w:type="pct" w:w="18%"/>
            <w:shd w:fill="FFFFFF" w:val="clear"/>
          </w:tcPr>
          <w:p>
            <w:r>
              <w:rPr>
                <w:sz w:val="16"/>
                <w:szCs w:val="16"/>
              </w:rPr>
              <w:t xml:space="preserve">Controle Concentrado</w:t>
            </w:r>
          </w:p>
        </w:tc>
        <w:tc>
          <w:tcPr>
            <w:tcW w:type="pct" w:w="8%"/>
            <w:shd w:fill="FFFFFF" w:val="clear"/>
          </w:tcPr>
          <w:p>
            <w:r>
              <w:rPr>
                <w:sz w:val="16"/>
                <w:szCs w:val="16"/>
              </w:rPr>
              <w:t xml:space="preserve">31/08/2022</w:t>
            </w:r>
          </w:p>
        </w:tc>
      </w:tr>
      <w:tr>
        <w:tc>
          <w:tcPr>
            <w:tcW w:type="pct" w:w="4%"/>
            <w:shd w:fill="F2F2F2" w:val="clear"/>
          </w:tcPr>
          <w:p>
            <w:r>
              <w:rPr>
                <w:sz w:val="16"/>
                <w:szCs w:val="16"/>
              </w:rPr>
              <w:t xml:space="preserve">3</w:t>
            </w:r>
          </w:p>
        </w:tc>
        <w:tc>
          <w:tcPr>
            <w:tcW w:type="pct" w:w="34%"/>
            <w:shd w:fill="F2F2F2" w:val="clear"/>
          </w:tcPr>
          <w:p>
            <w:r>
              <w:rPr>
                <w:sz w:val="16"/>
                <w:szCs w:val="16"/>
              </w:rPr>
              <w:t xml:space="preserve">Colaboração premiada em ação civil de improbidade administrativa</w:t>
            </w:r>
          </w:p>
        </w:tc>
        <w:tc>
          <w:tcPr>
            <w:tcW w:type="pct" w:w="8%"/>
            <w:shd w:fill="F2F2F2" w:val="clear"/>
          </w:tcPr>
          <w:p>
            <w:r>
              <w:rPr>
                <w:sz w:val="16"/>
                <w:szCs w:val="16"/>
              </w:rPr>
              <w:t xml:space="preserve">STF</w:t>
            </w:r>
          </w:p>
        </w:tc>
        <w:tc>
          <w:tcPr>
            <w:tcW w:type="pct" w:w="22%"/>
            <w:shd w:fill="F2F2F2" w:val="clear"/>
          </w:tcPr>
          <w:p>
            <w:r>
              <w:rPr>
                <w:sz w:val="16"/>
                <w:szCs w:val="16"/>
              </w:rPr>
              <w:t xml:space="preserve">ARE 1.175.650/PR</w:t>
            </w:r>
          </w:p>
        </w:tc>
        <w:tc>
          <w:tcPr>
            <w:tcW w:type="pct" w:w="18%"/>
            <w:shd w:fill="F2F2F2" w:val="clear"/>
          </w:tcPr>
          <w:p>
            <w:r>
              <w:rPr>
                <w:sz w:val="16"/>
                <w:szCs w:val="16"/>
              </w:rPr>
              <w:t xml:space="preserve">Repercussão Geral – Tema 1043</w:t>
            </w:r>
          </w:p>
        </w:tc>
        <w:tc>
          <w:tcPr>
            <w:tcW w:type="pct" w:w="8%"/>
            <w:shd w:fill="F2F2F2" w:val="clear"/>
          </w:tcPr>
          <w:p>
            <w:r>
              <w:rPr>
                <w:sz w:val="16"/>
                <w:szCs w:val="16"/>
              </w:rPr>
              <w:t xml:space="preserve">01/07/2023</w:t>
            </w:r>
          </w:p>
        </w:tc>
      </w:tr>
      <w:tr>
        <w:tc>
          <w:tcPr>
            <w:tcW w:type="pct" w:w="4%"/>
            <w:shd w:fill="FFFFFF" w:val="clear"/>
          </w:tcPr>
          <w:p>
            <w:r>
              <w:rPr>
                <w:sz w:val="16"/>
                <w:szCs w:val="16"/>
              </w:rPr>
              <w:t xml:space="preserve">4</w:t>
            </w:r>
          </w:p>
        </w:tc>
        <w:tc>
          <w:tcPr>
            <w:tcW w:type="pct" w:w="34%"/>
            <w:shd w:fill="FFFFFF" w:val="clear"/>
          </w:tcPr>
          <w:p>
            <w:r>
              <w:rPr>
                <w:sz w:val="16"/>
                <w:szCs w:val="16"/>
              </w:rPr>
              <w:t xml:space="preserve">Bis in idem entre crime eleitoral de caixa dois e improbidade administrativa</w:t>
            </w:r>
          </w:p>
        </w:tc>
        <w:tc>
          <w:tcPr>
            <w:tcW w:type="pct" w:w="8%"/>
            <w:shd w:fill="FFFFFF" w:val="clear"/>
          </w:tcPr>
          <w:p>
            <w:r>
              <w:rPr>
                <w:sz w:val="16"/>
                <w:szCs w:val="16"/>
              </w:rPr>
              <w:t xml:space="preserve">STF</w:t>
            </w:r>
          </w:p>
        </w:tc>
        <w:tc>
          <w:tcPr>
            <w:tcW w:type="pct" w:w="22%"/>
            <w:shd w:fill="FFFFFF" w:val="clear"/>
          </w:tcPr>
          <w:p>
            <w:r>
              <w:rPr>
                <w:sz w:val="16"/>
                <w:szCs w:val="16"/>
              </w:rPr>
              <w:t xml:space="preserve">ARE 1.428.742/SP</w:t>
            </w:r>
          </w:p>
        </w:tc>
        <w:tc>
          <w:tcPr>
            <w:tcW w:type="pct" w:w="18%"/>
            <w:shd w:fill="FFFFFF" w:val="clear"/>
          </w:tcPr>
          <w:p>
            <w:r>
              <w:rPr>
                <w:sz w:val="16"/>
                <w:szCs w:val="16"/>
              </w:rPr>
              <w:t xml:space="preserve">Repercussão Geral – Tema 1.260</w:t>
            </w:r>
          </w:p>
        </w:tc>
        <w:tc>
          <w:tcPr>
            <w:tcW w:type="pct" w:w="8%"/>
            <w:shd w:fill="FFFFFF" w:val="clear"/>
          </w:tcPr>
          <w:p>
            <w:r>
              <w:rPr>
                <w:sz w:val="16"/>
                <w:szCs w:val="16"/>
              </w:rPr>
              <w:t xml:space="preserve">09/02/2026</w:t>
            </w:r>
          </w:p>
        </w:tc>
      </w:tr>
      <w:tr>
        <w:tc>
          <w:tcPr>
            <w:tcW w:type="pct" w:w="4%"/>
            <w:shd w:fill="F2F2F2" w:val="clear"/>
          </w:tcPr>
          <w:p>
            <w:r>
              <w:rPr>
                <w:sz w:val="16"/>
                <w:szCs w:val="16"/>
              </w:rPr>
              <w:t xml:space="preserve">5</w:t>
            </w:r>
          </w:p>
        </w:tc>
        <w:tc>
          <w:tcPr>
            <w:tcW w:type="pct" w:w="34%"/>
            <w:shd w:fill="F2F2F2" w:val="clear"/>
          </w:tcPr>
          <w:p>
            <w:r>
              <w:rPr>
                <w:sz w:val="16"/>
                <w:szCs w:val="16"/>
              </w:rPr>
              <w:t xml:space="preserve">Uso simultâneo da LIA e da Lei Anticorrupção na mesma ação civil não configura bis in idem por si só</w:t>
            </w:r>
          </w:p>
        </w:tc>
        <w:tc>
          <w:tcPr>
            <w:tcW w:type="pct" w:w="8%"/>
            <w:shd w:fill="F2F2F2" w:val="clear"/>
          </w:tcPr>
          <w:p>
            <w:r>
              <w:rPr>
                <w:sz w:val="16"/>
                <w:szCs w:val="16"/>
              </w:rPr>
              <w:t xml:space="preserve">STJ</w:t>
            </w:r>
          </w:p>
        </w:tc>
        <w:tc>
          <w:tcPr>
            <w:tcW w:type="pct" w:w="22%"/>
            <w:shd w:fill="F2F2F2" w:val="clear"/>
          </w:tcPr>
          <w:p>
            <w:r>
              <w:rPr>
                <w:sz w:val="16"/>
                <w:szCs w:val="16"/>
              </w:rPr>
              <w:t xml:space="preserve">REsp 2.107.398-RJ</w:t>
            </w:r>
          </w:p>
        </w:tc>
        <w:tc>
          <w:tcPr>
            <w:tcW w:type="pct" w:w="18%"/>
            <w:shd w:fill="F2F2F2" w:val="clear"/>
          </w:tcPr>
          <w:p>
            <w:r>
              <w:rPr>
                <w:sz w:val="16"/>
                <w:szCs w:val="16"/>
              </w:rPr>
              <w:t xml:space="preserve">Caso Isolado</w:t>
            </w:r>
          </w:p>
        </w:tc>
        <w:tc>
          <w:tcPr>
            <w:tcW w:type="pct" w:w="8%"/>
            <w:shd w:fill="F2F2F2" w:val="clear"/>
          </w:tcPr>
          <w:p>
            <w:r>
              <w:rPr>
                <w:sz w:val="16"/>
                <w:szCs w:val="16"/>
              </w:rPr>
              <w:t xml:space="preserve">18/02/2025</w:t>
            </w:r>
          </w:p>
        </w:tc>
      </w:tr>
      <w:tr>
        <w:tc>
          <w:tcPr>
            <w:tcW w:type="pct" w:w="4%"/>
            <w:shd w:fill="FFFFFF" w:val="clear"/>
          </w:tcPr>
          <w:p>
            <w:r>
              <w:rPr>
                <w:sz w:val="16"/>
                <w:szCs w:val="16"/>
              </w:rPr>
              <w:t xml:space="preserve">6</w:t>
            </w:r>
          </w:p>
        </w:tc>
        <w:tc>
          <w:tcPr>
            <w:tcW w:type="pct" w:w="34%"/>
            <w:shd w:fill="FFFFFF" w:val="clear"/>
          </w:tcPr>
          <w:p>
            <w:r>
              <w:rPr>
                <w:sz w:val="16"/>
                <w:szCs w:val="16"/>
              </w:rPr>
              <w:t xml:space="preserve">Absolvição em mandado de segurança sobre proporcionalidade da pena não impede ação de improbidade pelos mesmos fatos</w:t>
            </w:r>
          </w:p>
        </w:tc>
        <w:tc>
          <w:tcPr>
            <w:tcW w:type="pct" w:w="8%"/>
            <w:shd w:fill="FFFFFF" w:val="clear"/>
          </w:tcPr>
          <w:p>
            <w:r>
              <w:rPr>
                <w:sz w:val="16"/>
                <w:szCs w:val="16"/>
              </w:rPr>
              <w:t xml:space="preserve">STJ</w:t>
            </w:r>
          </w:p>
        </w:tc>
        <w:tc>
          <w:tcPr>
            <w:tcW w:type="pct" w:w="22%"/>
            <w:shd w:fill="FFFFFF" w:val="clear"/>
          </w:tcPr>
          <w:p>
            <w:r>
              <w:rPr>
                <w:sz w:val="16"/>
                <w:szCs w:val="16"/>
              </w:rPr>
              <w:t xml:space="preserve">AgInt no AgInt no REsp 1.928.279-RS</w:t>
            </w:r>
          </w:p>
        </w:tc>
        <w:tc>
          <w:tcPr>
            <w:tcW w:type="pct" w:w="18%"/>
            <w:shd w:fill="FFFFFF" w:val="clear"/>
          </w:tcPr>
          <w:p>
            <w:r>
              <w:rPr>
                <w:sz w:val="16"/>
                <w:szCs w:val="16"/>
              </w:rPr>
              <w:t xml:space="preserve">Caso Isolado</w:t>
            </w:r>
          </w:p>
        </w:tc>
        <w:tc>
          <w:tcPr>
            <w:tcW w:type="pct" w:w="8%"/>
            <w:shd w:fill="FFFFFF" w:val="clear"/>
          </w:tcPr>
          <w:p>
            <w:r>
              <w:rPr>
                <w:sz w:val="16"/>
                <w:szCs w:val="16"/>
              </w:rPr>
              <w:t xml:space="preserve">02/06/2026</w:t>
            </w:r>
          </w:p>
        </w:tc>
      </w:tr>
      <w:tr>
        <w:tc>
          <w:tcPr>
            <w:tcW w:type="pct" w:w="4%"/>
            <w:shd w:fill="F2F2F2" w:val="clear"/>
          </w:tcPr>
          <w:p>
            <w:r>
              <w:rPr>
                <w:sz w:val="16"/>
                <w:szCs w:val="16"/>
              </w:rPr>
              <w:t xml:space="preserve">7</w:t>
            </w:r>
          </w:p>
        </w:tc>
        <w:tc>
          <w:tcPr>
            <w:tcW w:type="pct" w:w="34%"/>
            <w:shd w:fill="F2F2F2" w:val="clear"/>
          </w:tcPr>
          <w:p>
            <w:r>
              <w:rPr>
                <w:sz w:val="16"/>
                <w:szCs w:val="16"/>
              </w:rPr>
              <w:t xml:space="preserve">Prosseguimento de ação de improbidade exclusivamente contra particular quando agentes públicos respondem em demanda conexa</w:t>
            </w:r>
          </w:p>
        </w:tc>
        <w:tc>
          <w:tcPr>
            <w:tcW w:type="pct" w:w="8%"/>
            <w:shd w:fill="F2F2F2" w:val="clear"/>
          </w:tcPr>
          <w:p>
            <w:r>
              <w:rPr>
                <w:sz w:val="16"/>
                <w:szCs w:val="16"/>
              </w:rPr>
              <w:t xml:space="preserve">STJ</w:t>
            </w:r>
          </w:p>
        </w:tc>
        <w:tc>
          <w:tcPr>
            <w:tcW w:type="pct" w:w="22%"/>
            <w:shd w:fill="F2F2F2" w:val="clear"/>
          </w:tcPr>
          <w:p>
            <w:r>
              <w:rPr>
                <w:sz w:val="16"/>
                <w:szCs w:val="16"/>
              </w:rPr>
              <w:t xml:space="preserve">AREsp 1.402.806-TO</w:t>
            </w:r>
          </w:p>
        </w:tc>
        <w:tc>
          <w:tcPr>
            <w:tcW w:type="pct" w:w="18%"/>
            <w:shd w:fill="F2F2F2" w:val="clear"/>
          </w:tcPr>
          <w:p>
            <w:r>
              <w:rPr>
                <w:sz w:val="16"/>
                <w:szCs w:val="16"/>
              </w:rPr>
              <w:t xml:space="preserve">Caso Isolado</w:t>
            </w:r>
          </w:p>
        </w:tc>
        <w:tc>
          <w:tcPr>
            <w:tcW w:type="pct" w:w="8%"/>
            <w:shd w:fill="F2F2F2" w:val="clear"/>
          </w:tcPr>
          <w:p>
            <w:r>
              <w:rPr>
                <w:sz w:val="16"/>
                <w:szCs w:val="16"/>
              </w:rPr>
              <w:t xml:space="preserve">19/10/2021</w:t>
            </w:r>
          </w:p>
        </w:tc>
      </w:tr>
      <w:tr>
        <w:tc>
          <w:tcPr>
            <w:tcW w:type="pct" w:w="4%"/>
            <w:shd w:fill="FFFFFF" w:val="clear"/>
          </w:tcPr>
          <w:p>
            <w:r>
              <w:rPr>
                <w:sz w:val="16"/>
                <w:szCs w:val="16"/>
              </w:rPr>
              <w:t xml:space="preserve">8</w:t>
            </w:r>
          </w:p>
        </w:tc>
        <w:tc>
          <w:tcPr>
            <w:tcW w:type="pct" w:w="34%"/>
            <w:shd w:fill="FFFFFF" w:val="clear"/>
          </w:tcPr>
          <w:p>
            <w:r>
              <w:rPr>
                <w:sz w:val="16"/>
                <w:szCs w:val="16"/>
              </w:rPr>
              <w:t xml:space="preserve">Agente de fato necessário: voluntário que se apropria de doações em situação de calamidade responde por improbidade  [VERIFICAR]</w:t>
            </w:r>
          </w:p>
        </w:tc>
        <w:tc>
          <w:tcPr>
            <w:tcW w:type="pct" w:w="8%"/>
            <w:shd w:fill="FFFFFF" w:val="clear"/>
          </w:tcPr>
          <w:p>
            <w:r>
              <w:rPr>
                <w:sz w:val="16"/>
                <w:szCs w:val="16"/>
              </w:rPr>
              <w:t xml:space="preserve">—</w:t>
            </w:r>
          </w:p>
        </w:tc>
        <w:tc>
          <w:tcPr>
            <w:tcW w:type="pct" w:w="22%"/>
            <w:shd w:fill="FFFFFF" w:val="clear"/>
          </w:tcPr>
          <w:p>
            <w:r>
              <w:rPr>
                <w:sz w:val="16"/>
                <w:szCs w:val="16"/>
              </w:rPr>
              <w:t xml:space="preserve">[VERIFICAR — questão de prova, não localizado julgado específico no Buscador]</w:t>
            </w:r>
          </w:p>
        </w:tc>
        <w:tc>
          <w:tcPr>
            <w:tcW w:type="pct" w:w="18%"/>
            <w:shd w:fill="FFFFFF" w:val="clear"/>
          </w:tcPr>
          <w:p>
            <w:r>
              <w:rPr>
                <w:sz w:val="16"/>
                <w:szCs w:val="16"/>
              </w:rPr>
              <w:t xml:space="preserve">Caso Isolado</w:t>
            </w:r>
          </w:p>
        </w:tc>
        <w:tc>
          <w:tcPr>
            <w:tcW w:type="pct" w:w="8%"/>
            <w:shd w:fill="FFFFFF" w:val="clear"/>
          </w:tcPr>
          <w:p>
            <w:r>
              <w:rPr>
                <w:sz w:val="16"/>
                <w:szCs w:val="16"/>
              </w:rPr>
              <w:t xml:space="preserve">—</w:t>
            </w:r>
          </w:p>
        </w:tc>
      </w:tr>
      <w:tr>
        <w:tc>
          <w:tcPr>
            <w:tcW w:type="pct" w:w="4%"/>
            <w:shd w:fill="F2F2F2" w:val="clear"/>
          </w:tcPr>
          <w:p>
            <w:r>
              <w:rPr>
                <w:sz w:val="16"/>
                <w:szCs w:val="16"/>
              </w:rPr>
              <w:t xml:space="preserve">9</w:t>
            </w:r>
          </w:p>
        </w:tc>
        <w:tc>
          <w:tcPr>
            <w:tcW w:type="pct" w:w="34%"/>
            <w:shd w:fill="F2F2F2" w:val="clear"/>
          </w:tcPr>
          <w:p>
            <w:r>
              <w:rPr>
                <w:sz w:val="16"/>
                <w:szCs w:val="16"/>
              </w:rPr>
              <w:t xml:space="preserve">Pessoa jurídica não pode ser condenada por presunção de ciência e dever genérico de vigilância sobre representante</w:t>
            </w:r>
          </w:p>
        </w:tc>
        <w:tc>
          <w:tcPr>
            <w:tcW w:type="pct" w:w="8%"/>
            <w:shd w:fill="F2F2F2" w:val="clear"/>
          </w:tcPr>
          <w:p>
            <w:r>
              <w:rPr>
                <w:sz w:val="16"/>
                <w:szCs w:val="16"/>
              </w:rPr>
              <w:t xml:space="preserve">STJ</w:t>
            </w:r>
          </w:p>
        </w:tc>
        <w:tc>
          <w:tcPr>
            <w:tcW w:type="pct" w:w="22%"/>
            <w:shd w:fill="F2F2F2" w:val="clear"/>
          </w:tcPr>
          <w:p>
            <w:r>
              <w:rPr>
                <w:sz w:val="16"/>
                <w:szCs w:val="16"/>
              </w:rPr>
              <w:t xml:space="preserve">AgInt no REsp 2.169.344-RJ</w:t>
            </w:r>
          </w:p>
        </w:tc>
        <w:tc>
          <w:tcPr>
            <w:tcW w:type="pct" w:w="18%"/>
            <w:shd w:fill="F2F2F2" w:val="clear"/>
          </w:tcPr>
          <w:p>
            <w:r>
              <w:rPr>
                <w:sz w:val="16"/>
                <w:szCs w:val="16"/>
              </w:rPr>
              <w:t xml:space="preserve">Caso Isolado</w:t>
            </w:r>
          </w:p>
        </w:tc>
        <w:tc>
          <w:tcPr>
            <w:tcW w:type="pct" w:w="8%"/>
            <w:shd w:fill="F2F2F2" w:val="clear"/>
          </w:tcPr>
          <w:p>
            <w:r>
              <w:rPr>
                <w:sz w:val="16"/>
                <w:szCs w:val="16"/>
              </w:rPr>
              <w:t xml:space="preserve">12/05/2026</w:t>
            </w:r>
          </w:p>
        </w:tc>
      </w:tr>
      <w:tr>
        <w:tc>
          <w:tcPr>
            <w:tcW w:type="pct" w:w="4%"/>
            <w:shd w:fill="FFFFFF" w:val="clear"/>
          </w:tcPr>
          <w:p>
            <w:r>
              <w:rPr>
                <w:sz w:val="16"/>
                <w:szCs w:val="16"/>
              </w:rPr>
              <w:t xml:space="preserve">10</w:t>
            </w:r>
          </w:p>
        </w:tc>
        <w:tc>
          <w:tcPr>
            <w:tcW w:type="pct" w:w="34%"/>
            <w:shd w:fill="FFFFFF" w:val="clear"/>
          </w:tcPr>
          <w:p>
            <w:r>
              <w:rPr>
                <w:sz w:val="16"/>
                <w:szCs w:val="16"/>
              </w:rPr>
              <w:t xml:space="preserve">Estagiário e agentes sem vínculo formal podem responder por improbidade administrativa  [VERIFICAR]</w:t>
            </w:r>
          </w:p>
        </w:tc>
        <w:tc>
          <w:tcPr>
            <w:tcW w:type="pct" w:w="8%"/>
            <w:shd w:fill="FFFFFF" w:val="clear"/>
          </w:tcPr>
          <w:p>
            <w:r>
              <w:rPr>
                <w:sz w:val="16"/>
                <w:szCs w:val="16"/>
              </w:rPr>
              <w:t xml:space="preserve">STJ</w:t>
            </w:r>
          </w:p>
        </w:tc>
        <w:tc>
          <w:tcPr>
            <w:tcW w:type="pct" w:w="22%"/>
            <w:shd w:fill="FFFFFF" w:val="clear"/>
          </w:tcPr>
          <w:p>
            <w:r>
              <w:rPr>
                <w:sz w:val="16"/>
                <w:szCs w:val="16"/>
              </w:rPr>
              <w:t xml:space="preserve">REsp 1.352.035-RS</w:t>
            </w:r>
          </w:p>
        </w:tc>
        <w:tc>
          <w:tcPr>
            <w:tcW w:type="pct" w:w="18%"/>
            <w:shd w:fill="FFFFFF" w:val="clear"/>
          </w:tcPr>
          <w:p>
            <w:r>
              <w:rPr>
                <w:sz w:val="16"/>
                <w:szCs w:val="16"/>
              </w:rPr>
              <w:t xml:space="preserve">Caso Isolado [VERIFICAR — julgado anterior à janela de 5 anos; incluído apenas como referência doutrinária consolidada, sem ficha de importação]</w:t>
            </w:r>
          </w:p>
        </w:tc>
        <w:tc>
          <w:tcPr>
            <w:tcW w:type="pct" w:w="8%"/>
            <w:shd w:fill="FFFFFF" w:val="clear"/>
          </w:tcPr>
          <w:p>
            <w:r>
              <w:rPr>
                <w:sz w:val="16"/>
                <w:szCs w:val="16"/>
              </w:rPr>
              <w:t xml:space="preserve">18/08/2015</w:t>
            </w:r>
          </w:p>
        </w:tc>
      </w:tr>
      <w:tr>
        <w:tc>
          <w:tcPr>
            <w:tcW w:type="pct" w:w="4%"/>
            <w:shd w:fill="F2F2F2" w:val="clear"/>
          </w:tcPr>
          <w:p>
            <w:r>
              <w:rPr>
                <w:sz w:val="16"/>
                <w:szCs w:val="16"/>
              </w:rPr>
              <w:t xml:space="preserve">11</w:t>
            </w:r>
          </w:p>
        </w:tc>
        <w:tc>
          <w:tcPr>
            <w:tcW w:type="pct" w:w="34%"/>
            <w:shd w:fill="F2F2F2" w:val="clear"/>
          </w:tcPr>
          <w:p>
            <w:r>
              <w:rPr>
                <w:sz w:val="16"/>
                <w:szCs w:val="16"/>
              </w:rPr>
              <w:t xml:space="preserve">Tema 1.199/STF: dolo obrigatório em todos os atos de improbidade e irretroatividade do novo regime prescricional</w:t>
            </w:r>
          </w:p>
        </w:tc>
        <w:tc>
          <w:tcPr>
            <w:tcW w:type="pct" w:w="8%"/>
            <w:shd w:fill="F2F2F2" w:val="clear"/>
          </w:tcPr>
          <w:p>
            <w:r>
              <w:rPr>
                <w:sz w:val="16"/>
                <w:szCs w:val="16"/>
              </w:rPr>
              <w:t xml:space="preserve">STF</w:t>
            </w:r>
          </w:p>
        </w:tc>
        <w:tc>
          <w:tcPr>
            <w:tcW w:type="pct" w:w="22%"/>
            <w:shd w:fill="F2F2F2" w:val="clear"/>
          </w:tcPr>
          <w:p>
            <w:r>
              <w:rPr>
                <w:sz w:val="16"/>
                <w:szCs w:val="16"/>
              </w:rPr>
              <w:t xml:space="preserve">ARE 843.989/PR</w:t>
            </w:r>
          </w:p>
        </w:tc>
        <w:tc>
          <w:tcPr>
            <w:tcW w:type="pct" w:w="18%"/>
            <w:shd w:fill="F2F2F2" w:val="clear"/>
          </w:tcPr>
          <w:p>
            <w:r>
              <w:rPr>
                <w:sz w:val="16"/>
                <w:szCs w:val="16"/>
              </w:rPr>
              <w:t xml:space="preserve">Repercussão Geral – Tema 1.199</w:t>
            </w:r>
          </w:p>
        </w:tc>
        <w:tc>
          <w:tcPr>
            <w:tcW w:type="pct" w:w="8%"/>
            <w:shd w:fill="F2F2F2" w:val="clear"/>
          </w:tcPr>
          <w:p>
            <w:r>
              <w:rPr>
                <w:sz w:val="16"/>
                <w:szCs w:val="16"/>
              </w:rPr>
              <w:t xml:space="preserve">18/08/2022</w:t>
            </w:r>
          </w:p>
        </w:tc>
      </w:tr>
      <w:tr>
        <w:tc>
          <w:tcPr>
            <w:tcW w:type="pct" w:w="4%"/>
            <w:shd w:fill="FFFFFF" w:val="clear"/>
          </w:tcPr>
          <w:p>
            <w:r>
              <w:rPr>
                <w:sz w:val="16"/>
                <w:szCs w:val="16"/>
              </w:rPr>
              <w:t xml:space="preserve">12</w:t>
            </w:r>
          </w:p>
        </w:tc>
        <w:tc>
          <w:tcPr>
            <w:tcW w:type="pct" w:w="34%"/>
            <w:shd w:fill="FFFFFF" w:val="clear"/>
          </w:tcPr>
          <w:p>
            <w:r>
              <w:rPr>
                <w:sz w:val="16"/>
                <w:szCs w:val="16"/>
              </w:rPr>
              <w:t xml:space="preserve">Nomeação de parentes para cargos políticos não configura, por si só, improbidade: exige-se dolo específico</w:t>
            </w:r>
          </w:p>
        </w:tc>
        <w:tc>
          <w:tcPr>
            <w:tcW w:type="pct" w:w="8%"/>
            <w:shd w:fill="FFFFFF" w:val="clear"/>
          </w:tcPr>
          <w:p>
            <w:r>
              <w:rPr>
                <w:sz w:val="16"/>
                <w:szCs w:val="16"/>
              </w:rPr>
              <w:t xml:space="preserve">STJ</w:t>
            </w:r>
          </w:p>
        </w:tc>
        <w:tc>
          <w:tcPr>
            <w:tcW w:type="pct" w:w="22%"/>
            <w:shd w:fill="FFFFFF" w:val="clear"/>
          </w:tcPr>
          <w:p>
            <w:r>
              <w:rPr>
                <w:sz w:val="16"/>
                <w:szCs w:val="16"/>
              </w:rPr>
              <w:t xml:space="preserve">AgInt no REsp 2.154.497-MG</w:t>
            </w:r>
          </w:p>
        </w:tc>
        <w:tc>
          <w:tcPr>
            <w:tcW w:type="pct" w:w="18%"/>
            <w:shd w:fill="FFFFFF" w:val="clear"/>
          </w:tcPr>
          <w:p>
            <w:r>
              <w:rPr>
                <w:sz w:val="16"/>
                <w:szCs w:val="16"/>
              </w:rPr>
              <w:t xml:space="preserve">Caso Isolado</w:t>
            </w:r>
          </w:p>
        </w:tc>
        <w:tc>
          <w:tcPr>
            <w:tcW w:type="pct" w:w="8%"/>
            <w:shd w:fill="FFFFFF" w:val="clear"/>
          </w:tcPr>
          <w:p>
            <w:r>
              <w:rPr>
                <w:sz w:val="16"/>
                <w:szCs w:val="16"/>
              </w:rPr>
              <w:t xml:space="preserve">16/06/2026</w:t>
            </w:r>
          </w:p>
        </w:tc>
      </w:tr>
      <w:tr>
        <w:tc>
          <w:tcPr>
            <w:tcW w:type="pct" w:w="4%"/>
            <w:shd w:fill="F2F2F2" w:val="clear"/>
          </w:tcPr>
          <w:p>
            <w:r>
              <w:rPr>
                <w:sz w:val="16"/>
                <w:szCs w:val="16"/>
              </w:rPr>
              <w:t xml:space="preserve">13</w:t>
            </w:r>
          </w:p>
        </w:tc>
        <w:tc>
          <w:tcPr>
            <w:tcW w:type="pct" w:w="34%"/>
            <w:shd w:fill="F2F2F2" w:val="clear"/>
          </w:tcPr>
          <w:p>
            <w:r>
              <w:rPr>
                <w:sz w:val="16"/>
                <w:szCs w:val="16"/>
              </w:rPr>
              <w:t xml:space="preserve">Aplicação da exigência de dolo específico aos processos em curso, mesmo sem debate expresso no Tema 1.199</w:t>
            </w:r>
          </w:p>
        </w:tc>
        <w:tc>
          <w:tcPr>
            <w:tcW w:type="pct" w:w="8%"/>
            <w:shd w:fill="F2F2F2" w:val="clear"/>
          </w:tcPr>
          <w:p>
            <w:r>
              <w:rPr>
                <w:sz w:val="16"/>
                <w:szCs w:val="16"/>
              </w:rPr>
              <w:t xml:space="preserve">STJ</w:t>
            </w:r>
          </w:p>
        </w:tc>
        <w:tc>
          <w:tcPr>
            <w:tcW w:type="pct" w:w="22%"/>
            <w:shd w:fill="F2F2F2" w:val="clear"/>
          </w:tcPr>
          <w:p>
            <w:r>
              <w:rPr>
                <w:sz w:val="16"/>
                <w:szCs w:val="16"/>
              </w:rPr>
              <w:t xml:space="preserve">REsp 2.107.601-MG</w:t>
            </w:r>
          </w:p>
        </w:tc>
        <w:tc>
          <w:tcPr>
            <w:tcW w:type="pct" w:w="18%"/>
            <w:shd w:fill="F2F2F2" w:val="clear"/>
          </w:tcPr>
          <w:p>
            <w:r>
              <w:rPr>
                <w:sz w:val="16"/>
                <w:szCs w:val="16"/>
              </w:rPr>
              <w:t xml:space="preserve">Caso Isolado</w:t>
            </w:r>
          </w:p>
        </w:tc>
        <w:tc>
          <w:tcPr>
            <w:tcW w:type="pct" w:w="8%"/>
            <w:shd w:fill="F2F2F2" w:val="clear"/>
          </w:tcPr>
          <w:p>
            <w:r>
              <w:rPr>
                <w:sz w:val="16"/>
                <w:szCs w:val="16"/>
              </w:rPr>
              <w:t xml:space="preserve">23/04/2024</w:t>
            </w:r>
          </w:p>
        </w:tc>
      </w:tr>
      <w:tr>
        <w:tc>
          <w:tcPr>
            <w:tcW w:type="pct" w:w="4%"/>
            <w:shd w:fill="FFFFFF" w:val="clear"/>
          </w:tcPr>
          <w:p>
            <w:r>
              <w:rPr>
                <w:sz w:val="16"/>
                <w:szCs w:val="16"/>
              </w:rPr>
              <w:t xml:space="preserve">14</w:t>
            </w:r>
          </w:p>
        </w:tc>
        <w:tc>
          <w:tcPr>
            <w:tcW w:type="pct" w:w="34%"/>
            <w:shd w:fill="FFFFFF" w:val="clear"/>
          </w:tcPr>
          <w:p>
            <w:r>
              <w:rPr>
                <w:sz w:val="16"/>
                <w:szCs w:val="16"/>
              </w:rPr>
              <w:t xml:space="preserve">Inconstitucionalidade da modalidade culposa mesmo antes da Lei 14.230/2021; constitucionalidade da contratação direta de advogados</w:t>
            </w:r>
          </w:p>
        </w:tc>
        <w:tc>
          <w:tcPr>
            <w:tcW w:type="pct" w:w="8%"/>
            <w:shd w:fill="FFFFFF" w:val="clear"/>
          </w:tcPr>
          <w:p>
            <w:r>
              <w:rPr>
                <w:sz w:val="16"/>
                <w:szCs w:val="16"/>
              </w:rPr>
              <w:t xml:space="preserve">STF</w:t>
            </w:r>
          </w:p>
        </w:tc>
        <w:tc>
          <w:tcPr>
            <w:tcW w:type="pct" w:w="22%"/>
            <w:shd w:fill="FFFFFF" w:val="clear"/>
          </w:tcPr>
          <w:p>
            <w:r>
              <w:rPr>
                <w:sz w:val="16"/>
                <w:szCs w:val="16"/>
              </w:rPr>
              <w:t xml:space="preserve">RE 610.523/SP e RE 656.558/SP</w:t>
            </w:r>
          </w:p>
        </w:tc>
        <w:tc>
          <w:tcPr>
            <w:tcW w:type="pct" w:w="18%"/>
            <w:shd w:fill="FFFFFF" w:val="clear"/>
          </w:tcPr>
          <w:p>
            <w:r>
              <w:rPr>
                <w:sz w:val="16"/>
                <w:szCs w:val="16"/>
              </w:rPr>
              <w:t xml:space="preserve">Repercussão Geral – Tema 309</w:t>
            </w:r>
          </w:p>
        </w:tc>
        <w:tc>
          <w:tcPr>
            <w:tcW w:type="pct" w:w="8%"/>
            <w:shd w:fill="FFFFFF" w:val="clear"/>
          </w:tcPr>
          <w:p>
            <w:r>
              <w:rPr>
                <w:sz w:val="16"/>
                <w:szCs w:val="16"/>
              </w:rPr>
              <w:t xml:space="preserve">28/10/2024</w:t>
            </w:r>
          </w:p>
        </w:tc>
      </w:tr>
      <w:tr>
        <w:tc>
          <w:tcPr>
            <w:tcW w:type="pct" w:w="4%"/>
            <w:shd w:fill="F2F2F2" w:val="clear"/>
          </w:tcPr>
          <w:p>
            <w:r>
              <w:rPr>
                <w:sz w:val="16"/>
                <w:szCs w:val="16"/>
              </w:rPr>
              <w:t xml:space="preserve">15</w:t>
            </w:r>
          </w:p>
        </w:tc>
        <w:tc>
          <w:tcPr>
            <w:tcW w:type="pct" w:w="34%"/>
            <w:shd w:fill="F2F2F2" w:val="clear"/>
          </w:tcPr>
          <w:p>
            <w:r>
              <w:rPr>
                <w:sz w:val="16"/>
                <w:szCs w:val="16"/>
              </w:rPr>
              <w:t xml:space="preserve">Ausência de dolo específico afasta as sanções da LIA, mas não a obrigação civil de ressarcir o erário quando há dano comprovado</w:t>
            </w:r>
          </w:p>
        </w:tc>
        <w:tc>
          <w:tcPr>
            <w:tcW w:type="pct" w:w="8%"/>
            <w:shd w:fill="F2F2F2" w:val="clear"/>
          </w:tcPr>
          <w:p>
            <w:r>
              <w:rPr>
                <w:sz w:val="16"/>
                <w:szCs w:val="16"/>
              </w:rPr>
              <w:t xml:space="preserve">STJ</w:t>
            </w:r>
          </w:p>
        </w:tc>
        <w:tc>
          <w:tcPr>
            <w:tcW w:type="pct" w:w="22%"/>
            <w:shd w:fill="F2F2F2" w:val="clear"/>
          </w:tcPr>
          <w:p>
            <w:r>
              <w:rPr>
                <w:sz w:val="16"/>
                <w:szCs w:val="16"/>
              </w:rPr>
              <w:t xml:space="preserve">AgInt no AREsp 1.994.350-SP</w:t>
            </w:r>
          </w:p>
        </w:tc>
        <w:tc>
          <w:tcPr>
            <w:tcW w:type="pct" w:w="18%"/>
            <w:shd w:fill="F2F2F2" w:val="clear"/>
          </w:tcPr>
          <w:p>
            <w:r>
              <w:rPr>
                <w:sz w:val="16"/>
                <w:szCs w:val="16"/>
              </w:rPr>
              <w:t xml:space="preserve">Caso Isolado</w:t>
            </w:r>
          </w:p>
        </w:tc>
        <w:tc>
          <w:tcPr>
            <w:tcW w:type="pct" w:w="8%"/>
            <w:shd w:fill="F2F2F2" w:val="clear"/>
          </w:tcPr>
          <w:p>
            <w:r>
              <w:rPr>
                <w:sz w:val="16"/>
                <w:szCs w:val="16"/>
              </w:rPr>
              <w:t xml:space="preserve">22/09/2025</w:t>
            </w:r>
          </w:p>
        </w:tc>
      </w:tr>
      <w:tr>
        <w:tc>
          <w:tcPr>
            <w:tcW w:type="pct" w:w="4%"/>
            <w:shd w:fill="FFFFFF" w:val="clear"/>
          </w:tcPr>
          <w:p>
            <w:r>
              <w:rPr>
                <w:sz w:val="16"/>
                <w:szCs w:val="16"/>
              </w:rPr>
              <w:t xml:space="preserve">16</w:t>
            </w:r>
          </w:p>
        </w:tc>
        <w:tc>
          <w:tcPr>
            <w:tcW w:type="pct" w:w="34%"/>
            <w:shd w:fill="FFFFFF" w:val="clear"/>
          </w:tcPr>
          <w:p>
            <w:r>
              <w:rPr>
                <w:sz w:val="16"/>
                <w:szCs w:val="16"/>
              </w:rPr>
              <w:t xml:space="preserve">Exigência de perda patrimonial efetiva no art. 10 aplica-se aos processos em curso; fim do dano presumido</w:t>
            </w:r>
          </w:p>
        </w:tc>
        <w:tc>
          <w:tcPr>
            <w:tcW w:type="pct" w:w="8%"/>
            <w:shd w:fill="FFFFFF" w:val="clear"/>
          </w:tcPr>
          <w:p>
            <w:r>
              <w:rPr>
                <w:sz w:val="16"/>
                <w:szCs w:val="16"/>
              </w:rPr>
              <w:t xml:space="preserve">STJ</w:t>
            </w:r>
          </w:p>
        </w:tc>
        <w:tc>
          <w:tcPr>
            <w:tcW w:type="pct" w:w="22%"/>
            <w:shd w:fill="FFFFFF" w:val="clear"/>
          </w:tcPr>
          <w:p>
            <w:r>
              <w:rPr>
                <w:sz w:val="16"/>
                <w:szCs w:val="16"/>
              </w:rPr>
              <w:t xml:space="preserve">REsp 1.929.685-TO</w:t>
            </w:r>
          </w:p>
        </w:tc>
        <w:tc>
          <w:tcPr>
            <w:tcW w:type="pct" w:w="18%"/>
            <w:shd w:fill="FFFFFF" w:val="clear"/>
          </w:tcPr>
          <w:p>
            <w:r>
              <w:rPr>
                <w:sz w:val="16"/>
                <w:szCs w:val="16"/>
              </w:rPr>
              <w:t xml:space="preserve">Caso Isolado</w:t>
            </w:r>
          </w:p>
        </w:tc>
        <w:tc>
          <w:tcPr>
            <w:tcW w:type="pct" w:w="8%"/>
            <w:shd w:fill="FFFFFF" w:val="clear"/>
          </w:tcPr>
          <w:p>
            <w:r>
              <w:rPr>
                <w:sz w:val="16"/>
                <w:szCs w:val="16"/>
              </w:rPr>
              <w:t xml:space="preserve">27/08/2024</w:t>
            </w:r>
          </w:p>
        </w:tc>
      </w:tr>
      <w:tr>
        <w:tc>
          <w:tcPr>
            <w:tcW w:type="pct" w:w="4%"/>
            <w:shd w:fill="F2F2F2" w:val="clear"/>
          </w:tcPr>
          <w:p>
            <w:r>
              <w:rPr>
                <w:sz w:val="16"/>
                <w:szCs w:val="16"/>
              </w:rPr>
              <w:t xml:space="preserve">17</w:t>
            </w:r>
          </w:p>
        </w:tc>
        <w:tc>
          <w:tcPr>
            <w:tcW w:type="pct" w:w="34%"/>
            <w:shd w:fill="F2F2F2" w:val="clear"/>
          </w:tcPr>
          <w:p>
            <w:r>
              <w:rPr>
                <w:sz w:val="16"/>
                <w:szCs w:val="16"/>
              </w:rPr>
              <w:t xml:space="preserve">Dispensa indevida de licitação com pagamento sem prestação de serviço: dano efetivo e continuidade típico-normativa</w:t>
            </w:r>
          </w:p>
        </w:tc>
        <w:tc>
          <w:tcPr>
            <w:tcW w:type="pct" w:w="8%"/>
            <w:shd w:fill="F2F2F2" w:val="clear"/>
          </w:tcPr>
          <w:p>
            <w:r>
              <w:rPr>
                <w:sz w:val="16"/>
                <w:szCs w:val="16"/>
              </w:rPr>
              <w:t xml:space="preserve">STJ</w:t>
            </w:r>
          </w:p>
        </w:tc>
        <w:tc>
          <w:tcPr>
            <w:tcW w:type="pct" w:w="22%"/>
            <w:shd w:fill="F2F2F2" w:val="clear"/>
          </w:tcPr>
          <w:p>
            <w:r>
              <w:rPr>
                <w:sz w:val="16"/>
                <w:szCs w:val="16"/>
              </w:rPr>
              <w:t xml:space="preserve">AREsp 1.417.207-MG</w:t>
            </w:r>
          </w:p>
        </w:tc>
        <w:tc>
          <w:tcPr>
            <w:tcW w:type="pct" w:w="18%"/>
            <w:shd w:fill="F2F2F2" w:val="clear"/>
          </w:tcPr>
          <w:p>
            <w:r>
              <w:rPr>
                <w:sz w:val="16"/>
                <w:szCs w:val="16"/>
              </w:rPr>
              <w:t xml:space="preserve">Caso Isolado</w:t>
            </w:r>
          </w:p>
        </w:tc>
        <w:tc>
          <w:tcPr>
            <w:tcW w:type="pct" w:w="8%"/>
            <w:shd w:fill="F2F2F2" w:val="clear"/>
          </w:tcPr>
          <w:p>
            <w:r>
              <w:rPr>
                <w:sz w:val="16"/>
                <w:szCs w:val="16"/>
              </w:rPr>
              <w:t xml:space="preserve">17/09/2024</w:t>
            </w:r>
          </w:p>
        </w:tc>
      </w:tr>
      <w:tr>
        <w:tc>
          <w:tcPr>
            <w:tcW w:type="pct" w:w="4%"/>
            <w:shd w:fill="FFFFFF" w:val="clear"/>
          </w:tcPr>
          <w:p>
            <w:r>
              <w:rPr>
                <w:sz w:val="16"/>
                <w:szCs w:val="16"/>
              </w:rPr>
              <w:t xml:space="preserve">18</w:t>
            </w:r>
          </w:p>
        </w:tc>
        <w:tc>
          <w:tcPr>
            <w:tcW w:type="pct" w:w="34%"/>
            <w:shd w:fill="FFFFFF" w:val="clear"/>
          </w:tcPr>
          <w:p>
            <w:r>
              <w:rPr>
                <w:sz w:val="16"/>
                <w:szCs w:val="16"/>
              </w:rPr>
              <w:t xml:space="preserve">Revogação do art. 11, I: continuidade típico-normativa para o novo inciso XII (promoção pessoal)</w:t>
            </w:r>
          </w:p>
        </w:tc>
        <w:tc>
          <w:tcPr>
            <w:tcW w:type="pct" w:w="8%"/>
            <w:shd w:fill="FFFFFF" w:val="clear"/>
          </w:tcPr>
          <w:p>
            <w:r>
              <w:rPr>
                <w:sz w:val="16"/>
                <w:szCs w:val="16"/>
              </w:rPr>
              <w:t xml:space="preserve">STJ</w:t>
            </w:r>
          </w:p>
        </w:tc>
        <w:tc>
          <w:tcPr>
            <w:tcW w:type="pct" w:w="22%"/>
            <w:shd w:fill="FFFFFF" w:val="clear"/>
          </w:tcPr>
          <w:p>
            <w:r>
              <w:rPr>
                <w:sz w:val="16"/>
                <w:szCs w:val="16"/>
              </w:rPr>
              <w:t xml:space="preserve">AgInt no AREsp 1.206.630-SP</w:t>
            </w:r>
          </w:p>
        </w:tc>
        <w:tc>
          <w:tcPr>
            <w:tcW w:type="pct" w:w="18%"/>
            <w:shd w:fill="FFFFFF" w:val="clear"/>
          </w:tcPr>
          <w:p>
            <w:r>
              <w:rPr>
                <w:sz w:val="16"/>
                <w:szCs w:val="16"/>
              </w:rPr>
              <w:t xml:space="preserve">Caso Isolado</w:t>
            </w:r>
          </w:p>
        </w:tc>
        <w:tc>
          <w:tcPr>
            <w:tcW w:type="pct" w:w="8%"/>
            <w:shd w:fill="FFFFFF" w:val="clear"/>
          </w:tcPr>
          <w:p>
            <w:r>
              <w:rPr>
                <w:sz w:val="16"/>
                <w:szCs w:val="16"/>
              </w:rPr>
              <w:t xml:space="preserve">27/02/2024</w:t>
            </w:r>
          </w:p>
        </w:tc>
      </w:tr>
      <w:tr>
        <w:tc>
          <w:tcPr>
            <w:tcW w:type="pct" w:w="4%"/>
            <w:shd w:fill="F2F2F2" w:val="clear"/>
          </w:tcPr>
          <w:p>
            <w:r>
              <w:rPr>
                <w:sz w:val="16"/>
                <w:szCs w:val="16"/>
              </w:rPr>
              <w:t xml:space="preserve">19</w:t>
            </w:r>
          </w:p>
        </w:tc>
        <w:tc>
          <w:tcPr>
            <w:tcW w:type="pct" w:w="34%"/>
            <w:shd w:fill="F2F2F2" w:val="clear"/>
          </w:tcPr>
          <w:p>
            <w:r>
              <w:rPr>
                <w:sz w:val="16"/>
                <w:szCs w:val="16"/>
              </w:rPr>
              <w:t xml:space="preserve">Revogação do inciso II do art. 11 (retardar ou deixar de praticar ato de ofício): abolitio sem possibilidade de reenquadramento em recurso exclusivo da defesa</w:t>
            </w:r>
          </w:p>
        </w:tc>
        <w:tc>
          <w:tcPr>
            <w:tcW w:type="pct" w:w="8%"/>
            <w:shd w:fill="F2F2F2" w:val="clear"/>
          </w:tcPr>
          <w:p>
            <w:r>
              <w:rPr>
                <w:sz w:val="16"/>
                <w:szCs w:val="16"/>
              </w:rPr>
              <w:t xml:space="preserve">STJ</w:t>
            </w:r>
          </w:p>
        </w:tc>
        <w:tc>
          <w:tcPr>
            <w:tcW w:type="pct" w:w="22%"/>
            <w:shd w:fill="F2F2F2" w:val="clear"/>
          </w:tcPr>
          <w:p>
            <w:r>
              <w:rPr>
                <w:sz w:val="16"/>
                <w:szCs w:val="16"/>
              </w:rPr>
              <w:t xml:space="preserve">EDcl no AgInt nos EDcl no AREsp 1.486.065-SP</w:t>
            </w:r>
          </w:p>
        </w:tc>
        <w:tc>
          <w:tcPr>
            <w:tcW w:type="pct" w:w="18%"/>
            <w:shd w:fill="F2F2F2" w:val="clear"/>
          </w:tcPr>
          <w:p>
            <w:r>
              <w:rPr>
                <w:sz w:val="16"/>
                <w:szCs w:val="16"/>
              </w:rPr>
              <w:t xml:space="preserve">Caso Isolado</w:t>
            </w:r>
          </w:p>
        </w:tc>
        <w:tc>
          <w:tcPr>
            <w:tcW w:type="pct" w:w="8%"/>
            <w:shd w:fill="F2F2F2" w:val="clear"/>
          </w:tcPr>
          <w:p>
            <w:r>
              <w:rPr>
                <w:sz w:val="16"/>
                <w:szCs w:val="16"/>
              </w:rPr>
              <w:t xml:space="preserve">09/06/2026</w:t>
            </w:r>
          </w:p>
        </w:tc>
      </w:tr>
      <w:tr>
        <w:tc>
          <w:tcPr>
            <w:tcW w:type="pct" w:w="4%"/>
            <w:shd w:fill="FFFFFF" w:val="clear"/>
          </w:tcPr>
          <w:p>
            <w:r>
              <w:rPr>
                <w:sz w:val="16"/>
                <w:szCs w:val="16"/>
              </w:rPr>
              <w:t xml:space="preserve">20</w:t>
            </w:r>
          </w:p>
        </w:tc>
        <w:tc>
          <w:tcPr>
            <w:tcW w:type="pct" w:w="34%"/>
            <w:shd w:fill="FFFFFF" w:val="clear"/>
          </w:tcPr>
          <w:p>
            <w:r>
              <w:rPr>
                <w:sz w:val="16"/>
                <w:szCs w:val="16"/>
              </w:rPr>
              <w:t xml:space="preserve">Tortura praticada por agente público deixou de ser ato de improbidade após a Lei 14.230/2021</w:t>
            </w:r>
          </w:p>
        </w:tc>
        <w:tc>
          <w:tcPr>
            <w:tcW w:type="pct" w:w="8%"/>
            <w:shd w:fill="FFFFFF" w:val="clear"/>
          </w:tcPr>
          <w:p>
            <w:r>
              <w:rPr>
                <w:sz w:val="16"/>
                <w:szCs w:val="16"/>
              </w:rPr>
              <w:t xml:space="preserve">STJ</w:t>
            </w:r>
          </w:p>
        </w:tc>
        <w:tc>
          <w:tcPr>
            <w:tcW w:type="pct" w:w="22%"/>
            <w:shd w:fill="FFFFFF" w:val="clear"/>
          </w:tcPr>
          <w:p>
            <w:r>
              <w:rPr>
                <w:sz w:val="16"/>
                <w:szCs w:val="16"/>
              </w:rPr>
              <w:t xml:space="preserve">REsp 2.232.623-AL</w:t>
            </w:r>
          </w:p>
        </w:tc>
        <w:tc>
          <w:tcPr>
            <w:tcW w:type="pct" w:w="18%"/>
            <w:shd w:fill="FFFFFF" w:val="clear"/>
          </w:tcPr>
          <w:p>
            <w:r>
              <w:rPr>
                <w:sz w:val="16"/>
                <w:szCs w:val="16"/>
              </w:rPr>
              <w:t xml:space="preserve">Caso Isolado</w:t>
            </w:r>
          </w:p>
        </w:tc>
        <w:tc>
          <w:tcPr>
            <w:tcW w:type="pct" w:w="8%"/>
            <w:shd w:fill="FFFFFF" w:val="clear"/>
          </w:tcPr>
          <w:p>
            <w:r>
              <w:rPr>
                <w:sz w:val="16"/>
                <w:szCs w:val="16"/>
              </w:rPr>
              <w:t xml:space="preserve">03/02/2026</w:t>
            </w:r>
          </w:p>
        </w:tc>
      </w:tr>
      <w:tr>
        <w:tc>
          <w:tcPr>
            <w:tcW w:type="pct" w:w="4%"/>
            <w:shd w:fill="F2F2F2" w:val="clear"/>
          </w:tcPr>
          <w:p>
            <w:r>
              <w:rPr>
                <w:sz w:val="16"/>
                <w:szCs w:val="16"/>
              </w:rPr>
              <w:t xml:space="preserve">21</w:t>
            </w:r>
          </w:p>
        </w:tc>
        <w:tc>
          <w:tcPr>
            <w:tcW w:type="pct" w:w="34%"/>
            <w:shd w:fill="F2F2F2" w:val="clear"/>
          </w:tcPr>
          <w:p>
            <w:r>
              <w:rPr>
                <w:sz w:val="16"/>
                <w:szCs w:val="16"/>
              </w:rPr>
              <w:t xml:space="preserve">Enriquecimento ilícito por acréscimo patrimonial sem origem identificada: inversão do ônus da prova</w:t>
            </w:r>
          </w:p>
        </w:tc>
        <w:tc>
          <w:tcPr>
            <w:tcW w:type="pct" w:w="8%"/>
            <w:shd w:fill="F2F2F2" w:val="clear"/>
          </w:tcPr>
          <w:p>
            <w:r>
              <w:rPr>
                <w:sz w:val="16"/>
                <w:szCs w:val="16"/>
              </w:rPr>
              <w:t xml:space="preserve">STJ</w:t>
            </w:r>
          </w:p>
        </w:tc>
        <w:tc>
          <w:tcPr>
            <w:tcW w:type="pct" w:w="22%"/>
            <w:shd w:fill="F2F2F2" w:val="clear"/>
          </w:tcPr>
          <w:p>
            <w:r>
              <w:rPr>
                <w:sz w:val="16"/>
                <w:szCs w:val="16"/>
              </w:rPr>
              <w:t xml:space="preserve">REsp 2.256.539-MS</w:t>
            </w:r>
          </w:p>
        </w:tc>
        <w:tc>
          <w:tcPr>
            <w:tcW w:type="pct" w:w="18%"/>
            <w:shd w:fill="F2F2F2" w:val="clear"/>
          </w:tcPr>
          <w:p>
            <w:r>
              <w:rPr>
                <w:sz w:val="16"/>
                <w:szCs w:val="16"/>
              </w:rPr>
              <w:t xml:space="preserve">Caso Isolado</w:t>
            </w:r>
          </w:p>
        </w:tc>
        <w:tc>
          <w:tcPr>
            <w:tcW w:type="pct" w:w="8%"/>
            <w:shd w:fill="F2F2F2" w:val="clear"/>
          </w:tcPr>
          <w:p>
            <w:r>
              <w:rPr>
                <w:sz w:val="16"/>
                <w:szCs w:val="16"/>
              </w:rPr>
              <w:t xml:space="preserve">05/05/2026</w:t>
            </w:r>
          </w:p>
        </w:tc>
      </w:tr>
      <w:tr>
        <w:tc>
          <w:tcPr>
            <w:tcW w:type="pct" w:w="4%"/>
            <w:shd w:fill="FFFFFF" w:val="clear"/>
          </w:tcPr>
          <w:p>
            <w:r>
              <w:rPr>
                <w:sz w:val="16"/>
                <w:szCs w:val="16"/>
              </w:rPr>
              <w:t xml:space="preserve">22</w:t>
            </w:r>
          </w:p>
        </w:tc>
        <w:tc>
          <w:tcPr>
            <w:tcW w:type="pct" w:w="34%"/>
            <w:shd w:fill="FFFFFF" w:val="clear"/>
          </w:tcPr>
          <w:p>
            <w:r>
              <w:rPr>
                <w:sz w:val="16"/>
                <w:szCs w:val="16"/>
              </w:rPr>
              <w:t xml:space="preserve">Regra de competência territorial do art. 17, §4º-A, da LIA é relativa e não desloca ações propostas antes da Lei 14.230/2021</w:t>
            </w:r>
          </w:p>
        </w:tc>
        <w:tc>
          <w:tcPr>
            <w:tcW w:type="pct" w:w="8%"/>
            <w:shd w:fill="FFFFFF" w:val="clear"/>
          </w:tcPr>
          <w:p>
            <w:r>
              <w:rPr>
                <w:sz w:val="16"/>
                <w:szCs w:val="16"/>
              </w:rPr>
              <w:t xml:space="preserve">STJ</w:t>
            </w:r>
          </w:p>
        </w:tc>
        <w:tc>
          <w:tcPr>
            <w:tcW w:type="pct" w:w="22%"/>
            <w:shd w:fill="FFFFFF" w:val="clear"/>
          </w:tcPr>
          <w:p>
            <w:r>
              <w:rPr>
                <w:sz w:val="16"/>
                <w:szCs w:val="16"/>
              </w:rPr>
              <w:t xml:space="preserve">AgInt no AREsp 3.000.174-PR</w:t>
            </w:r>
          </w:p>
        </w:tc>
        <w:tc>
          <w:tcPr>
            <w:tcW w:type="pct" w:w="18%"/>
            <w:shd w:fill="FFFFFF" w:val="clear"/>
          </w:tcPr>
          <w:p>
            <w:r>
              <w:rPr>
                <w:sz w:val="16"/>
                <w:szCs w:val="16"/>
              </w:rPr>
              <w:t xml:space="preserve">Caso Isolado</w:t>
            </w:r>
          </w:p>
        </w:tc>
        <w:tc>
          <w:tcPr>
            <w:tcW w:type="pct" w:w="8%"/>
            <w:shd w:fill="FFFFFF" w:val="clear"/>
          </w:tcPr>
          <w:p>
            <w:r>
              <w:rPr>
                <w:sz w:val="16"/>
                <w:szCs w:val="16"/>
              </w:rPr>
              <w:t xml:space="preserve">09/06/2026</w:t>
            </w:r>
          </w:p>
        </w:tc>
      </w:tr>
      <w:tr>
        <w:tc>
          <w:tcPr>
            <w:tcW w:type="pct" w:w="4%"/>
            <w:shd w:fill="F2F2F2" w:val="clear"/>
          </w:tcPr>
          <w:p>
            <w:r>
              <w:rPr>
                <w:sz w:val="16"/>
                <w:szCs w:val="16"/>
              </w:rPr>
              <w:t xml:space="preserve">23</w:t>
            </w:r>
          </w:p>
        </w:tc>
        <w:tc>
          <w:tcPr>
            <w:tcW w:type="pct" w:w="34%"/>
            <w:shd w:fill="F2F2F2" w:val="clear"/>
          </w:tcPr>
          <w:p>
            <w:r>
              <w:rPr>
                <w:sz w:val="16"/>
                <w:szCs w:val="16"/>
              </w:rPr>
              <w:t xml:space="preserve">Não é permitido que Constituição Estadual institua foro por prerrogativa de função para ações de improbidade  [VERIFICAR]</w:t>
            </w:r>
          </w:p>
        </w:tc>
        <w:tc>
          <w:tcPr>
            <w:tcW w:type="pct" w:w="8%"/>
            <w:shd w:fill="F2F2F2" w:val="clear"/>
          </w:tcPr>
          <w:p>
            <w:r>
              <w:rPr>
                <w:sz w:val="16"/>
                <w:szCs w:val="16"/>
              </w:rPr>
              <w:t xml:space="preserve">STF</w:t>
            </w:r>
          </w:p>
        </w:tc>
        <w:tc>
          <w:tcPr>
            <w:tcW w:type="pct" w:w="22%"/>
            <w:shd w:fill="F2F2F2" w:val="clear"/>
          </w:tcPr>
          <w:p>
            <w:r>
              <w:rPr>
                <w:sz w:val="16"/>
                <w:szCs w:val="16"/>
              </w:rPr>
              <w:t xml:space="preserve">ADI 4.870/ES</w:t>
            </w:r>
          </w:p>
        </w:tc>
        <w:tc>
          <w:tcPr>
            <w:tcW w:type="pct" w:w="18%"/>
            <w:shd w:fill="F2F2F2" w:val="clear"/>
          </w:tcPr>
          <w:p>
            <w:r>
              <w:rPr>
                <w:sz w:val="16"/>
                <w:szCs w:val="16"/>
              </w:rPr>
              <w:t xml:space="preserve">Controle Concentrado [VERIFICAR — julgado anterior à janela de 5 anos; mantido por ser controle concentrado ainda hoje aplicado e frequentemente citado]</w:t>
            </w:r>
          </w:p>
        </w:tc>
        <w:tc>
          <w:tcPr>
            <w:tcW w:type="pct" w:w="8%"/>
            <w:shd w:fill="F2F2F2" w:val="clear"/>
          </w:tcPr>
          <w:p>
            <w:r>
              <w:rPr>
                <w:sz w:val="16"/>
                <w:szCs w:val="16"/>
              </w:rPr>
              <w:t xml:space="preserve">14/12/2020</w:t>
            </w:r>
          </w:p>
        </w:tc>
      </w:tr>
      <w:tr>
        <w:tc>
          <w:tcPr>
            <w:tcW w:type="pct" w:w="4%"/>
            <w:shd w:fill="FFFFFF" w:val="clear"/>
          </w:tcPr>
          <w:p>
            <w:r>
              <w:rPr>
                <w:sz w:val="16"/>
                <w:szCs w:val="16"/>
              </w:rPr>
              <w:t xml:space="preserve">24</w:t>
            </w:r>
          </w:p>
        </w:tc>
        <w:tc>
          <w:tcPr>
            <w:tcW w:type="pct" w:w="34%"/>
            <w:shd w:fill="FFFFFF" w:val="clear"/>
          </w:tcPr>
          <w:p>
            <w:r>
              <w:rPr>
                <w:sz w:val="16"/>
                <w:szCs w:val="16"/>
              </w:rPr>
              <w:t xml:space="preserve">In dubio pro societate no recebimento da inicial exige indicação mínima de elementos de dolo, não bastando mera ilegalidade</w:t>
            </w:r>
          </w:p>
        </w:tc>
        <w:tc>
          <w:tcPr>
            <w:tcW w:type="pct" w:w="8%"/>
            <w:shd w:fill="FFFFFF" w:val="clear"/>
          </w:tcPr>
          <w:p>
            <w:r>
              <w:rPr>
                <w:sz w:val="16"/>
                <w:szCs w:val="16"/>
              </w:rPr>
              <w:t xml:space="preserve">STJ</w:t>
            </w:r>
          </w:p>
        </w:tc>
        <w:tc>
          <w:tcPr>
            <w:tcW w:type="pct" w:w="22%"/>
            <w:shd w:fill="FFFFFF" w:val="clear"/>
          </w:tcPr>
          <w:p>
            <w:r>
              <w:rPr>
                <w:sz w:val="16"/>
                <w:szCs w:val="16"/>
              </w:rPr>
              <w:t xml:space="preserve">AREsp 2.080.146-SP</w:t>
            </w:r>
          </w:p>
        </w:tc>
        <w:tc>
          <w:tcPr>
            <w:tcW w:type="pct" w:w="18%"/>
            <w:shd w:fill="FFFFFF" w:val="clear"/>
          </w:tcPr>
          <w:p>
            <w:r>
              <w:rPr>
                <w:sz w:val="16"/>
                <w:szCs w:val="16"/>
              </w:rPr>
              <w:t xml:space="preserve">Caso Isolado</w:t>
            </w:r>
          </w:p>
        </w:tc>
        <w:tc>
          <w:tcPr>
            <w:tcW w:type="pct" w:w="8%"/>
            <w:shd w:fill="FFFFFF" w:val="clear"/>
          </w:tcPr>
          <w:p>
            <w:r>
              <w:rPr>
                <w:sz w:val="16"/>
                <w:szCs w:val="16"/>
              </w:rPr>
              <w:t xml:space="preserve">20/05/2025</w:t>
            </w:r>
          </w:p>
        </w:tc>
      </w:tr>
      <w:tr>
        <w:tc>
          <w:tcPr>
            <w:tcW w:type="pct" w:w="4%"/>
            <w:shd w:fill="F2F2F2" w:val="clear"/>
          </w:tcPr>
          <w:p>
            <w:r>
              <w:rPr>
                <w:sz w:val="16"/>
                <w:szCs w:val="16"/>
              </w:rPr>
              <w:t xml:space="preserve">25</w:t>
            </w:r>
          </w:p>
        </w:tc>
        <w:tc>
          <w:tcPr>
            <w:tcW w:type="pct" w:w="34%"/>
            <w:shd w:fill="F2F2F2" w:val="clear"/>
          </w:tcPr>
          <w:p>
            <w:r>
              <w:rPr>
                <w:sz w:val="16"/>
                <w:szCs w:val="16"/>
              </w:rPr>
              <w:t xml:space="preserve">Petição inicial deve ser recebida havendo indícios mínimos; análise do dolo e do dano é reservada à instrução</w:t>
            </w:r>
          </w:p>
        </w:tc>
        <w:tc>
          <w:tcPr>
            <w:tcW w:type="pct" w:w="8%"/>
            <w:shd w:fill="F2F2F2" w:val="clear"/>
          </w:tcPr>
          <w:p>
            <w:r>
              <w:rPr>
                <w:sz w:val="16"/>
                <w:szCs w:val="16"/>
              </w:rPr>
              <w:t xml:space="preserve">STJ</w:t>
            </w:r>
          </w:p>
        </w:tc>
        <w:tc>
          <w:tcPr>
            <w:tcW w:type="pct" w:w="22%"/>
            <w:shd w:fill="F2F2F2" w:val="clear"/>
          </w:tcPr>
          <w:p>
            <w:r>
              <w:rPr>
                <w:sz w:val="16"/>
                <w:szCs w:val="16"/>
              </w:rPr>
              <w:t xml:space="preserve">REsp 2.175.480-SP</w:t>
            </w:r>
          </w:p>
        </w:tc>
        <w:tc>
          <w:tcPr>
            <w:tcW w:type="pct" w:w="18%"/>
            <w:shd w:fill="F2F2F2" w:val="clear"/>
          </w:tcPr>
          <w:p>
            <w:r>
              <w:rPr>
                <w:sz w:val="16"/>
                <w:szCs w:val="16"/>
              </w:rPr>
              <w:t xml:space="preserve">Caso Isolado</w:t>
            </w:r>
          </w:p>
        </w:tc>
        <w:tc>
          <w:tcPr>
            <w:tcW w:type="pct" w:w="8%"/>
            <w:shd w:fill="F2F2F2" w:val="clear"/>
          </w:tcPr>
          <w:p>
            <w:r>
              <w:rPr>
                <w:sz w:val="16"/>
                <w:szCs w:val="16"/>
              </w:rPr>
              <w:t xml:space="preserve">18/02/2025</w:t>
            </w:r>
          </w:p>
        </w:tc>
      </w:tr>
      <w:tr>
        <w:tc>
          <w:tcPr>
            <w:tcW w:type="pct" w:w="4%"/>
            <w:shd w:fill="FFFFFF" w:val="clear"/>
          </w:tcPr>
          <w:p>
            <w:r>
              <w:rPr>
                <w:sz w:val="16"/>
                <w:szCs w:val="16"/>
              </w:rPr>
              <w:t xml:space="preserve">26</w:t>
            </w:r>
          </w:p>
        </w:tc>
        <w:tc>
          <w:tcPr>
            <w:tcW w:type="pct" w:w="34%"/>
            <w:shd w:fill="FFFFFF" w:val="clear"/>
          </w:tcPr>
          <w:p>
            <w:r>
              <w:rPr>
                <w:sz w:val="16"/>
                <w:szCs w:val="16"/>
              </w:rPr>
              <w:t xml:space="preserve">Desmembramento do litisconsórcio passivo pode ser determinado de ofício para otimizar a instrução  [VERIFICAR]</w:t>
            </w:r>
          </w:p>
        </w:tc>
        <w:tc>
          <w:tcPr>
            <w:tcW w:type="pct" w:w="8%"/>
            <w:shd w:fill="FFFFFF" w:val="clear"/>
          </w:tcPr>
          <w:p>
            <w:r>
              <w:rPr>
                <w:sz w:val="16"/>
                <w:szCs w:val="16"/>
              </w:rPr>
              <w:t xml:space="preserve">—</w:t>
            </w:r>
          </w:p>
        </w:tc>
        <w:tc>
          <w:tcPr>
            <w:tcW w:type="pct" w:w="22%"/>
            <w:shd w:fill="FFFFFF" w:val="clear"/>
          </w:tcPr>
          <w:p>
            <w:r>
              <w:rPr>
                <w:sz w:val="16"/>
                <w:szCs w:val="16"/>
              </w:rPr>
              <w:t xml:space="preserve">[VERIFICAR — tema de prova FGV, julgado específico não localizado no Buscador dentro do período pesquisado]</w:t>
            </w:r>
          </w:p>
        </w:tc>
        <w:tc>
          <w:tcPr>
            <w:tcW w:type="pct" w:w="18%"/>
            <w:shd w:fill="FFFFFF" w:val="clear"/>
          </w:tcPr>
          <w:p>
            <w:r>
              <w:rPr>
                <w:sz w:val="16"/>
                <w:szCs w:val="16"/>
              </w:rPr>
              <w:t xml:space="preserve">Caso Isolado</w:t>
            </w:r>
          </w:p>
        </w:tc>
        <w:tc>
          <w:tcPr>
            <w:tcW w:type="pct" w:w="8%"/>
            <w:shd w:fill="FFFFFF" w:val="clear"/>
          </w:tcPr>
          <w:p>
            <w:r>
              <w:rPr>
                <w:sz w:val="16"/>
                <w:szCs w:val="16"/>
              </w:rPr>
              <w:t xml:space="preserve">—</w:t>
            </w:r>
          </w:p>
        </w:tc>
      </w:tr>
      <w:tr>
        <w:tc>
          <w:tcPr>
            <w:tcW w:type="pct" w:w="4%"/>
            <w:shd w:fill="F2F2F2" w:val="clear"/>
          </w:tcPr>
          <w:p>
            <w:r>
              <w:rPr>
                <w:sz w:val="16"/>
                <w:szCs w:val="16"/>
              </w:rPr>
              <w:t xml:space="preserve">27</w:t>
            </w:r>
          </w:p>
        </w:tc>
        <w:tc>
          <w:tcPr>
            <w:tcW w:type="pct" w:w="34%"/>
            <w:shd w:fill="F2F2F2" w:val="clear"/>
          </w:tcPr>
          <w:p>
            <w:r>
              <w:rPr>
                <w:sz w:val="16"/>
                <w:szCs w:val="16"/>
              </w:rPr>
              <w:t xml:space="preserve">Conversão da ação de improbidade em ação civil pública deve ocorrer em primeiro grau, antes da sentença</w:t>
            </w:r>
          </w:p>
        </w:tc>
        <w:tc>
          <w:tcPr>
            <w:tcW w:type="pct" w:w="8%"/>
            <w:shd w:fill="F2F2F2" w:val="clear"/>
          </w:tcPr>
          <w:p>
            <w:r>
              <w:rPr>
                <w:sz w:val="16"/>
                <w:szCs w:val="16"/>
              </w:rPr>
              <w:t xml:space="preserve">STJ</w:t>
            </w:r>
          </w:p>
        </w:tc>
        <w:tc>
          <w:tcPr>
            <w:tcW w:type="pct" w:w="22%"/>
            <w:shd w:fill="F2F2F2" w:val="clear"/>
          </w:tcPr>
          <w:p>
            <w:r>
              <w:rPr>
                <w:sz w:val="16"/>
                <w:szCs w:val="16"/>
              </w:rPr>
              <w:t xml:space="preserve">REsp 2.139.458-SC</w:t>
            </w:r>
          </w:p>
        </w:tc>
        <w:tc>
          <w:tcPr>
            <w:tcW w:type="pct" w:w="18%"/>
            <w:shd w:fill="F2F2F2" w:val="clear"/>
          </w:tcPr>
          <w:p>
            <w:r>
              <w:rPr>
                <w:sz w:val="16"/>
                <w:szCs w:val="16"/>
              </w:rPr>
              <w:t xml:space="preserve">Caso Isolado</w:t>
            </w:r>
          </w:p>
        </w:tc>
        <w:tc>
          <w:tcPr>
            <w:tcW w:type="pct" w:w="8%"/>
            <w:shd w:fill="F2F2F2" w:val="clear"/>
          </w:tcPr>
          <w:p>
            <w:r>
              <w:rPr>
                <w:sz w:val="16"/>
                <w:szCs w:val="16"/>
              </w:rPr>
              <w:t xml:space="preserve">18/02/2025</w:t>
            </w:r>
          </w:p>
        </w:tc>
      </w:tr>
      <w:tr>
        <w:tc>
          <w:tcPr>
            <w:tcW w:type="pct" w:w="4%"/>
            <w:shd w:fill="FFFFFF" w:val="clear"/>
          </w:tcPr>
          <w:p>
            <w:r>
              <w:rPr>
                <w:sz w:val="16"/>
                <w:szCs w:val="16"/>
              </w:rPr>
              <w:t xml:space="preserve">28</w:t>
            </w:r>
          </w:p>
        </w:tc>
        <w:tc>
          <w:tcPr>
            <w:tcW w:type="pct" w:w="34%"/>
            <w:shd w:fill="FFFFFF" w:val="clear"/>
          </w:tcPr>
          <w:p>
            <w:r>
              <w:rPr>
                <w:sz w:val="16"/>
                <w:szCs w:val="16"/>
              </w:rPr>
              <w:t xml:space="preserve">Inquérito civil para apuração de improbidade só pode ser prorrogado uma única vez por 365 dias, com fundamentação específica</w:t>
            </w:r>
          </w:p>
        </w:tc>
        <w:tc>
          <w:tcPr>
            <w:tcW w:type="pct" w:w="8%"/>
            <w:shd w:fill="FFFFFF" w:val="clear"/>
          </w:tcPr>
          <w:p>
            <w:r>
              <w:rPr>
                <w:sz w:val="16"/>
                <w:szCs w:val="16"/>
              </w:rPr>
              <w:t xml:space="preserve">STJ</w:t>
            </w:r>
          </w:p>
        </w:tc>
        <w:tc>
          <w:tcPr>
            <w:tcW w:type="pct" w:w="22%"/>
            <w:shd w:fill="FFFFFF" w:val="clear"/>
          </w:tcPr>
          <w:p>
            <w:r>
              <w:rPr>
                <w:sz w:val="16"/>
                <w:szCs w:val="16"/>
              </w:rPr>
              <w:t xml:space="preserve">REsp 2.181.090-DF</w:t>
            </w:r>
          </w:p>
        </w:tc>
        <w:tc>
          <w:tcPr>
            <w:tcW w:type="pct" w:w="18%"/>
            <w:shd w:fill="FFFFFF" w:val="clear"/>
          </w:tcPr>
          <w:p>
            <w:r>
              <w:rPr>
                <w:sz w:val="16"/>
                <w:szCs w:val="16"/>
              </w:rPr>
              <w:t xml:space="preserve">Caso Isolado</w:t>
            </w:r>
          </w:p>
        </w:tc>
        <w:tc>
          <w:tcPr>
            <w:tcW w:type="pct" w:w="8%"/>
            <w:shd w:fill="FFFFFF" w:val="clear"/>
          </w:tcPr>
          <w:p>
            <w:r>
              <w:rPr>
                <w:sz w:val="16"/>
                <w:szCs w:val="16"/>
              </w:rPr>
              <w:t xml:space="preserve">11/11/2025</w:t>
            </w:r>
          </w:p>
        </w:tc>
      </w:tr>
      <w:tr>
        <w:tc>
          <w:tcPr>
            <w:tcW w:type="pct" w:w="4%"/>
            <w:shd w:fill="F2F2F2" w:val="clear"/>
          </w:tcPr>
          <w:p>
            <w:r>
              <w:rPr>
                <w:sz w:val="16"/>
                <w:szCs w:val="16"/>
              </w:rPr>
              <w:t xml:space="preserve">29</w:t>
            </w:r>
          </w:p>
        </w:tc>
        <w:tc>
          <w:tcPr>
            <w:tcW w:type="pct" w:w="34%"/>
            <w:shd w:fill="F2F2F2" w:val="clear"/>
          </w:tcPr>
          <w:p>
            <w:r>
              <w:rPr>
                <w:sz w:val="16"/>
                <w:szCs w:val="16"/>
              </w:rPr>
              <w:t xml:space="preserve">Vedação ao reexame necessário na LIA não se aplica a sentenças anteriores à Lei 14.230/2021</w:t>
            </w:r>
          </w:p>
        </w:tc>
        <w:tc>
          <w:tcPr>
            <w:tcW w:type="pct" w:w="8%"/>
            <w:shd w:fill="F2F2F2" w:val="clear"/>
          </w:tcPr>
          <w:p>
            <w:r>
              <w:rPr>
                <w:sz w:val="16"/>
                <w:szCs w:val="16"/>
              </w:rPr>
              <w:t xml:space="preserve">STJ</w:t>
            </w:r>
          </w:p>
        </w:tc>
        <w:tc>
          <w:tcPr>
            <w:tcW w:type="pct" w:w="22%"/>
            <w:shd w:fill="F2F2F2" w:val="clear"/>
          </w:tcPr>
          <w:p>
            <w:r>
              <w:rPr>
                <w:sz w:val="16"/>
                <w:szCs w:val="16"/>
              </w:rPr>
              <w:t xml:space="preserve">REsp 2.117.355-MG, REsp 2.118.137-MG e REsp 2.120.300-MG</w:t>
            </w:r>
          </w:p>
        </w:tc>
        <w:tc>
          <w:tcPr>
            <w:tcW w:type="pct" w:w="18%"/>
            <w:shd w:fill="F2F2F2" w:val="clear"/>
          </w:tcPr>
          <w:p>
            <w:r>
              <w:rPr>
                <w:sz w:val="16"/>
                <w:szCs w:val="16"/>
              </w:rPr>
              <w:t xml:space="preserve">Recurso Repetitivo – Tema 1284</w:t>
            </w:r>
          </w:p>
        </w:tc>
        <w:tc>
          <w:tcPr>
            <w:tcW w:type="pct" w:w="8%"/>
            <w:shd w:fill="F2F2F2" w:val="clear"/>
          </w:tcPr>
          <w:p>
            <w:r>
              <w:rPr>
                <w:sz w:val="16"/>
                <w:szCs w:val="16"/>
              </w:rPr>
              <w:t xml:space="preserve">11/06/2025</w:t>
            </w:r>
          </w:p>
        </w:tc>
      </w:tr>
      <w:tr>
        <w:tc>
          <w:tcPr>
            <w:tcW w:type="pct" w:w="4%"/>
            <w:shd w:fill="FFFFFF" w:val="clear"/>
          </w:tcPr>
          <w:p>
            <w:r>
              <w:rPr>
                <w:sz w:val="16"/>
                <w:szCs w:val="16"/>
              </w:rPr>
              <w:t xml:space="preserve">30</w:t>
            </w:r>
          </w:p>
        </w:tc>
        <w:tc>
          <w:tcPr>
            <w:tcW w:type="pct" w:w="34%"/>
            <w:shd w:fill="FFFFFF" w:val="clear"/>
          </w:tcPr>
          <w:p>
            <w:r>
              <w:rPr>
                <w:sz w:val="16"/>
                <w:szCs w:val="16"/>
              </w:rPr>
              <w:t xml:space="preserve">Provas colhidas no inquérito civil têm valor probatório relativo, afastável apenas por contraprova sob contraditório</w:t>
            </w:r>
          </w:p>
        </w:tc>
        <w:tc>
          <w:tcPr>
            <w:tcW w:type="pct" w:w="8%"/>
            <w:shd w:fill="FFFFFF" w:val="clear"/>
          </w:tcPr>
          <w:p>
            <w:r>
              <w:rPr>
                <w:sz w:val="16"/>
                <w:szCs w:val="16"/>
              </w:rPr>
              <w:t xml:space="preserve">STJ</w:t>
            </w:r>
          </w:p>
        </w:tc>
        <w:tc>
          <w:tcPr>
            <w:tcW w:type="pct" w:w="22%"/>
            <w:shd w:fill="FFFFFF" w:val="clear"/>
          </w:tcPr>
          <w:p>
            <w:r>
              <w:rPr>
                <w:sz w:val="16"/>
                <w:szCs w:val="16"/>
              </w:rPr>
              <w:t xml:space="preserve">AREsp 1.417.207-MG</w:t>
            </w:r>
          </w:p>
        </w:tc>
        <w:tc>
          <w:tcPr>
            <w:tcW w:type="pct" w:w="18%"/>
            <w:shd w:fill="FFFFFF" w:val="clear"/>
          </w:tcPr>
          <w:p>
            <w:r>
              <w:rPr>
                <w:sz w:val="16"/>
                <w:szCs w:val="16"/>
              </w:rPr>
              <w:t xml:space="preserve">Caso Isolado</w:t>
            </w:r>
          </w:p>
        </w:tc>
        <w:tc>
          <w:tcPr>
            <w:tcW w:type="pct" w:w="8%"/>
            <w:shd w:fill="FFFFFF" w:val="clear"/>
          </w:tcPr>
          <w:p>
            <w:r>
              <w:rPr>
                <w:sz w:val="16"/>
                <w:szCs w:val="16"/>
              </w:rPr>
              <w:t xml:space="preserve">17/09/2024</w:t>
            </w:r>
          </w:p>
        </w:tc>
      </w:tr>
      <w:tr>
        <w:tc>
          <w:tcPr>
            <w:tcW w:type="pct" w:w="4%"/>
            <w:shd w:fill="F2F2F2" w:val="clear"/>
          </w:tcPr>
          <w:p>
            <w:r>
              <w:rPr>
                <w:sz w:val="16"/>
                <w:szCs w:val="16"/>
              </w:rPr>
              <w:t xml:space="preserve">31</w:t>
            </w:r>
          </w:p>
        </w:tc>
        <w:tc>
          <w:tcPr>
            <w:tcW w:type="pct" w:w="34%"/>
            <w:shd w:fill="F2F2F2" w:val="clear"/>
          </w:tcPr>
          <w:p>
            <w:r>
              <w:rPr>
                <w:sz w:val="16"/>
                <w:szCs w:val="16"/>
              </w:rPr>
              <w:t xml:space="preserve">Indisponibilidade solidária entre corréus, sem divisão em quota-parte, limitada ao montante indicado na inicial</w:t>
            </w:r>
          </w:p>
        </w:tc>
        <w:tc>
          <w:tcPr>
            <w:tcW w:type="pct" w:w="8%"/>
            <w:shd w:fill="F2F2F2" w:val="clear"/>
          </w:tcPr>
          <w:p>
            <w:r>
              <w:rPr>
                <w:sz w:val="16"/>
                <w:szCs w:val="16"/>
              </w:rPr>
              <w:t xml:space="preserve">STJ</w:t>
            </w:r>
          </w:p>
        </w:tc>
        <w:tc>
          <w:tcPr>
            <w:tcW w:type="pct" w:w="22%"/>
            <w:shd w:fill="F2F2F2" w:val="clear"/>
          </w:tcPr>
          <w:p>
            <w:r>
              <w:rPr>
                <w:sz w:val="16"/>
                <w:szCs w:val="16"/>
              </w:rPr>
              <w:t xml:space="preserve">REsp 1.955.116-AM, REsp 1.955.957, REsp 1.955.300-DF e REsp 1.955.440-DF</w:t>
            </w:r>
          </w:p>
        </w:tc>
        <w:tc>
          <w:tcPr>
            <w:tcW w:type="pct" w:w="18%"/>
            <w:shd w:fill="F2F2F2" w:val="clear"/>
          </w:tcPr>
          <w:p>
            <w:r>
              <w:rPr>
                <w:sz w:val="16"/>
                <w:szCs w:val="16"/>
              </w:rPr>
              <w:t xml:space="preserve">Recurso Repetitivo – Tema 1213</w:t>
            </w:r>
          </w:p>
        </w:tc>
        <w:tc>
          <w:tcPr>
            <w:tcW w:type="pct" w:w="8%"/>
            <w:shd w:fill="F2F2F2" w:val="clear"/>
          </w:tcPr>
          <w:p>
            <w:r>
              <w:rPr>
                <w:sz w:val="16"/>
                <w:szCs w:val="16"/>
              </w:rPr>
              <w:t xml:space="preserve">22/05/2024</w:t>
            </w:r>
          </w:p>
        </w:tc>
      </w:tr>
      <w:tr>
        <w:tc>
          <w:tcPr>
            <w:tcW w:type="pct" w:w="4%"/>
            <w:shd w:fill="FFFFFF" w:val="clear"/>
          </w:tcPr>
          <w:p>
            <w:r>
              <w:rPr>
                <w:sz w:val="16"/>
                <w:szCs w:val="16"/>
              </w:rPr>
              <w:t xml:space="preserve">32</w:t>
            </w:r>
          </w:p>
        </w:tc>
        <w:tc>
          <w:tcPr>
            <w:tcW w:type="pct" w:w="34%"/>
            <w:shd w:fill="FFFFFF" w:val="clear"/>
          </w:tcPr>
          <w:p>
            <w:r>
              <w:rPr>
                <w:sz w:val="16"/>
                <w:szCs w:val="16"/>
              </w:rPr>
              <w:t xml:space="preserve">Alterações da Lei 14.230/2021 sobre indisponibilidade de bens aplicam-se retroativamente aos processos em curso</w:t>
            </w:r>
          </w:p>
        </w:tc>
        <w:tc>
          <w:tcPr>
            <w:tcW w:type="pct" w:w="8%"/>
            <w:shd w:fill="FFFFFF" w:val="clear"/>
          </w:tcPr>
          <w:p>
            <w:r>
              <w:rPr>
                <w:sz w:val="16"/>
                <w:szCs w:val="16"/>
              </w:rPr>
              <w:t xml:space="preserve">STJ</w:t>
            </w:r>
          </w:p>
        </w:tc>
        <w:tc>
          <w:tcPr>
            <w:tcW w:type="pct" w:w="22%"/>
            <w:shd w:fill="FFFFFF" w:val="clear"/>
          </w:tcPr>
          <w:p>
            <w:r>
              <w:rPr>
                <w:sz w:val="16"/>
                <w:szCs w:val="16"/>
              </w:rPr>
              <w:t xml:space="preserve">REsp 2.074.601-MG, REsp 2.089.767-MG, REsp 2.076.137-MG, REsp 2.076.911-SP e REsp 2.078.360-MG</w:t>
            </w:r>
          </w:p>
        </w:tc>
        <w:tc>
          <w:tcPr>
            <w:tcW w:type="pct" w:w="18%"/>
            <w:shd w:fill="FFFFFF" w:val="clear"/>
          </w:tcPr>
          <w:p>
            <w:r>
              <w:rPr>
                <w:sz w:val="16"/>
                <w:szCs w:val="16"/>
              </w:rPr>
              <w:t xml:space="preserve">Recurso Repetitivo – Tema 1257</w:t>
            </w:r>
          </w:p>
        </w:tc>
        <w:tc>
          <w:tcPr>
            <w:tcW w:type="pct" w:w="8%"/>
            <w:shd w:fill="FFFFFF" w:val="clear"/>
          </w:tcPr>
          <w:p>
            <w:r>
              <w:rPr>
                <w:sz w:val="16"/>
                <w:szCs w:val="16"/>
              </w:rPr>
              <w:t xml:space="preserve">06/02/2025</w:t>
            </w:r>
          </w:p>
        </w:tc>
      </w:tr>
      <w:tr>
        <w:tc>
          <w:tcPr>
            <w:tcW w:type="pct" w:w="4%"/>
            <w:shd w:fill="F2F2F2" w:val="clear"/>
          </w:tcPr>
          <w:p>
            <w:r>
              <w:rPr>
                <w:sz w:val="16"/>
                <w:szCs w:val="16"/>
              </w:rPr>
              <w:t xml:space="preserve">33</w:t>
            </w:r>
          </w:p>
        </w:tc>
        <w:tc>
          <w:tcPr>
            <w:tcW w:type="pct" w:w="34%"/>
            <w:shd w:fill="F2F2F2" w:val="clear"/>
          </w:tcPr>
          <w:p>
            <w:r>
              <w:rPr>
                <w:sz w:val="16"/>
                <w:szCs w:val="16"/>
              </w:rPr>
              <w:t xml:space="preserve">Indisponibilidade pode ser decretada sem oitiva prévia do réu quando demonstrada urgência</w:t>
            </w:r>
          </w:p>
        </w:tc>
        <w:tc>
          <w:tcPr>
            <w:tcW w:type="pct" w:w="8%"/>
            <w:shd w:fill="F2F2F2" w:val="clear"/>
          </w:tcPr>
          <w:p>
            <w:r>
              <w:rPr>
                <w:sz w:val="16"/>
                <w:szCs w:val="16"/>
              </w:rPr>
              <w:t xml:space="preserve">STJ</w:t>
            </w:r>
          </w:p>
        </w:tc>
        <w:tc>
          <w:tcPr>
            <w:tcW w:type="pct" w:w="22%"/>
            <w:shd w:fill="F2F2F2" w:val="clear"/>
          </w:tcPr>
          <w:p>
            <w:r>
              <w:rPr>
                <w:sz w:val="16"/>
                <w:szCs w:val="16"/>
              </w:rPr>
              <w:t xml:space="preserve">Entendimento consolidado (art. 16, §3º, da LIA)</w:t>
            </w:r>
          </w:p>
        </w:tc>
        <w:tc>
          <w:tcPr>
            <w:tcW w:type="pct" w:w="18%"/>
            <w:shd w:fill="F2F2F2" w:val="clear"/>
          </w:tcPr>
          <w:p>
            <w:r>
              <w:rPr>
                <w:sz w:val="16"/>
                <w:szCs w:val="16"/>
              </w:rPr>
              <w:t xml:space="preserve">Caso Isolado</w:t>
            </w:r>
          </w:p>
        </w:tc>
        <w:tc>
          <w:tcPr>
            <w:tcW w:type="pct" w:w="8%"/>
            <w:shd w:fill="F2F2F2" w:val="clear"/>
          </w:tcPr>
          <w:p>
            <w:r>
              <w:rPr>
                <w:sz w:val="16"/>
                <w:szCs w:val="16"/>
              </w:rPr>
              <w:t xml:space="preserve">—</w:t>
            </w:r>
          </w:p>
        </w:tc>
      </w:tr>
      <w:tr>
        <w:tc>
          <w:tcPr>
            <w:tcW w:type="pct" w:w="4%"/>
            <w:shd w:fill="FFFFFF" w:val="clear"/>
          </w:tcPr>
          <w:p>
            <w:r>
              <w:rPr>
                <w:sz w:val="16"/>
                <w:szCs w:val="16"/>
              </w:rPr>
              <w:t xml:space="preserve">34</w:t>
            </w:r>
          </w:p>
        </w:tc>
        <w:tc>
          <w:tcPr>
            <w:tcW w:type="pct" w:w="34%"/>
            <w:shd w:fill="FFFFFF" w:val="clear"/>
          </w:tcPr>
          <w:p>
            <w:r>
              <w:rPr>
                <w:sz w:val="16"/>
                <w:szCs w:val="16"/>
              </w:rPr>
              <w:t xml:space="preserve">Ordem de preferência da indisponibilidade e limites: bem de família, poupança até 40 salários mínimos, dinheiro/ativos financeiros prioritários</w:t>
            </w:r>
          </w:p>
        </w:tc>
        <w:tc>
          <w:tcPr>
            <w:tcW w:type="pct" w:w="8%"/>
            <w:shd w:fill="FFFFFF" w:val="clear"/>
          </w:tcPr>
          <w:p>
            <w:r>
              <w:rPr>
                <w:sz w:val="16"/>
                <w:szCs w:val="16"/>
              </w:rPr>
              <w:t xml:space="preserve">STJ</w:t>
            </w:r>
          </w:p>
        </w:tc>
        <w:tc>
          <w:tcPr>
            <w:tcW w:type="pct" w:w="22%"/>
            <w:shd w:fill="FFFFFF" w:val="clear"/>
          </w:tcPr>
          <w:p>
            <w:r>
              <w:rPr>
                <w:sz w:val="16"/>
                <w:szCs w:val="16"/>
              </w:rPr>
              <w:t xml:space="preserve">Entendimento consolidado (art. 16, §§6º a 12, da LIA)</w:t>
            </w:r>
          </w:p>
        </w:tc>
        <w:tc>
          <w:tcPr>
            <w:tcW w:type="pct" w:w="18%"/>
            <w:shd w:fill="FFFFFF" w:val="clear"/>
          </w:tcPr>
          <w:p>
            <w:r>
              <w:rPr>
                <w:sz w:val="16"/>
                <w:szCs w:val="16"/>
              </w:rPr>
              <w:t xml:space="preserve">Caso Isolado</w:t>
            </w:r>
          </w:p>
        </w:tc>
        <w:tc>
          <w:tcPr>
            <w:tcW w:type="pct" w:w="8%"/>
            <w:shd w:fill="FFFFFF" w:val="clear"/>
          </w:tcPr>
          <w:p>
            <w:r>
              <w:rPr>
                <w:sz w:val="16"/>
                <w:szCs w:val="16"/>
              </w:rPr>
              <w:t xml:space="preserve">—</w:t>
            </w:r>
          </w:p>
        </w:tc>
      </w:tr>
      <w:tr>
        <w:tc>
          <w:tcPr>
            <w:tcW w:type="pct" w:w="4%"/>
            <w:shd w:fill="F2F2F2" w:val="clear"/>
          </w:tcPr>
          <w:p>
            <w:r>
              <w:rPr>
                <w:sz w:val="16"/>
                <w:szCs w:val="16"/>
              </w:rPr>
              <w:t xml:space="preserve">35</w:t>
            </w:r>
          </w:p>
        </w:tc>
        <w:tc>
          <w:tcPr>
            <w:tcW w:type="pct" w:w="34%"/>
            <w:shd w:fill="F2F2F2" w:val="clear"/>
          </w:tcPr>
          <w:p>
            <w:r>
              <w:rPr>
                <w:sz w:val="16"/>
                <w:szCs w:val="16"/>
              </w:rPr>
              <w:t xml:space="preserve">Decisão de indisponibilidade pode ser revista a qualquer tempo, inclusive em recurso pendente, exigindo demonstração atual dos requisitos</w:t>
            </w:r>
          </w:p>
        </w:tc>
        <w:tc>
          <w:tcPr>
            <w:tcW w:type="pct" w:w="8%"/>
            <w:shd w:fill="F2F2F2" w:val="clear"/>
          </w:tcPr>
          <w:p>
            <w:r>
              <w:rPr>
                <w:sz w:val="16"/>
                <w:szCs w:val="16"/>
              </w:rPr>
              <w:t xml:space="preserve">STJ</w:t>
            </w:r>
          </w:p>
        </w:tc>
        <w:tc>
          <w:tcPr>
            <w:tcW w:type="pct" w:w="22%"/>
            <w:shd w:fill="F2F2F2" w:val="clear"/>
          </w:tcPr>
          <w:p>
            <w:r>
              <w:rPr>
                <w:sz w:val="16"/>
                <w:szCs w:val="16"/>
              </w:rPr>
              <w:t xml:space="preserve">REsp citado no material de referência (entendimento consolidado)</w:t>
            </w:r>
          </w:p>
        </w:tc>
        <w:tc>
          <w:tcPr>
            <w:tcW w:type="pct" w:w="18%"/>
            <w:shd w:fill="F2F2F2" w:val="clear"/>
          </w:tcPr>
          <w:p>
            <w:r>
              <w:rPr>
                <w:sz w:val="16"/>
                <w:szCs w:val="16"/>
              </w:rPr>
              <w:t xml:space="preserve">Caso Isolado</w:t>
            </w:r>
          </w:p>
        </w:tc>
        <w:tc>
          <w:tcPr>
            <w:tcW w:type="pct" w:w="8%"/>
            <w:shd w:fill="F2F2F2" w:val="clear"/>
          </w:tcPr>
          <w:p>
            <w:r>
              <w:rPr>
                <w:sz w:val="16"/>
                <w:szCs w:val="16"/>
              </w:rPr>
              <w:t xml:space="preserve">—</w:t>
            </w:r>
          </w:p>
        </w:tc>
      </w:tr>
      <w:tr>
        <w:tc>
          <w:tcPr>
            <w:tcW w:type="pct" w:w="4%"/>
            <w:shd w:fill="FFFFFF" w:val="clear"/>
          </w:tcPr>
          <w:p>
            <w:r>
              <w:rPr>
                <w:sz w:val="16"/>
                <w:szCs w:val="16"/>
              </w:rPr>
              <w:t xml:space="preserve">36</w:t>
            </w:r>
          </w:p>
        </w:tc>
        <w:tc>
          <w:tcPr>
            <w:tcW w:type="pct" w:w="34%"/>
            <w:shd w:fill="FFFFFF" w:val="clear"/>
          </w:tcPr>
          <w:p>
            <w:r>
              <w:rPr>
                <w:sz w:val="16"/>
                <w:szCs w:val="16"/>
              </w:rPr>
              <w:t xml:space="preserve">Herdeiros não respondem pela multa civil após a Lei 14.230/2021; respondem apenas até o limite da herança pelo ressarcimento e enriquecimento ilícito</w:t>
            </w:r>
          </w:p>
        </w:tc>
        <w:tc>
          <w:tcPr>
            <w:tcW w:type="pct" w:w="8%"/>
            <w:shd w:fill="FFFFFF" w:val="clear"/>
          </w:tcPr>
          <w:p>
            <w:r>
              <w:rPr>
                <w:sz w:val="16"/>
                <w:szCs w:val="16"/>
              </w:rPr>
              <w:t xml:space="preserve">STJ</w:t>
            </w:r>
          </w:p>
        </w:tc>
        <w:tc>
          <w:tcPr>
            <w:tcW w:type="pct" w:w="22%"/>
            <w:shd w:fill="FFFFFF" w:val="clear"/>
          </w:tcPr>
          <w:p>
            <w:r>
              <w:rPr>
                <w:sz w:val="16"/>
                <w:szCs w:val="16"/>
              </w:rPr>
              <w:t xml:space="preserve">AREsp 1.440.445-SP</w:t>
            </w:r>
          </w:p>
        </w:tc>
        <w:tc>
          <w:tcPr>
            <w:tcW w:type="pct" w:w="18%"/>
            <w:shd w:fill="FFFFFF" w:val="clear"/>
          </w:tcPr>
          <w:p>
            <w:r>
              <w:rPr>
                <w:sz w:val="16"/>
                <w:szCs w:val="16"/>
              </w:rPr>
              <w:t xml:space="preserve">Caso Isolado</w:t>
            </w:r>
          </w:p>
        </w:tc>
        <w:tc>
          <w:tcPr>
            <w:tcW w:type="pct" w:w="8%"/>
            <w:shd w:fill="FFFFFF" w:val="clear"/>
          </w:tcPr>
          <w:p>
            <w:r>
              <w:rPr>
                <w:sz w:val="16"/>
                <w:szCs w:val="16"/>
              </w:rPr>
              <w:t xml:space="preserve">04/11/2025</w:t>
            </w:r>
          </w:p>
        </w:tc>
      </w:tr>
      <w:tr>
        <w:tc>
          <w:tcPr>
            <w:tcW w:type="pct" w:w="4%"/>
            <w:shd w:fill="F2F2F2" w:val="clear"/>
          </w:tcPr>
          <w:p>
            <w:r>
              <w:rPr>
                <w:sz w:val="16"/>
                <w:szCs w:val="16"/>
              </w:rPr>
              <w:t xml:space="preserve">37</w:t>
            </w:r>
          </w:p>
        </w:tc>
        <w:tc>
          <w:tcPr>
            <w:tcW w:type="pct" w:w="34%"/>
            <w:shd w:fill="F2F2F2" w:val="clear"/>
          </w:tcPr>
          <w:p>
            <w:r>
              <w:rPr>
                <w:sz w:val="16"/>
                <w:szCs w:val="16"/>
              </w:rPr>
              <w:t xml:space="preserve">É possível a conversão da perda da função pública em cassação de aposentadoria na fase de execução</w:t>
            </w:r>
          </w:p>
        </w:tc>
        <w:tc>
          <w:tcPr>
            <w:tcW w:type="pct" w:w="8%"/>
            <w:shd w:fill="F2F2F2" w:val="clear"/>
          </w:tcPr>
          <w:p>
            <w:r>
              <w:rPr>
                <w:sz w:val="16"/>
                <w:szCs w:val="16"/>
              </w:rPr>
              <w:t xml:space="preserve">STJ</w:t>
            </w:r>
          </w:p>
        </w:tc>
        <w:tc>
          <w:tcPr>
            <w:tcW w:type="pct" w:w="22%"/>
            <w:shd w:fill="F2F2F2" w:val="clear"/>
          </w:tcPr>
          <w:p>
            <w:r>
              <w:rPr>
                <w:sz w:val="16"/>
                <w:szCs w:val="16"/>
              </w:rPr>
              <w:t xml:space="preserve">MS 26.106-DF; EREsp 1.781.874-DF</w:t>
            </w:r>
          </w:p>
        </w:tc>
        <w:tc>
          <w:tcPr>
            <w:tcW w:type="pct" w:w="18%"/>
            <w:shd w:fill="F2F2F2" w:val="clear"/>
          </w:tcPr>
          <w:p>
            <w:r>
              <w:rPr>
                <w:sz w:val="16"/>
                <w:szCs w:val="16"/>
              </w:rPr>
              <w:t xml:space="preserve">Caso Isolado — mudança de entendimento (superou EREsp 1.496.347/ES e REsp 1.761.937)</w:t>
            </w:r>
          </w:p>
        </w:tc>
        <w:tc>
          <w:tcPr>
            <w:tcW w:type="pct" w:w="8%"/>
            <w:shd w:fill="F2F2F2" w:val="clear"/>
          </w:tcPr>
          <w:p>
            <w:r>
              <w:rPr>
                <w:sz w:val="16"/>
                <w:szCs w:val="16"/>
              </w:rPr>
              <w:t xml:space="preserve">05/06/2025</w:t>
            </w:r>
          </w:p>
        </w:tc>
      </w:tr>
      <w:tr>
        <w:tc>
          <w:tcPr>
            <w:tcW w:type="pct" w:w="4%"/>
            <w:shd w:fill="FFFFFF" w:val="clear"/>
          </w:tcPr>
          <w:p>
            <w:r>
              <w:rPr>
                <w:sz w:val="16"/>
                <w:szCs w:val="16"/>
              </w:rPr>
              <w:t xml:space="preserve">38</w:t>
            </w:r>
          </w:p>
        </w:tc>
        <w:tc>
          <w:tcPr>
            <w:tcW w:type="pct" w:w="34%"/>
            <w:shd w:fill="FFFFFF" w:val="clear"/>
          </w:tcPr>
          <w:p>
            <w:r>
              <w:rPr>
                <w:sz w:val="16"/>
                <w:szCs w:val="16"/>
              </w:rPr>
              <w:t xml:space="preserve">Multa civil deve ser revertida à entidade diretamente lesada, mesmo sem dano patrimonial direto quantificável</w:t>
            </w:r>
          </w:p>
        </w:tc>
        <w:tc>
          <w:tcPr>
            <w:tcW w:type="pct" w:w="8%"/>
            <w:shd w:fill="FFFFFF" w:val="clear"/>
          </w:tcPr>
          <w:p>
            <w:r>
              <w:rPr>
                <w:sz w:val="16"/>
                <w:szCs w:val="16"/>
              </w:rPr>
              <w:t xml:space="preserve">STJ</w:t>
            </w:r>
          </w:p>
        </w:tc>
        <w:tc>
          <w:tcPr>
            <w:tcW w:type="pct" w:w="22%"/>
            <w:shd w:fill="FFFFFF" w:val="clear"/>
          </w:tcPr>
          <w:p>
            <w:r>
              <w:rPr>
                <w:sz w:val="16"/>
                <w:szCs w:val="16"/>
              </w:rPr>
              <w:t xml:space="preserve">REsp 1.925.304-SC</w:t>
            </w:r>
          </w:p>
        </w:tc>
        <w:tc>
          <w:tcPr>
            <w:tcW w:type="pct" w:w="18%"/>
            <w:shd w:fill="FFFFFF" w:val="clear"/>
          </w:tcPr>
          <w:p>
            <w:r>
              <w:rPr>
                <w:sz w:val="16"/>
                <w:szCs w:val="16"/>
              </w:rPr>
              <w:t xml:space="preserve">Caso Isolado</w:t>
            </w:r>
          </w:p>
        </w:tc>
        <w:tc>
          <w:tcPr>
            <w:tcW w:type="pct" w:w="8%"/>
            <w:shd w:fill="FFFFFF" w:val="clear"/>
          </w:tcPr>
          <w:p>
            <w:r>
              <w:rPr>
                <w:sz w:val="16"/>
                <w:szCs w:val="16"/>
              </w:rPr>
              <w:t xml:space="preserve">07/10/2025</w:t>
            </w:r>
          </w:p>
        </w:tc>
      </w:tr>
      <w:tr>
        <w:tc>
          <w:tcPr>
            <w:tcW w:type="pct" w:w="4%"/>
            <w:shd w:fill="F2F2F2" w:val="clear"/>
          </w:tcPr>
          <w:p>
            <w:r>
              <w:rPr>
                <w:sz w:val="16"/>
                <w:szCs w:val="16"/>
              </w:rPr>
              <w:t xml:space="preserve">39</w:t>
            </w:r>
          </w:p>
        </w:tc>
        <w:tc>
          <w:tcPr>
            <w:tcW w:type="pct" w:w="34%"/>
            <w:shd w:fill="F2F2F2" w:val="clear"/>
          </w:tcPr>
          <w:p>
            <w:r>
              <w:rPr>
                <w:sz w:val="16"/>
                <w:szCs w:val="16"/>
              </w:rPr>
              <w:t xml:space="preserve">Multa civil por improbidade pode ser cobrada por execução fiscal, sendo o ente lesado parte legítima</w:t>
            </w:r>
          </w:p>
        </w:tc>
        <w:tc>
          <w:tcPr>
            <w:tcW w:type="pct" w:w="8%"/>
            <w:shd w:fill="F2F2F2" w:val="clear"/>
          </w:tcPr>
          <w:p>
            <w:r>
              <w:rPr>
                <w:sz w:val="16"/>
                <w:szCs w:val="16"/>
              </w:rPr>
              <w:t xml:space="preserve">STJ</w:t>
            </w:r>
          </w:p>
        </w:tc>
        <w:tc>
          <w:tcPr>
            <w:tcW w:type="pct" w:w="22%"/>
            <w:shd w:fill="F2F2F2" w:val="clear"/>
          </w:tcPr>
          <w:p>
            <w:r>
              <w:rPr>
                <w:sz w:val="16"/>
                <w:szCs w:val="16"/>
              </w:rPr>
              <w:t xml:space="preserve">REsp 2.123.875-MG</w:t>
            </w:r>
          </w:p>
        </w:tc>
        <w:tc>
          <w:tcPr>
            <w:tcW w:type="pct" w:w="18%"/>
            <w:shd w:fill="F2F2F2" w:val="clear"/>
          </w:tcPr>
          <w:p>
            <w:r>
              <w:rPr>
                <w:sz w:val="16"/>
                <w:szCs w:val="16"/>
              </w:rPr>
              <w:t xml:space="preserve">Caso Isolado</w:t>
            </w:r>
          </w:p>
        </w:tc>
        <w:tc>
          <w:tcPr>
            <w:tcW w:type="pct" w:w="8%"/>
            <w:shd w:fill="F2F2F2" w:val="clear"/>
          </w:tcPr>
          <w:p>
            <w:r>
              <w:rPr>
                <w:sz w:val="16"/>
                <w:szCs w:val="16"/>
              </w:rPr>
              <w:t xml:space="preserve">01/04/2025</w:t>
            </w:r>
          </w:p>
        </w:tc>
      </w:tr>
      <w:tr>
        <w:tc>
          <w:tcPr>
            <w:tcW w:type="pct" w:w="4%"/>
            <w:shd w:fill="FFFFFF" w:val="clear"/>
          </w:tcPr>
          <w:p>
            <w:r>
              <w:rPr>
                <w:sz w:val="16"/>
                <w:szCs w:val="16"/>
              </w:rPr>
              <w:t xml:space="preserve">40</w:t>
            </w:r>
          </w:p>
        </w:tc>
        <w:tc>
          <w:tcPr>
            <w:tcW w:type="pct" w:w="34%"/>
            <w:shd w:fill="FFFFFF" w:val="clear"/>
          </w:tcPr>
          <w:p>
            <w:r>
              <w:rPr>
                <w:sz w:val="16"/>
                <w:szCs w:val="16"/>
              </w:rPr>
              <w:t xml:space="preserve">Suspensão de direitos políticos afastada retroativamente para atos do art. 11 sem trânsito em julgado</w:t>
            </w:r>
          </w:p>
        </w:tc>
        <w:tc>
          <w:tcPr>
            <w:tcW w:type="pct" w:w="8%"/>
            <w:shd w:fill="FFFFFF" w:val="clear"/>
          </w:tcPr>
          <w:p>
            <w:r>
              <w:rPr>
                <w:sz w:val="16"/>
                <w:szCs w:val="16"/>
              </w:rPr>
              <w:t xml:space="preserve">STJ</w:t>
            </w:r>
          </w:p>
        </w:tc>
        <w:tc>
          <w:tcPr>
            <w:tcW w:type="pct" w:w="22%"/>
            <w:shd w:fill="FFFFFF" w:val="clear"/>
          </w:tcPr>
          <w:p>
            <w:r>
              <w:rPr>
                <w:sz w:val="16"/>
                <w:szCs w:val="16"/>
              </w:rPr>
              <w:t xml:space="preserve">AgInt nos EDcl no AREsp 2.047.048-SP</w:t>
            </w:r>
          </w:p>
        </w:tc>
        <w:tc>
          <w:tcPr>
            <w:tcW w:type="pct" w:w="18%"/>
            <w:shd w:fill="FFFFFF" w:val="clear"/>
          </w:tcPr>
          <w:p>
            <w:r>
              <w:rPr>
                <w:sz w:val="16"/>
                <w:szCs w:val="16"/>
              </w:rPr>
              <w:t xml:space="preserve">Caso Isolado</w:t>
            </w:r>
          </w:p>
        </w:tc>
        <w:tc>
          <w:tcPr>
            <w:tcW w:type="pct" w:w="8%"/>
            <w:shd w:fill="FFFFFF" w:val="clear"/>
          </w:tcPr>
          <w:p>
            <w:r>
              <w:rPr>
                <w:sz w:val="16"/>
                <w:szCs w:val="16"/>
              </w:rPr>
              <w:t xml:space="preserve">16/09/2025</w:t>
            </w:r>
          </w:p>
        </w:tc>
      </w:tr>
      <w:tr>
        <w:tc>
          <w:tcPr>
            <w:tcW w:type="pct" w:w="4%"/>
            <w:shd w:fill="F2F2F2" w:val="clear"/>
          </w:tcPr>
          <w:p>
            <w:r>
              <w:rPr>
                <w:sz w:val="16"/>
                <w:szCs w:val="16"/>
              </w:rPr>
              <w:t xml:space="preserve">41</w:t>
            </w:r>
          </w:p>
        </w:tc>
        <w:tc>
          <w:tcPr>
            <w:tcW w:type="pct" w:w="34%"/>
            <w:shd w:fill="F2F2F2" w:val="clear"/>
          </w:tcPr>
          <w:p>
            <w:r>
              <w:rPr>
                <w:sz w:val="16"/>
                <w:szCs w:val="16"/>
              </w:rPr>
              <w:t xml:space="preserve">Suspensão de direitos políticos aplicável a particulares e proibição de contratar mesmo sem atividade empresarial atual</w:t>
            </w:r>
          </w:p>
        </w:tc>
        <w:tc>
          <w:tcPr>
            <w:tcW w:type="pct" w:w="8%"/>
            <w:shd w:fill="F2F2F2" w:val="clear"/>
          </w:tcPr>
          <w:p>
            <w:r>
              <w:rPr>
                <w:sz w:val="16"/>
                <w:szCs w:val="16"/>
              </w:rPr>
              <w:t xml:space="preserve">STJ</w:t>
            </w:r>
          </w:p>
        </w:tc>
        <w:tc>
          <w:tcPr>
            <w:tcW w:type="pct" w:w="22%"/>
            <w:shd w:fill="F2F2F2" w:val="clear"/>
          </w:tcPr>
          <w:p>
            <w:r>
              <w:rPr>
                <w:sz w:val="16"/>
                <w:szCs w:val="16"/>
              </w:rPr>
              <w:t xml:space="preserve">REsp 1.735.603-AL</w:t>
            </w:r>
          </w:p>
        </w:tc>
        <w:tc>
          <w:tcPr>
            <w:tcW w:type="pct" w:w="18%"/>
            <w:shd w:fill="F2F2F2" w:val="clear"/>
          </w:tcPr>
          <w:p>
            <w:r>
              <w:rPr>
                <w:sz w:val="16"/>
                <w:szCs w:val="16"/>
              </w:rPr>
              <w:t xml:space="preserve">Caso Isolado</w:t>
            </w:r>
          </w:p>
        </w:tc>
        <w:tc>
          <w:tcPr>
            <w:tcW w:type="pct" w:w="8%"/>
            <w:shd w:fill="F2F2F2" w:val="clear"/>
          </w:tcPr>
          <w:p>
            <w:r>
              <w:rPr>
                <w:sz w:val="16"/>
                <w:szCs w:val="16"/>
              </w:rPr>
              <w:t xml:space="preserve">03/09/2024</w:t>
            </w:r>
          </w:p>
        </w:tc>
      </w:tr>
      <w:tr>
        <w:tc>
          <w:tcPr>
            <w:tcW w:type="pct" w:w="4%"/>
            <w:shd w:fill="FFFFFF" w:val="clear"/>
          </w:tcPr>
          <w:p>
            <w:r>
              <w:rPr>
                <w:sz w:val="16"/>
                <w:szCs w:val="16"/>
              </w:rPr>
              <w:t xml:space="preserve">42</w:t>
            </w:r>
          </w:p>
        </w:tc>
        <w:tc>
          <w:tcPr>
            <w:tcW w:type="pct" w:w="34%"/>
            <w:shd w:fill="FFFFFF" w:val="clear"/>
          </w:tcPr>
          <w:p>
            <w:r>
              <w:rPr>
                <w:sz w:val="16"/>
                <w:szCs w:val="16"/>
              </w:rPr>
              <w:t xml:space="preserve">Não existe prescrição intercorrente na fase de execução da ação de improbidade</w:t>
            </w:r>
          </w:p>
        </w:tc>
        <w:tc>
          <w:tcPr>
            <w:tcW w:type="pct" w:w="8%"/>
            <w:shd w:fill="FFFFFF" w:val="clear"/>
          </w:tcPr>
          <w:p>
            <w:r>
              <w:rPr>
                <w:sz w:val="16"/>
                <w:szCs w:val="16"/>
              </w:rPr>
              <w:t xml:space="preserve">STJ</w:t>
            </w:r>
          </w:p>
        </w:tc>
        <w:tc>
          <w:tcPr>
            <w:tcW w:type="pct" w:w="22%"/>
            <w:shd w:fill="FFFFFF" w:val="clear"/>
          </w:tcPr>
          <w:p>
            <w:r>
              <w:rPr>
                <w:sz w:val="16"/>
                <w:szCs w:val="16"/>
              </w:rPr>
              <w:t xml:space="preserve">REsp 1.931.489-DF</w:t>
            </w:r>
          </w:p>
        </w:tc>
        <w:tc>
          <w:tcPr>
            <w:tcW w:type="pct" w:w="18%"/>
            <w:shd w:fill="FFFFFF" w:val="clear"/>
          </w:tcPr>
          <w:p>
            <w:r>
              <w:rPr>
                <w:sz w:val="16"/>
                <w:szCs w:val="16"/>
              </w:rPr>
              <w:t xml:space="preserve">Caso Isolado</w:t>
            </w:r>
          </w:p>
        </w:tc>
        <w:tc>
          <w:tcPr>
            <w:tcW w:type="pct" w:w="8%"/>
            <w:shd w:fill="FFFFFF" w:val="clear"/>
          </w:tcPr>
          <w:p>
            <w:r>
              <w:rPr>
                <w:sz w:val="16"/>
                <w:szCs w:val="16"/>
              </w:rPr>
              <w:t xml:space="preserve">16/09/2025</w:t>
            </w:r>
          </w:p>
        </w:tc>
      </w:tr>
      <w:tr>
        <w:tc>
          <w:tcPr>
            <w:tcW w:type="pct" w:w="4%"/>
            <w:shd w:fill="F2F2F2" w:val="clear"/>
          </w:tcPr>
          <w:p>
            <w:r>
              <w:rPr>
                <w:sz w:val="16"/>
                <w:szCs w:val="16"/>
              </w:rPr>
              <w:t xml:space="preserve">43</w:t>
            </w:r>
          </w:p>
        </w:tc>
        <w:tc>
          <w:tcPr>
            <w:tcW w:type="pct" w:w="34%"/>
            <w:shd w:fill="F2F2F2" w:val="clear"/>
          </w:tcPr>
          <w:p>
            <w:r>
              <w:rPr>
                <w:sz w:val="16"/>
                <w:szCs w:val="16"/>
              </w:rPr>
              <w:t xml:space="preserve">Prazo prescricional do particular em concurso com agentes públicos de regimes distintos segue o prazo mais longo</w:t>
            </w:r>
          </w:p>
        </w:tc>
        <w:tc>
          <w:tcPr>
            <w:tcW w:type="pct" w:w="8%"/>
            <w:shd w:fill="F2F2F2" w:val="clear"/>
          </w:tcPr>
          <w:p>
            <w:r>
              <w:rPr>
                <w:sz w:val="16"/>
                <w:szCs w:val="16"/>
              </w:rPr>
              <w:t xml:space="preserve">STJ</w:t>
            </w:r>
          </w:p>
        </w:tc>
        <w:tc>
          <w:tcPr>
            <w:tcW w:type="pct" w:w="22%"/>
            <w:shd w:fill="F2F2F2" w:val="clear"/>
          </w:tcPr>
          <w:p>
            <w:r>
              <w:rPr>
                <w:sz w:val="16"/>
                <w:szCs w:val="16"/>
              </w:rPr>
              <w:t xml:space="preserve">REsp 2.058.311-RN</w:t>
            </w:r>
          </w:p>
        </w:tc>
        <w:tc>
          <w:tcPr>
            <w:tcW w:type="pct" w:w="18%"/>
            <w:shd w:fill="F2F2F2" w:val="clear"/>
          </w:tcPr>
          <w:p>
            <w:r>
              <w:rPr>
                <w:sz w:val="16"/>
                <w:szCs w:val="16"/>
              </w:rPr>
              <w:t xml:space="preserve">Caso Isolado</w:t>
            </w:r>
          </w:p>
        </w:tc>
        <w:tc>
          <w:tcPr>
            <w:tcW w:type="pct" w:w="8%"/>
            <w:shd w:fill="F2F2F2" w:val="clear"/>
          </w:tcPr>
          <w:p>
            <w:r>
              <w:rPr>
                <w:sz w:val="16"/>
                <w:szCs w:val="16"/>
              </w:rPr>
              <w:t xml:space="preserve">03/03/2026</w:t>
            </w:r>
          </w:p>
        </w:tc>
      </w:tr>
      <w:tr>
        <w:tc>
          <w:tcPr>
            <w:tcW w:type="pct" w:w="4%"/>
            <w:shd w:fill="FFFFFF" w:val="clear"/>
          </w:tcPr>
          <w:p>
            <w:r>
              <w:rPr>
                <w:sz w:val="16"/>
                <w:szCs w:val="16"/>
              </w:rPr>
              <w:t xml:space="preserve">44</w:t>
            </w:r>
          </w:p>
        </w:tc>
        <w:tc>
          <w:tcPr>
            <w:tcW w:type="pct" w:w="34%"/>
            <w:shd w:fill="FFFFFF" w:val="clear"/>
          </w:tcPr>
          <w:p>
            <w:r>
              <w:rPr>
                <w:sz w:val="16"/>
                <w:szCs w:val="16"/>
              </w:rPr>
              <w:t xml:space="preserve">Prescrição da ação de improbidade contra magistrado estadual: aplicação subsidiária da Lei 8.112/1990</w:t>
            </w:r>
          </w:p>
        </w:tc>
        <w:tc>
          <w:tcPr>
            <w:tcW w:type="pct" w:w="8%"/>
            <w:shd w:fill="FFFFFF" w:val="clear"/>
          </w:tcPr>
          <w:p>
            <w:r>
              <w:rPr>
                <w:sz w:val="16"/>
                <w:szCs w:val="16"/>
              </w:rPr>
              <w:t xml:space="preserve">STJ</w:t>
            </w:r>
          </w:p>
        </w:tc>
        <w:tc>
          <w:tcPr>
            <w:tcW w:type="pct" w:w="22%"/>
            <w:shd w:fill="FFFFFF" w:val="clear"/>
          </w:tcPr>
          <w:p>
            <w:r>
              <w:rPr>
                <w:sz w:val="16"/>
                <w:szCs w:val="16"/>
              </w:rPr>
              <w:t xml:space="preserve">AgInt no AREsp 2.630.083-SP</w:t>
            </w:r>
          </w:p>
        </w:tc>
        <w:tc>
          <w:tcPr>
            <w:tcW w:type="pct" w:w="18%"/>
            <w:shd w:fill="FFFFFF" w:val="clear"/>
          </w:tcPr>
          <w:p>
            <w:r>
              <w:rPr>
                <w:sz w:val="16"/>
                <w:szCs w:val="16"/>
              </w:rPr>
              <w:t xml:space="preserve">Caso Isolado</w:t>
            </w:r>
          </w:p>
        </w:tc>
        <w:tc>
          <w:tcPr>
            <w:tcW w:type="pct" w:w="8%"/>
            <w:shd w:fill="FFFFFF" w:val="clear"/>
          </w:tcPr>
          <w:p>
            <w:r>
              <w:rPr>
                <w:sz w:val="16"/>
                <w:szCs w:val="16"/>
              </w:rPr>
              <w:t xml:space="preserve">26/02/2025</w:t>
            </w:r>
          </w:p>
        </w:tc>
      </w:tr>
      <w:tr>
        <w:tc>
          <w:tcPr>
            <w:tcW w:type="pct" w:w="4%"/>
            <w:shd w:fill="F2F2F2" w:val="clear"/>
          </w:tcPr>
          <w:p>
            <w:r>
              <w:rPr>
                <w:sz w:val="16"/>
                <w:szCs w:val="16"/>
              </w:rPr>
              <w:t xml:space="preserve">45</w:t>
            </w:r>
          </w:p>
        </w:tc>
        <w:tc>
          <w:tcPr>
            <w:tcW w:type="pct" w:w="34%"/>
            <w:shd w:fill="F2F2F2" w:val="clear"/>
          </w:tcPr>
          <w:p>
            <w:r>
              <w:rPr>
                <w:sz w:val="16"/>
                <w:szCs w:val="16"/>
              </w:rPr>
              <w:t xml:space="preserve">Prescrição intercorrente é de 8 anos: suspensão cautelar do prazo de 4 anos do §5º do art. 23 pela ADI 7.236  [VERIFICAR]</w:t>
            </w:r>
          </w:p>
        </w:tc>
        <w:tc>
          <w:tcPr>
            <w:tcW w:type="pct" w:w="8%"/>
            <w:shd w:fill="F2F2F2" w:val="clear"/>
          </w:tcPr>
          <w:p>
            <w:r>
              <w:rPr>
                <w:sz w:val="16"/>
                <w:szCs w:val="16"/>
              </w:rPr>
              <w:t xml:space="preserve">STF</w:t>
            </w:r>
          </w:p>
        </w:tc>
        <w:tc>
          <w:tcPr>
            <w:tcW w:type="pct" w:w="22%"/>
            <w:shd w:fill="F2F2F2" w:val="clear"/>
          </w:tcPr>
          <w:p>
            <w:r>
              <w:rPr>
                <w:sz w:val="16"/>
                <w:szCs w:val="16"/>
              </w:rPr>
              <w:t xml:space="preserve">Medida cautelar na ADI 7.236/DF</w:t>
            </w:r>
          </w:p>
        </w:tc>
        <w:tc>
          <w:tcPr>
            <w:tcW w:type="pct" w:w="18%"/>
            <w:shd w:fill="F2F2F2" w:val="clear"/>
          </w:tcPr>
          <w:p>
            <w:r>
              <w:rPr>
                <w:sz w:val="16"/>
                <w:szCs w:val="16"/>
              </w:rPr>
              <w:t xml:space="preserve">Caso Isolado [VERIFICAR — decisão monocrática em medida cautelar, ainda pendente de referendo pelo Plenário; incluída apenas como contexto necessário à compreensão do prazo de 8 anos]</w:t>
            </w:r>
          </w:p>
        </w:tc>
        <w:tc>
          <w:tcPr>
            <w:tcW w:type="pct" w:w="8%"/>
            <w:shd w:fill="F2F2F2" w:val="clear"/>
          </w:tcPr>
          <w:p>
            <w:r>
              <w:rPr>
                <w:sz w:val="16"/>
                <w:szCs w:val="16"/>
              </w:rPr>
              <w:t xml:space="preserve">27/12/2022</w:t>
            </w:r>
          </w:p>
        </w:tc>
      </w:tr>
      <w:tr>
        <w:tc>
          <w:tcPr>
            <w:tcW w:type="pct" w:w="4%"/>
            <w:shd w:fill="FFFFFF" w:val="clear"/>
          </w:tcPr>
          <w:p>
            <w:r>
              <w:rPr>
                <w:sz w:val="16"/>
                <w:szCs w:val="16"/>
              </w:rPr>
              <w:t xml:space="preserve">46</w:t>
            </w:r>
          </w:p>
        </w:tc>
        <w:tc>
          <w:tcPr>
            <w:tcW w:type="pct" w:w="34%"/>
            <w:shd w:fill="FFFFFF" w:val="clear"/>
          </w:tcPr>
          <w:p>
            <w:r>
              <w:rPr>
                <w:sz w:val="16"/>
                <w:szCs w:val="16"/>
              </w:rPr>
              <w:t xml:space="preserve">Em concurso de agentes, o ANPC pode limitar o ressarcimento à contribuição causal de cada um</w:t>
            </w:r>
          </w:p>
        </w:tc>
        <w:tc>
          <w:tcPr>
            <w:tcW w:type="pct" w:w="8%"/>
            <w:shd w:fill="FFFFFF" w:val="clear"/>
          </w:tcPr>
          <w:p>
            <w:r>
              <w:rPr>
                <w:sz w:val="16"/>
                <w:szCs w:val="16"/>
              </w:rPr>
              <w:t xml:space="preserve">STJ</w:t>
            </w:r>
          </w:p>
        </w:tc>
        <w:tc>
          <w:tcPr>
            <w:tcW w:type="pct" w:w="22%"/>
            <w:shd w:fill="FFFFFF" w:val="clear"/>
          </w:tcPr>
          <w:p>
            <w:r>
              <w:rPr>
                <w:sz w:val="16"/>
                <w:szCs w:val="16"/>
              </w:rPr>
              <w:t xml:space="preserve">REsp 2.263.884-SE</w:t>
            </w:r>
          </w:p>
        </w:tc>
        <w:tc>
          <w:tcPr>
            <w:tcW w:type="pct" w:w="18%"/>
            <w:shd w:fill="FFFFFF" w:val="clear"/>
          </w:tcPr>
          <w:p>
            <w:r>
              <w:rPr>
                <w:sz w:val="16"/>
                <w:szCs w:val="16"/>
              </w:rPr>
              <w:t xml:space="preserve">Caso Isolado</w:t>
            </w:r>
          </w:p>
        </w:tc>
        <w:tc>
          <w:tcPr>
            <w:tcW w:type="pct" w:w="8%"/>
            <w:shd w:fill="FFFFFF" w:val="clear"/>
          </w:tcPr>
          <w:p>
            <w:r>
              <w:rPr>
                <w:sz w:val="16"/>
                <w:szCs w:val="16"/>
              </w:rPr>
              <w:t xml:space="preserve">02/06/2026</w:t>
            </w:r>
          </w:p>
        </w:tc>
      </w:tr>
      <w:tr>
        <w:tc>
          <w:tcPr>
            <w:tcW w:type="pct" w:w="4%"/>
            <w:shd w:fill="F2F2F2" w:val="clear"/>
          </w:tcPr>
          <w:p>
            <w:r>
              <w:rPr>
                <w:sz w:val="16"/>
                <w:szCs w:val="16"/>
              </w:rPr>
              <w:t xml:space="preserve">47</w:t>
            </w:r>
          </w:p>
        </w:tc>
        <w:tc>
          <w:tcPr>
            <w:tcW w:type="pct" w:w="34%"/>
            <w:shd w:fill="F2F2F2" w:val="clear"/>
          </w:tcPr>
          <w:p>
            <w:r>
              <w:rPr>
                <w:sz w:val="16"/>
                <w:szCs w:val="16"/>
              </w:rPr>
              <w:t xml:space="preserve">Requisitos cumulativos do ANPC: oitiva do ente lesado, aprovação do órgão ministerial competente e homologação judicial</w:t>
            </w:r>
          </w:p>
        </w:tc>
        <w:tc>
          <w:tcPr>
            <w:tcW w:type="pct" w:w="8%"/>
            <w:shd w:fill="F2F2F2" w:val="clear"/>
          </w:tcPr>
          <w:p>
            <w:r>
              <w:rPr>
                <w:sz w:val="16"/>
                <w:szCs w:val="16"/>
              </w:rPr>
              <w:t xml:space="preserve">—</w:t>
            </w:r>
          </w:p>
        </w:tc>
        <w:tc>
          <w:tcPr>
            <w:tcW w:type="pct" w:w="22%"/>
            <w:shd w:fill="F2F2F2" w:val="clear"/>
          </w:tcPr>
          <w:p>
            <w:r>
              <w:rPr>
                <w:sz w:val="16"/>
                <w:szCs w:val="16"/>
              </w:rPr>
              <w:t xml:space="preserve">Entendimento consolidado do art. 17-B, §1º, da LIA</w:t>
            </w:r>
          </w:p>
        </w:tc>
        <w:tc>
          <w:tcPr>
            <w:tcW w:type="pct" w:w="18%"/>
            <w:shd w:fill="F2F2F2" w:val="clear"/>
          </w:tcPr>
          <w:p>
            <w:r>
              <w:rPr>
                <w:sz w:val="16"/>
                <w:szCs w:val="16"/>
              </w:rPr>
              <w:t xml:space="preserve">Caso Isolado</w:t>
            </w:r>
          </w:p>
        </w:tc>
        <w:tc>
          <w:tcPr>
            <w:tcW w:type="pct" w:w="8%"/>
            <w:shd w:fill="F2F2F2" w:val="clear"/>
          </w:tcPr>
          <w:p>
            <w:r>
              <w:rPr>
                <w:sz w:val="16"/>
                <w:szCs w:val="16"/>
              </w:rPr>
              <w:t xml:space="preserve">—</w:t>
            </w:r>
          </w:p>
        </w:tc>
      </w:tr>
      <w:tr>
        <w:tc>
          <w:tcPr>
            <w:tcW w:type="pct" w:w="4%"/>
            <w:shd w:fill="FFFFFF" w:val="clear"/>
          </w:tcPr>
          <w:p>
            <w:r>
              <w:rPr>
                <w:sz w:val="16"/>
                <w:szCs w:val="16"/>
              </w:rPr>
              <w:t xml:space="preserve">48</w:t>
            </w:r>
          </w:p>
        </w:tc>
        <w:tc>
          <w:tcPr>
            <w:tcW w:type="pct" w:w="34%"/>
            <w:shd w:fill="FFFFFF" w:val="clear"/>
          </w:tcPr>
          <w:p>
            <w:r>
              <w:rPr>
                <w:sz w:val="16"/>
                <w:szCs w:val="16"/>
              </w:rPr>
              <w:t xml:space="preserve">ANPC pode ser celebrado mesmo com a ação de improbidade já em fase recursal</w:t>
            </w:r>
          </w:p>
        </w:tc>
        <w:tc>
          <w:tcPr>
            <w:tcW w:type="pct" w:w="8%"/>
            <w:shd w:fill="FFFFFF" w:val="clear"/>
          </w:tcPr>
          <w:p>
            <w:r>
              <w:rPr>
                <w:sz w:val="16"/>
                <w:szCs w:val="16"/>
              </w:rPr>
              <w:t xml:space="preserve">STJ</w:t>
            </w:r>
          </w:p>
        </w:tc>
        <w:tc>
          <w:tcPr>
            <w:tcW w:type="pct" w:w="22%"/>
            <w:shd w:fill="FFFFFF" w:val="clear"/>
          </w:tcPr>
          <w:p>
            <w:r>
              <w:rPr>
                <w:sz w:val="16"/>
                <w:szCs w:val="16"/>
              </w:rPr>
              <w:t xml:space="preserve">EAREsp 102.585-RS</w:t>
            </w:r>
          </w:p>
        </w:tc>
        <w:tc>
          <w:tcPr>
            <w:tcW w:type="pct" w:w="18%"/>
            <w:shd w:fill="FFFFFF" w:val="clear"/>
          </w:tcPr>
          <w:p>
            <w:r>
              <w:rPr>
                <w:sz w:val="16"/>
                <w:szCs w:val="16"/>
              </w:rPr>
              <w:t xml:space="preserve">Caso Isolado</w:t>
            </w:r>
          </w:p>
        </w:tc>
        <w:tc>
          <w:tcPr>
            <w:tcW w:type="pct" w:w="8%"/>
            <w:shd w:fill="FFFFFF" w:val="clear"/>
          </w:tcPr>
          <w:p>
            <w:r>
              <w:rPr>
                <w:sz w:val="16"/>
                <w:szCs w:val="16"/>
              </w:rPr>
              <w:t xml:space="preserve">09/03/2022</w:t>
            </w:r>
          </w:p>
        </w:tc>
      </w:tr>
      <w:tr>
        <w:tc>
          <w:tcPr>
            <w:tcW w:type="pct" w:w="4%"/>
            <w:shd w:fill="F2F2F2" w:val="clear"/>
          </w:tcPr>
          <w:p>
            <w:r>
              <w:rPr>
                <w:sz w:val="16"/>
                <w:szCs w:val="16"/>
              </w:rPr>
              <w:t xml:space="preserve">49</w:t>
            </w:r>
          </w:p>
        </w:tc>
        <w:tc>
          <w:tcPr>
            <w:tcW w:type="pct" w:w="34%"/>
            <w:shd w:fill="F2F2F2" w:val="clear"/>
          </w:tcPr>
          <w:p>
            <w:r>
              <w:rPr>
                <w:sz w:val="16"/>
                <w:szCs w:val="16"/>
              </w:rPr>
              <w:t xml:space="preserve">Recusa do Promotor de Justiça em celebrar ANPC comporta pedido de revisão ao Conselho Superior do MP  [VERIFICAR]</w:t>
            </w:r>
          </w:p>
        </w:tc>
        <w:tc>
          <w:tcPr>
            <w:tcW w:type="pct" w:w="8%"/>
            <w:shd w:fill="F2F2F2" w:val="clear"/>
          </w:tcPr>
          <w:p>
            <w:r>
              <w:rPr>
                <w:sz w:val="16"/>
                <w:szCs w:val="16"/>
              </w:rPr>
              <w:t xml:space="preserve">—</w:t>
            </w:r>
          </w:p>
        </w:tc>
        <w:tc>
          <w:tcPr>
            <w:tcW w:type="pct" w:w="22%"/>
            <w:shd w:fill="F2F2F2" w:val="clear"/>
          </w:tcPr>
          <w:p>
            <w:r>
              <w:rPr>
                <w:sz w:val="16"/>
                <w:szCs w:val="16"/>
              </w:rPr>
              <w:t xml:space="preserve">[VERIFICAR — tema de prova FGV; sistemática do controle interno do arquivamento aplicada por analogia ao ANPC]</w:t>
            </w:r>
          </w:p>
        </w:tc>
        <w:tc>
          <w:tcPr>
            <w:tcW w:type="pct" w:w="18%"/>
            <w:shd w:fill="F2F2F2" w:val="clear"/>
          </w:tcPr>
          <w:p>
            <w:r>
              <w:rPr>
                <w:sz w:val="16"/>
                <w:szCs w:val="16"/>
              </w:rPr>
              <w:t xml:space="preserve">Caso Isolado</w:t>
            </w:r>
          </w:p>
        </w:tc>
        <w:tc>
          <w:tcPr>
            <w:tcW w:type="pct" w:w="8%"/>
            <w:shd w:fill="F2F2F2" w:val="clear"/>
          </w:tcPr>
          <w:p>
            <w:r>
              <w:rPr>
                <w:sz w:val="16"/>
                <w:szCs w:val="16"/>
              </w:rPr>
              <w:t xml:space="preserve">—</w:t>
            </w:r>
          </w:p>
        </w:tc>
      </w:tr>
      <w:tr>
        <w:tc>
          <w:tcPr>
            <w:tcW w:type="pct" w:w="4%"/>
            <w:shd w:fill="FFFFFF" w:val="clear"/>
          </w:tcPr>
          <w:p>
            <w:r>
              <w:rPr>
                <w:sz w:val="16"/>
                <w:szCs w:val="16"/>
              </w:rPr>
              <w:t xml:space="preserve">50</w:t>
            </w:r>
          </w:p>
        </w:tc>
        <w:tc>
          <w:tcPr>
            <w:tcW w:type="pct" w:w="34%"/>
            <w:shd w:fill="FFFFFF" w:val="clear"/>
          </w:tcPr>
          <w:p>
            <w:r>
              <w:rPr>
                <w:sz w:val="16"/>
                <w:szCs w:val="16"/>
              </w:rPr>
              <w:t xml:space="preserve">Acordo de leniência não afasta o dever de reparação integral do dano, exigível em ação própria ou na própria ação de improbidade</w:t>
            </w:r>
          </w:p>
        </w:tc>
        <w:tc>
          <w:tcPr>
            <w:tcW w:type="pct" w:w="8%"/>
            <w:shd w:fill="FFFFFF" w:val="clear"/>
          </w:tcPr>
          <w:p>
            <w:r>
              <w:rPr>
                <w:sz w:val="16"/>
                <w:szCs w:val="16"/>
              </w:rPr>
              <w:t xml:space="preserve">STJ</w:t>
            </w:r>
          </w:p>
        </w:tc>
        <w:tc>
          <w:tcPr>
            <w:tcW w:type="pct" w:w="22%"/>
            <w:shd w:fill="FFFFFF" w:val="clear"/>
          </w:tcPr>
          <w:p>
            <w:r>
              <w:rPr>
                <w:sz w:val="16"/>
                <w:szCs w:val="16"/>
              </w:rPr>
              <w:t xml:space="preserve">REsp 1.890.353-PR</w:t>
            </w:r>
          </w:p>
        </w:tc>
        <w:tc>
          <w:tcPr>
            <w:tcW w:type="pct" w:w="18%"/>
            <w:shd w:fill="FFFFFF" w:val="clear"/>
          </w:tcPr>
          <w:p>
            <w:r>
              <w:rPr>
                <w:sz w:val="16"/>
                <w:szCs w:val="16"/>
              </w:rPr>
              <w:t xml:space="preserve">Caso Isolado</w:t>
            </w:r>
          </w:p>
        </w:tc>
        <w:tc>
          <w:tcPr>
            <w:tcW w:type="pct" w:w="8%"/>
            <w:shd w:fill="FFFFFF" w:val="clear"/>
          </w:tcPr>
          <w:p>
            <w:r>
              <w:rPr>
                <w:sz w:val="16"/>
                <w:szCs w:val="16"/>
              </w:rPr>
              <w:t xml:space="preserve">11/03/2025</w:t>
            </w:r>
          </w:p>
        </w:tc>
      </w:tr>
      <w:tr>
        <w:tc>
          <w:tcPr>
            <w:tcW w:type="pct" w:w="4%"/>
            <w:shd w:fill="F2F2F2" w:val="clear"/>
          </w:tcPr>
          <w:p>
            <w:r>
              <w:rPr>
                <w:sz w:val="16"/>
                <w:szCs w:val="16"/>
              </w:rPr>
              <w:t xml:space="preserve">51</w:t>
            </w:r>
          </w:p>
        </w:tc>
        <w:tc>
          <w:tcPr>
            <w:tcW w:type="pct" w:w="34%"/>
            <w:shd w:fill="F2F2F2" w:val="clear"/>
          </w:tcPr>
          <w:p>
            <w:r>
              <w:rPr>
                <w:sz w:val="16"/>
                <w:szCs w:val="16"/>
              </w:rPr>
              <w:t xml:space="preserve">Divergência sobre dano moral coletivo em ação de improbidade após a Lei 14.230/2021</w:t>
            </w:r>
          </w:p>
        </w:tc>
        <w:tc>
          <w:tcPr>
            <w:tcW w:type="pct" w:w="8%"/>
            <w:shd w:fill="F2F2F2" w:val="clear"/>
          </w:tcPr>
          <w:p>
            <w:r>
              <w:rPr>
                <w:sz w:val="16"/>
                <w:szCs w:val="16"/>
              </w:rPr>
              <w:t xml:space="preserve">STJ</w:t>
            </w:r>
          </w:p>
        </w:tc>
        <w:tc>
          <w:tcPr>
            <w:tcW w:type="pct" w:w="22%"/>
            <w:shd w:fill="F2F2F2" w:val="clear"/>
          </w:tcPr>
          <w:p>
            <w:r>
              <w:rPr>
                <w:sz w:val="16"/>
                <w:szCs w:val="16"/>
              </w:rPr>
              <w:t xml:space="preserve">AREsp 1.987.837-SP (1ª T.) e REsp 2.094.489/SP (2ª T.)</w:t>
            </w:r>
          </w:p>
        </w:tc>
        <w:tc>
          <w:tcPr>
            <w:tcW w:type="pct" w:w="18%"/>
            <w:shd w:fill="F2F2F2" w:val="clear"/>
          </w:tcPr>
          <w:p>
            <w:r>
              <w:rPr>
                <w:sz w:val="16"/>
                <w:szCs w:val="16"/>
              </w:rPr>
              <w:t xml:space="preserve">Caso Isolado — divergência entre Turmas, ainda não uniformizada pela 1ª Seção</w:t>
            </w:r>
          </w:p>
        </w:tc>
        <w:tc>
          <w:tcPr>
            <w:tcW w:type="pct" w:w="8%"/>
            <w:shd w:fill="F2F2F2" w:val="clear"/>
          </w:tcPr>
          <w:p>
            <w:r>
              <w:rPr>
                <w:sz w:val="16"/>
                <w:szCs w:val="16"/>
              </w:rPr>
              <w:t xml:space="preserve">07/04/2026 e 16/12/2025</w:t>
            </w:r>
          </w:p>
        </w:tc>
      </w:tr>
      <w:tr>
        <w:tc>
          <w:tcPr>
            <w:tcW w:type="pct" w:w="4%"/>
            <w:shd w:fill="FFFFFF" w:val="clear"/>
          </w:tcPr>
          <w:p>
            <w:r>
              <w:rPr>
                <w:sz w:val="16"/>
                <w:szCs w:val="16"/>
              </w:rPr>
              <w:t xml:space="preserve">52</w:t>
            </w:r>
          </w:p>
        </w:tc>
        <w:tc>
          <w:tcPr>
            <w:tcW w:type="pct" w:w="34%"/>
            <w:shd w:fill="FFFFFF" w:val="clear"/>
          </w:tcPr>
          <w:p>
            <w:r>
              <w:rPr>
                <w:sz w:val="16"/>
                <w:szCs w:val="16"/>
              </w:rPr>
              <w:t xml:space="preserve">Cabem medidas executivas atípicas de cunho não patrimonial no cumprimento de sentença de improbidade  [VERIFICAR]</w:t>
            </w:r>
          </w:p>
        </w:tc>
        <w:tc>
          <w:tcPr>
            <w:tcW w:type="pct" w:w="8%"/>
            <w:shd w:fill="FFFFFF" w:val="clear"/>
          </w:tcPr>
          <w:p>
            <w:r>
              <w:rPr>
                <w:sz w:val="16"/>
                <w:szCs w:val="16"/>
              </w:rPr>
              <w:t xml:space="preserve">STJ</w:t>
            </w:r>
          </w:p>
        </w:tc>
        <w:tc>
          <w:tcPr>
            <w:tcW w:type="pct" w:w="22%"/>
            <w:shd w:fill="FFFFFF" w:val="clear"/>
          </w:tcPr>
          <w:p>
            <w:r>
              <w:rPr>
                <w:sz w:val="16"/>
                <w:szCs w:val="16"/>
              </w:rPr>
              <w:t xml:space="preserve">REsp 1.929.230-MT</w:t>
            </w:r>
          </w:p>
        </w:tc>
        <w:tc>
          <w:tcPr>
            <w:tcW w:type="pct" w:w="18%"/>
            <w:shd w:fill="FFFFFF" w:val="clear"/>
          </w:tcPr>
          <w:p>
            <w:r>
              <w:rPr>
                <w:sz w:val="16"/>
                <w:szCs w:val="16"/>
              </w:rPr>
              <w:t xml:space="preserve">Caso Isolado [VERIFICAR — julgado em 04/05/2021, marginalmente anterior à janela de 5 anos (jun/2021); mantido por relevância temática e por ainda ser citado como precedente vigente]</w:t>
            </w:r>
          </w:p>
        </w:tc>
        <w:tc>
          <w:tcPr>
            <w:tcW w:type="pct" w:w="8%"/>
            <w:shd w:fill="FFFFFF" w:val="clear"/>
          </w:tcPr>
          <w:p>
            <w:r>
              <w:rPr>
                <w:sz w:val="16"/>
                <w:szCs w:val="16"/>
              </w:rPr>
              <w:t xml:space="preserve">04/05/2021</w:t>
            </w:r>
          </w:p>
        </w:tc>
      </w:tr>
      <w:tr>
        <w:tc>
          <w:tcPr>
            <w:tcW w:type="pct" w:w="4%"/>
            <w:shd w:fill="F2F2F2" w:val="clear"/>
          </w:tcPr>
          <w:p>
            <w:r>
              <w:rPr>
                <w:sz w:val="16"/>
                <w:szCs w:val="16"/>
              </w:rPr>
              <w:t xml:space="preserve">53</w:t>
            </w:r>
          </w:p>
        </w:tc>
        <w:tc>
          <w:tcPr>
            <w:tcW w:type="pct" w:w="34%"/>
            <w:shd w:fill="F2F2F2" w:val="clear"/>
          </w:tcPr>
          <w:p>
            <w:r>
              <w:rPr>
                <w:sz w:val="16"/>
                <w:szCs w:val="16"/>
              </w:rPr>
              <w:t xml:space="preserve">Solidariedade na condenação apesar do art. 17-C, §2º, quando não for possível individualizar a contribuição de cada réu</w:t>
            </w:r>
          </w:p>
        </w:tc>
        <w:tc>
          <w:tcPr>
            <w:tcW w:type="pct" w:w="8%"/>
            <w:shd w:fill="F2F2F2" w:val="clear"/>
          </w:tcPr>
          <w:p>
            <w:r>
              <w:rPr>
                <w:sz w:val="16"/>
                <w:szCs w:val="16"/>
              </w:rPr>
              <w:t xml:space="preserve">STJ</w:t>
            </w:r>
          </w:p>
        </w:tc>
        <w:tc>
          <w:tcPr>
            <w:tcW w:type="pct" w:w="22%"/>
            <w:shd w:fill="F2F2F2" w:val="clear"/>
          </w:tcPr>
          <w:p>
            <w:r>
              <w:rPr>
                <w:sz w:val="16"/>
                <w:szCs w:val="16"/>
              </w:rPr>
              <w:t xml:space="preserve">AgInt no AREsp 1.485.464-SP</w:t>
            </w:r>
          </w:p>
        </w:tc>
        <w:tc>
          <w:tcPr>
            <w:tcW w:type="pct" w:w="18%"/>
            <w:shd w:fill="F2F2F2" w:val="clear"/>
          </w:tcPr>
          <w:p>
            <w:r>
              <w:rPr>
                <w:sz w:val="16"/>
                <w:szCs w:val="16"/>
              </w:rPr>
              <w:t xml:space="preserve">Caso Isolado</w:t>
            </w:r>
          </w:p>
        </w:tc>
        <w:tc>
          <w:tcPr>
            <w:tcW w:type="pct" w:w="8%"/>
            <w:shd w:fill="F2F2F2" w:val="clear"/>
          </w:tcPr>
          <w:p>
            <w:r>
              <w:rPr>
                <w:sz w:val="16"/>
                <w:szCs w:val="16"/>
              </w:rPr>
              <w:t xml:space="preserve">08/04/2025</w:t>
            </w:r>
          </w:p>
        </w:tc>
      </w:tr>
    </w:tbl>
    <w:p>
      <w:r>
        <w:br w:type="page"/>
      </w:r>
    </w:p>
    <w:p>
      <w:pPr>
        <w:pStyle w:val="Heading1"/>
      </w:pPr>
      <w:r>
        <w:t xml:space="preserve">TOP 10 Imperdíveis desta Matéria</w:t>
      </w:r>
    </w:p>
    <w:p>
      <w:pPr>
        <w:spacing w:after="200"/>
      </w:pPr>
      <w:r>
        <w:rPr>
          <w:i/>
          <w:iCs/>
        </w:rPr>
        <w:t xml:space="preserve">Os dez julgados abaixo concentram a maior probabilidade de cobrança em prova de Magistratura Estadual (FGV) sobre Improbidade Administrativa, combinando força vinculante (repercussão geral/repetitivo/controle concentrado), ineditismo e aderência a padrões de questões já aplicadas.</w:t>
      </w:r>
    </w:p>
    <w:p>
      <w:pPr>
        <w:pStyle w:val="Heading3"/>
        <w:spacing w:after="60" w:before="160"/>
      </w:pPr>
      <w:r>
        <w:rPr>
          <w:color w:val="9C6B1F"/>
        </w:rPr>
        <w:t xml:space="preserve">1. Legitimidade concorrente da pessoa jurídica interessada e inexistência de obrigatoriedade de defesa pela assessoria jurídica</w:t>
      </w:r>
    </w:p>
    <w:p>
      <w:pPr>
        <w:spacing w:after="40"/>
      </w:pPr>
      <w:r>
        <w:rPr>
          <w:i/>
          <w:iCs/>
          <w:color w:val="595959"/>
          <w:sz w:val="20"/>
          <w:szCs w:val="20"/>
        </w:rPr>
        <w:t xml:space="preserve">STF — ADI 7.042/DF e ADI 7.043/DF — 31/08/2022 (Controle Concentrado)</w:t>
      </w:r>
    </w:p>
    <w:p>
      <w:pPr>
        <w:spacing w:after="120"/>
      </w:pPr>
      <w:r>
        <w:rPr>
          <w:b/>
          <w:bCs/>
        </w:rPr>
        <w:t xml:space="preserve">Por que é imperdível: </w:t>
      </w:r>
      <w:r>
        <w:t xml:space="preserve">Controle concentrado que restabeleceu a legitimidade concorrente e disjuntiva do ente lesado e afastou a obrigatoriedade de defesa pela advocacia pública — tema estrutural e recorrente em provas de todas as bancas.</w:t>
      </w:r>
    </w:p>
    <w:p>
      <w:pPr>
        <w:pStyle w:val="Heading3"/>
        <w:spacing w:after="60" w:before="160"/>
      </w:pPr>
      <w:r>
        <w:rPr>
          <w:color w:val="9C6B1F"/>
        </w:rPr>
        <w:t xml:space="preserve">2. Bis in idem entre crime eleitoral de caixa dois e improbidade administrativa</w:t>
      </w:r>
    </w:p>
    <w:p>
      <w:pPr>
        <w:spacing w:after="40"/>
      </w:pPr>
      <w:r>
        <w:rPr>
          <w:i/>
          <w:iCs/>
          <w:color w:val="595959"/>
          <w:sz w:val="20"/>
          <w:szCs w:val="20"/>
        </w:rPr>
        <w:t xml:space="preserve">STF — ARE 1.428.742/SP — 09/02/2026 (Repercussão Geral – Tema 1.260)</w:t>
      </w:r>
    </w:p>
    <w:p>
      <w:pPr>
        <w:spacing w:after="120"/>
      </w:pPr>
      <w:r>
        <w:rPr>
          <w:b/>
          <w:bCs/>
        </w:rPr>
        <w:t xml:space="preserve">Por que é imperdível: </w:t>
      </w:r>
      <w:r>
        <w:t xml:space="preserve">Repercussão Geral recentíssima (fev/2026) sobre bis in idem entre crime eleitoral e improbidade — forte candidata a cair por ineditismo e por tratar de independência de instâncias, tema-charneira da matéria.</w:t>
      </w:r>
    </w:p>
    <w:p>
      <w:pPr>
        <w:pStyle w:val="Heading3"/>
        <w:spacing w:after="60" w:before="160"/>
      </w:pPr>
      <w:r>
        <w:rPr>
          <w:color w:val="9C6B1F"/>
        </w:rPr>
        <w:t xml:space="preserve">3. Uso simultâneo da LIA e da Lei Anticorrupção na mesma ação civil não configura bis in idem por si só</w:t>
      </w:r>
    </w:p>
    <w:p>
      <w:pPr>
        <w:spacing w:after="40"/>
      </w:pPr>
      <w:r>
        <w:rPr>
          <w:i/>
          <w:iCs/>
          <w:color w:val="595959"/>
          <w:sz w:val="20"/>
          <w:szCs w:val="20"/>
        </w:rPr>
        <w:t xml:space="preserve">STJ — REsp 2.107.398-RJ — 18/02/2025 (Caso Isolado)</w:t>
      </w:r>
    </w:p>
    <w:p>
      <w:pPr>
        <w:spacing w:after="120"/>
      </w:pPr>
      <w:r>
        <w:rPr>
          <w:b/>
          <w:bCs/>
        </w:rPr>
        <w:t xml:space="preserve">Por que é imperdível: </w:t>
      </w:r>
      <w:r>
        <w:t xml:space="preserve">Responde diretamente a pelo menos 4 questões already cobradas pela FGV (bis in idem LIA x Lei Anticorrupção) — altíssima recorrência comprovada.</w:t>
      </w:r>
    </w:p>
    <w:p>
      <w:pPr>
        <w:pStyle w:val="Heading3"/>
        <w:spacing w:after="60" w:before="160"/>
      </w:pPr>
      <w:r>
        <w:rPr>
          <w:color w:val="9C6B1F"/>
        </w:rPr>
        <w:t xml:space="preserve">4. Tema 1.199/STF: dolo obrigatório em todos os atos de improbidade e irretroatividade do novo regime prescricional</w:t>
      </w:r>
    </w:p>
    <w:p>
      <w:pPr>
        <w:spacing w:after="40"/>
      </w:pPr>
      <w:r>
        <w:rPr>
          <w:i/>
          <w:iCs/>
          <w:color w:val="595959"/>
          <w:sz w:val="20"/>
          <w:szCs w:val="20"/>
        </w:rPr>
        <w:t xml:space="preserve">STF — ARE 843.989/PR — 18/08/2022 (Repercussão Geral – Tema 1.199)</w:t>
      </w:r>
    </w:p>
    <w:p>
      <w:pPr>
        <w:spacing w:after="120"/>
      </w:pPr>
      <w:r>
        <w:rPr>
          <w:b/>
          <w:bCs/>
        </w:rPr>
        <w:t xml:space="preserve">Por que é imperdível: </w:t>
      </w:r>
      <w:r>
        <w:t xml:space="preserve">Julgamento-matriz de toda a reforma: fixa os marcos de aplicação no tempo da Lei 14.230/2021 (dolo obrigatório, irretroatividade da prescrição). Nenhuma questão sobre direito intertemporal na LIA prescinde desse precedente.</w:t>
      </w:r>
    </w:p>
    <w:p>
      <w:pPr>
        <w:pStyle w:val="Heading3"/>
        <w:spacing w:after="60" w:before="160"/>
      </w:pPr>
      <w:r>
        <w:rPr>
          <w:color w:val="9C6B1F"/>
        </w:rPr>
        <w:t xml:space="preserve">5. Nomeação de parentes para cargos políticos não configura, por si só, improbidade: exige-se dolo específico</w:t>
      </w:r>
    </w:p>
    <w:p>
      <w:pPr>
        <w:spacing w:after="40"/>
      </w:pPr>
      <w:r>
        <w:rPr>
          <w:i/>
          <w:iCs/>
          <w:color w:val="595959"/>
          <w:sz w:val="20"/>
          <w:szCs w:val="20"/>
        </w:rPr>
        <w:t xml:space="preserve">STJ — AgInt no REsp 2.154.497-MG — 16/06/2026 (Caso Isolado)</w:t>
      </w:r>
    </w:p>
    <w:p>
      <w:pPr>
        <w:spacing w:after="120"/>
      </w:pPr>
      <w:r>
        <w:rPr>
          <w:b/>
          <w:bCs/>
        </w:rPr>
        <w:t xml:space="preserve">Por que é imperdível: </w:t>
      </w:r>
      <w:r>
        <w:t xml:space="preserve">Caso recentíssimo (jun/2026) sobre nepotismo em cargos políticos e dolo específico — combina dois temas favoritos da FGV (SV 13 + exigência de dolo específico) em um só julgado.</w:t>
      </w:r>
    </w:p>
    <w:p>
      <w:pPr>
        <w:pStyle w:val="Heading3"/>
        <w:spacing w:after="60" w:before="160"/>
      </w:pPr>
      <w:r>
        <w:rPr>
          <w:color w:val="9C6B1F"/>
        </w:rPr>
        <w:t xml:space="preserve">6. Vedação ao reexame necessário na LIA não se aplica a sentenças anteriores à Lei 14.230/2021</w:t>
      </w:r>
    </w:p>
    <w:p>
      <w:pPr>
        <w:spacing w:after="40"/>
      </w:pPr>
      <w:r>
        <w:rPr>
          <w:i/>
          <w:iCs/>
          <w:color w:val="595959"/>
          <w:sz w:val="20"/>
          <w:szCs w:val="20"/>
        </w:rPr>
        <w:t xml:space="preserve">STJ — REsp 2.117.355-MG, REsp 2.118.137-MG e REsp 2.120.300-MG — 11/06/2025 (Recurso Repetitivo – Tema 1284)</w:t>
      </w:r>
    </w:p>
    <w:p>
      <w:pPr>
        <w:spacing w:after="120"/>
      </w:pPr>
      <w:r>
        <w:rPr>
          <w:b/>
          <w:bCs/>
        </w:rPr>
        <w:t xml:space="preserve">Por que é imperdível: </w:t>
      </w:r>
      <w:r>
        <w:t xml:space="preserve">Repetitivo (Tema 1284) mais recente sobre reexame necessário, com regra de direito intertemporal elegante (data da sentença) — perfil clássico de pegadinha em prova objetiva.</w:t>
      </w:r>
    </w:p>
    <w:p>
      <w:pPr>
        <w:pStyle w:val="Heading3"/>
        <w:spacing w:after="60" w:before="160"/>
      </w:pPr>
      <w:r>
        <w:rPr>
          <w:color w:val="9C6B1F"/>
        </w:rPr>
        <w:t xml:space="preserve">7. Indisponibilidade solidária entre corréus, sem divisão em quota-parte, limitada ao montante indicado na inicial</w:t>
      </w:r>
    </w:p>
    <w:p>
      <w:pPr>
        <w:spacing w:after="40"/>
      </w:pPr>
      <w:r>
        <w:rPr>
          <w:i/>
          <w:iCs/>
          <w:color w:val="595959"/>
          <w:sz w:val="20"/>
          <w:szCs w:val="20"/>
        </w:rPr>
        <w:t xml:space="preserve">STJ — REsp 1.955.116-AM, REsp 1.955.957, REsp 1.955.300-DF e REsp 1.955.440-DF — 22/05/2024 (Recurso Repetitivo – Tema 1213)</w:t>
      </w:r>
    </w:p>
    <w:p>
      <w:pPr>
        <w:spacing w:after="120"/>
      </w:pPr>
      <w:r>
        <w:rPr>
          <w:b/>
          <w:bCs/>
        </w:rPr>
        <w:t xml:space="preserve">Por que é imperdível: </w:t>
      </w:r>
      <w:r>
        <w:t xml:space="preserve">Repetitivo (Tema 1213) que resolve a mecânica da indisponibilidade solidária entre corréus, tema técnico de alta probabilidade em casos práticos com múltiplos réus.</w:t>
      </w:r>
    </w:p>
    <w:p>
      <w:pPr>
        <w:pStyle w:val="Heading3"/>
        <w:spacing w:after="60" w:before="160"/>
      </w:pPr>
      <w:r>
        <w:rPr>
          <w:color w:val="9C6B1F"/>
        </w:rPr>
        <w:t xml:space="preserve">8. Alterações da Lei 14.230/2021 sobre indisponibilidade de bens aplicam-se retroativamente aos processos em curso</w:t>
      </w:r>
    </w:p>
    <w:p>
      <w:pPr>
        <w:spacing w:after="40"/>
      </w:pPr>
      <w:r>
        <w:rPr>
          <w:i/>
          <w:iCs/>
          <w:color w:val="595959"/>
          <w:sz w:val="20"/>
          <w:szCs w:val="20"/>
        </w:rPr>
        <w:t xml:space="preserve">STJ — REsp 2.074.601-MG, REsp 2.089.767-MG, REsp 2.076.137-MG, REsp 2.076.911-SP e REsp 2.078.360-MG — 06/02/2025 (Recurso Repetitivo – Tema 1257)</w:t>
      </w:r>
    </w:p>
    <w:p>
      <w:pPr>
        <w:spacing w:after="120"/>
      </w:pPr>
      <w:r>
        <w:rPr>
          <w:b/>
          <w:bCs/>
        </w:rPr>
        <w:t xml:space="preserve">Por que é imperdível: </w:t>
      </w:r>
      <w:r>
        <w:t xml:space="preserve">Repetitivo (Tema 1257) que definiu a aplicação retroativa das novas regras de indisponibilidade de bens — o subtema mais cobrado em questões objetivas e práticas de sentença sobre improbidade.</w:t>
      </w:r>
    </w:p>
    <w:p>
      <w:pPr>
        <w:pStyle w:val="Heading3"/>
        <w:spacing w:after="60" w:before="160"/>
      </w:pPr>
      <w:r>
        <w:rPr>
          <w:color w:val="9C6B1F"/>
        </w:rPr>
        <w:t xml:space="preserve">9. Herdeiros não respondem pela multa civil após a Lei 14.230/2021; respondem apenas até o limite da herança pelo ressarcimento e enriquecimento ilícito</w:t>
      </w:r>
    </w:p>
    <w:p>
      <w:pPr>
        <w:spacing w:after="40"/>
      </w:pPr>
      <w:r>
        <w:rPr>
          <w:i/>
          <w:iCs/>
          <w:color w:val="595959"/>
          <w:sz w:val="20"/>
          <w:szCs w:val="20"/>
        </w:rPr>
        <w:t xml:space="preserve">STJ — AREsp 1.440.445-SP — 04/11/2025 (Caso Isolado)</w:t>
      </w:r>
    </w:p>
    <w:p>
      <w:pPr>
        <w:spacing w:after="120"/>
      </w:pPr>
      <w:r>
        <w:rPr>
          <w:b/>
          <w:bCs/>
        </w:rPr>
        <w:t xml:space="preserve">Por que é imperdível: </w:t>
      </w:r>
      <w:r>
        <w:t xml:space="preserve">Tese que espelha, quase literalmente, questão já cobrada pela FGV (JE TJBA/2026) sobre efeitos da morte do réu — altíssima chance de repetição ou de tema semelhante.</w:t>
      </w:r>
    </w:p>
    <w:p>
      <w:pPr>
        <w:pStyle w:val="Heading3"/>
        <w:spacing w:after="60" w:before="160"/>
      </w:pPr>
      <w:r>
        <w:rPr>
          <w:color w:val="9C6B1F"/>
        </w:rPr>
        <w:t xml:space="preserve">10. Em concurso de agentes, o ANPC pode limitar o ressarcimento à contribuição causal de cada um</w:t>
      </w:r>
    </w:p>
    <w:p>
      <w:pPr>
        <w:spacing w:after="40"/>
      </w:pPr>
      <w:r>
        <w:rPr>
          <w:i/>
          <w:iCs/>
          <w:color w:val="595959"/>
          <w:sz w:val="20"/>
          <w:szCs w:val="20"/>
        </w:rPr>
        <w:t xml:space="preserve">STJ — REsp 2.263.884-SE — 02/06/2026 (Caso Isolado)</w:t>
      </w:r>
    </w:p>
    <w:p>
      <w:pPr>
        <w:spacing w:after="120"/>
      </w:pPr>
      <w:r>
        <w:rPr>
          <w:b/>
          <w:bCs/>
        </w:rPr>
        <w:t xml:space="preserve">Por que é imperdível: </w:t>
      </w:r>
      <w:r>
        <w:t xml:space="preserve">Precedente muito recente sobre ANPC em concurso de agentes, tema que já apareceu em prova (MPE MT/2026) e que a reforma tornou central para provas discursivas/sentença.</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Improbidade Administrativa — Curadoria FGV — 06/08/2026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6B1F" w:sz="8"/>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1F3864"/>
      <w:sz w:val="26"/>
      <w:szCs w:val="26"/>
    </w:rPr>
  </w:style>
  <w:style w:type="paragraph" w:styleId="Heading3">
    <w:name w:val="Heading 3"/>
    <w:basedOn w:val="Normal"/>
    <w:next w:val="Normal"/>
    <w:qFormat/>
    <w:pPr>
      <w:spacing w:after="80" w:before="200"/>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Administrativo — Improbidade Administrativa — Julgados Curados</dc:title>
  <dc:creator>Curadoria de Jurisprudência</dc:creator>
  <cp:lastModifiedBy>Un-named</cp:lastModifiedBy>
  <cp:revision>1</cp:revision>
  <dcterms:created xsi:type="dcterms:W3CDTF">2026-08-06T21:21:54.795Z</dcterms:created>
  <dcterms:modified xsi:type="dcterms:W3CDTF">2026-08-06T21:21:54.796Z</dcterms:modified>
</cp:coreProperties>
</file>

<file path=docProps/custom.xml><?xml version="1.0" encoding="utf-8"?>
<Properties xmlns="http://schemas.openxmlformats.org/officeDocument/2006/custom-properties" xmlns:vt="http://schemas.openxmlformats.org/officeDocument/2006/docPropsVTypes"/>
</file>