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7A1F2B"/>
          <w:sz w:val="44"/>
          <w:szCs w:val="44"/>
        </w:rPr>
        <w:t xml:space="preserve">CURADORIA DE JURISPRUDÊNCIA</w:t>
      </w:r>
    </w:p>
    <w:p>
      <w:pPr>
        <w:spacing w:after="120"/>
        <w:jc w:val="center"/>
      </w:pPr>
      <w:r>
        <w:rPr>
          <w:b/>
          <w:bCs/>
          <w:color w:val="A9762F"/>
          <w:sz w:val="32"/>
          <w:szCs w:val="32"/>
        </w:rPr>
        <w:t xml:space="preserve">DIREITO CIVIL — DIREITO DE FAMÍLIA</w:t>
      </w:r>
    </w:p>
    <w:p>
      <w:pPr>
        <w:spacing w:after="400"/>
        <w:jc w:val="center"/>
      </w:pPr>
      <w:r>
        <w:rPr>
          <w:color w:val="555555"/>
          <w:sz w:val="24"/>
          <w:szCs w:val="24"/>
        </w:rPr>
        <w:t xml:space="preserve">Preparação para Concursos de Magistratura Estadual — Banca FGV</w:t>
      </w:r>
    </w:p>
    <w:p>
      <w:pPr>
        <w:spacing w:after="60"/>
        <w:jc w:val="center"/>
      </w:pPr>
      <w:r>
        <w:rPr>
          <w:sz w:val="22"/>
          <w:szCs w:val="22"/>
        </w:rPr>
        <w:t xml:space="preserve">Jurisprudência do STF e do STJ publicada entre junho de 2021 e julho de 2026</w:t>
      </w:r>
    </w:p>
    <w:p>
      <w:pPr>
        <w:spacing w:after="60"/>
        <w:jc w:val="center"/>
      </w:pPr>
      <w:r>
        <w:rPr>
          <w:i/>
          <w:iCs/>
          <w:color w:val="555555"/>
          <w:sz w:val="20"/>
          <w:szCs w:val="20"/>
        </w:rPr>
        <w:t xml:space="preserve">Fonte: Buscador Dizer o Direito (buscadordizerodireito.com.br)</w:t>
      </w:r>
    </w:p>
    <w:p>
      <w:pPr>
        <w:spacing w:after="0" w:before="800"/>
        <w:jc w:val="center"/>
      </w:pPr>
      <w:r>
        <w:rPr>
          <w:color w:val="555555"/>
          <w:sz w:val="20"/>
          <w:szCs w:val="20"/>
        </w:rPr>
        <w:t xml:space="preserve">Data da curadoria: 12/07/2026</w:t>
      </w:r>
    </w:p>
    <w:p>
      <w:r>
        <w:br w:type="page"/>
      </w:r>
    </w:p>
    <w:p>
      <w:pPr>
        <w:pStyle w:val="Heading1"/>
        <w:spacing w:after="200"/>
      </w:pPr>
      <w:r>
        <w:rPr>
          <w:color w:val="7A1F2B"/>
        </w:rPr>
        <w:t xml:space="preserve">ÍNDICE NAVEGÁVEL</w:t>
      </w:r>
    </w:p>
    <w:p>
      <w:pPr>
        <w:spacing w:after="200"/>
      </w:pPr>
      <w:r>
        <w:rPr>
          <w:i/>
          <w:iCs/>
          <w:color w:val="555555"/>
          <w:sz w:val="20"/>
          <w:szCs w:val="20"/>
        </w:rPr>
        <w:t xml:space="preserve">Sumário automático — no Word, clique com o botão direito sobre a lista abaixo e escolha "Atualizar campo" (ou F9) para gerar/atualizar a numeração de páginas.</w:t>
      </w:r>
    </w:p>
    <w:sdt>
      <w:sdtPr>
        <w:alias w:val="Sumári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pPr>
      <w:r>
        <w:rPr>
          <w:color w:val="7A1F2B"/>
        </w:rPr>
        <w:t xml:space="preserve">I. CASAMENTO, REGIME DE BENS E UNIÃO ESTÁVEL</w:t>
      </w:r>
    </w:p>
    <w:p>
      <w:pPr>
        <w:spacing w:after="300"/>
      </w:pPr>
      <w:r>
        <w:rPr>
          <w:i/>
          <w:iCs/>
          <w:color w:val="555555"/>
        </w:rPr>
        <w:t xml:space="preserve">CC arts. 1.511 a 1.582 (Casamento) · arts. 1.639 a 1.688 (Regime de Bens) · arts. 1.723 a 1.727 (União Estável, incl. homoafetiva)</w:t>
      </w:r>
    </w:p>
    <w:p>
      <w:pPr>
        <w:pStyle w:val="Heading2"/>
        <w:spacing w:after="160" w:before="200"/>
      </w:pPr>
      <w:r>
        <w:rPr>
          <w:color w:val="A9762F"/>
        </w:rPr>
        <w:t xml:space="preserve">CASAMENTO</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Casamento nuncupativo — flexibilização do prazo de 10 dias para as testemunhas comparecerem ao juiz</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1.978.121/RJ   |   Relator: Min. Nancy Andrighi   |   Data: 22/03/2022</w:t>
            </w:r>
          </w:p>
          <w:p>
            <w:pPr>
              <w:spacing w:after="100"/>
            </w:pPr>
            <w:r>
              <w:rPr>
                <w:i/>
                <w:iCs/>
                <w:color w:val="555555"/>
                <w:sz w:val="19"/>
                <w:szCs w:val="19"/>
              </w:rPr>
              <w:t xml:space="preserve">Sistemática: Caso isolado (Info 730)</w:t>
            </w:r>
          </w:p>
          <w:p>
            <w:pPr>
              <w:spacing w:after="100"/>
            </w:pPr>
            <w:r>
              <w:rPr>
                <w:b/>
                <w:bCs/>
              </w:rPr>
              <w:t xml:space="preserve">TESE FIXADA / DECISÃO: </w:t>
            </w:r>
            <w:r>
              <w:t xml:space="preserve">O prazo de 10 dias do art. 1.541 do CC, para que as testemunhas do casamento nuncupativo (in extremis vitae) compareçam perante a autoridade judicial, é formalidade do ato — não elemento de existência, validade ou eficácia — sendo suscetível de flexibilização, especialmente na ausência de má-fé.</w:t>
            </w:r>
          </w:p>
          <w:p>
            <w:pPr>
              <w:spacing w:after="100"/>
            </w:pPr>
            <w:r>
              <w:rPr>
                <w:b/>
                <w:bCs/>
              </w:rPr>
              <w:t xml:space="preserve">RESUMO DO CASO: </w:t>
            </w:r>
            <w:r>
              <w:t xml:space="preserve">Casamento nuncupativo é celebrado quando um dos contraentes está em iminente risco de vida, sem habilitação prévia e sem autoridade celebrante disponível, perante 6 testemunhas. No caso, as testemunhas compareceram ao juiz após o prazo de 10 dias previsto no art. 1.541 do CC. O STJ entendeu que esse prazo é meramente formal e não afeta a validade do casamento, devendo o descumprimento ser contextualizado caso a caso, desde que presentes os requisitos essenciais.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alternativa afirmando que o descumprimento do prazo de 10 dias invalida automaticamente o casamento nuncupativo — INCORRETA.</w:t>
            </w:r>
          </w:p>
          <w:p>
            <w:pPr>
              <w:pStyle w:val="ListParagraph"/>
              <w:numPr>
                <w:ilvl w:val="0"/>
                <w:numId w:val="2"/>
              </w:numPr>
              <w:spacing w:after="40"/>
            </w:pPr>
            <w:r>
              <w:rPr>
                <w:b/>
                <w:bCs/>
                <w:i/>
                <w:iCs/>
              </w:rPr>
              <w:t xml:space="preserve">Discursiva/Sentença: </w:t>
            </w:r>
            <w:r>
              <w:t xml:space="preserve">caso concreto de casamento in extremis com testemunhas fora do prazo; pedir fundamentação sobre validade.</w:t>
            </w:r>
          </w:p>
          <w:p>
            <w:pPr>
              <w:pStyle w:val="ListParagraph"/>
              <w:numPr>
                <w:ilvl w:val="0"/>
                <w:numId w:val="2"/>
              </w:numPr>
              <w:spacing w:after="100"/>
            </w:pPr>
            <w:r>
              <w:rPr>
                <w:b/>
                <w:bCs/>
                <w:i/>
                <w:iCs/>
              </w:rPr>
              <w:t xml:space="preserve">Oral: </w:t>
            </w:r>
            <w:r>
              <w:t xml:space="preserve">distinguir requisitos de existência, validade e eficácia do casamento nuncupativo.</w:t>
            </w:r>
          </w:p>
          <w:p>
            <w:pPr>
              <w:spacing w:after="0"/>
            </w:pPr>
            <w:r>
              <w:rPr>
                <w:b/>
                <w:bCs/>
                <w:color w:val="A9762F"/>
              </w:rPr>
              <w:t xml:space="preserve">CONEXÕES: </w:t>
            </w:r>
            <w:r>
              <w:rPr>
                <w:i/>
                <w:iCs/>
              </w:rPr>
              <w:t xml:space="preserve">arts. 1.540–1.542 do CC; tema já cobrado pela FGV — "casamento nuncupativo (in extremis vitae)".</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Extinção da separação judicial como figura autônoma após a EC 66/2010 — Tema 1053</w:t>
            </w:r>
          </w:p>
          <w:p>
            <w:pPr>
              <w:spacing w:after="40"/>
            </w:pPr>
            <w:r>
              <w:rPr>
                <w:b/>
                <w:bCs/>
                <w:color w:val="555555"/>
                <w:sz w:val="19"/>
                <w:szCs w:val="19"/>
              </w:rPr>
              <w:t xml:space="preserve">Tribunal: STF   |   Órgão: Plenário</w:t>
            </w:r>
          </w:p>
          <w:p>
            <w:pPr>
              <w:spacing w:after="40"/>
            </w:pPr>
            <w:r>
              <w:rPr>
                <w:color w:val="555555"/>
                <w:sz w:val="19"/>
                <w:szCs w:val="19"/>
              </w:rPr>
              <w:t xml:space="preserve">Processo: RE 1.167.478/RJ   |   Relator: Min. Luiz Fux   |   Data: 08/11/2023</w:t>
            </w:r>
          </w:p>
          <w:p>
            <w:pPr>
              <w:spacing w:after="100"/>
            </w:pPr>
            <w:r>
              <w:rPr>
                <w:i/>
                <w:iCs/>
                <w:color w:val="555555"/>
                <w:sz w:val="19"/>
                <w:szCs w:val="19"/>
              </w:rPr>
              <w:t xml:space="preserve">Sistemática: Repercussão Geral — Tema 1053</w:t>
            </w:r>
          </w:p>
          <w:p>
            <w:pPr>
              <w:spacing w:after="100"/>
            </w:pPr>
            <w:r>
              <w:rPr>
                <w:b/>
                <w:bCs/>
              </w:rPr>
              <w:t xml:space="preserve">TESE FIXADA / DECISÃO: </w:t>
            </w:r>
            <w:r>
              <w:t xml:space="preserve">"Após a promulgação da EC nº 66/2010, a separação judicial não é mais requisito para o divórcio nem subsiste como figura autônoma no ordenamento jurídico." Preserva-se, contudo, o estado civil de quem já se separou judicialmente ou por escritura pública, por se tratar de ato jurídico perfeito (art. 5º, XXXVI, CF).</w:t>
            </w:r>
          </w:p>
          <w:p>
            <w:pPr>
              <w:spacing w:after="100"/>
            </w:pPr>
            <w:r>
              <w:rPr>
                <w:b/>
                <w:bCs/>
              </w:rPr>
              <w:t xml:space="preserve">RESUMO DO CASO: </w:t>
            </w:r>
            <w:r>
              <w:t xml:space="preserve">Discutiu-se se a separação judicial, mesmo após a EC 66/2010 (que eliminou requisitos temporais/prévios para o divórcio do texto constitucional), ainda subsistiria como instituto autônomo do Código Civil. O STF fixou tese vinculante afastando as normas do CC sobre separação judicial, ressalvando situações jurídicas já consolidadas.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alternativa tratando a separação judicial como ainda vigente/obrigatória — INCORRETA.</w:t>
            </w:r>
          </w:p>
          <w:p>
            <w:pPr>
              <w:pStyle w:val="ListParagraph"/>
              <w:numPr>
                <w:ilvl w:val="0"/>
                <w:numId w:val="2"/>
              </w:numPr>
              <w:spacing w:after="40"/>
            </w:pPr>
            <w:r>
              <w:rPr>
                <w:b/>
                <w:bCs/>
                <w:i/>
                <w:iCs/>
              </w:rPr>
              <w:t xml:space="preserve">Discursiva/Sentença: </w:t>
            </w:r>
            <w:r>
              <w:t xml:space="preserve">fundamentar sentença de divórcio direto, sem separação prévia.</w:t>
            </w:r>
          </w:p>
          <w:p>
            <w:pPr>
              <w:pStyle w:val="ListParagraph"/>
              <w:numPr>
                <w:ilvl w:val="0"/>
                <w:numId w:val="2"/>
              </w:numPr>
              <w:spacing w:after="100"/>
            </w:pPr>
            <w:r>
              <w:rPr>
                <w:b/>
                <w:bCs/>
                <w:i/>
                <w:iCs/>
              </w:rPr>
              <w:t xml:space="preserve">Oral: </w:t>
            </w:r>
            <w:r>
              <w:t xml:space="preserve">efeitos da EC 66/2010 sobre os dispositivos do CC relativos à separação.</w:t>
            </w:r>
          </w:p>
          <w:p>
            <w:pPr>
              <w:spacing w:after="0"/>
            </w:pPr>
            <w:r>
              <w:rPr>
                <w:b/>
                <w:bCs/>
                <w:color w:val="A9762F"/>
              </w:rPr>
              <w:t xml:space="preserve">CONEXÕES: </w:t>
            </w:r>
            <w:r>
              <w:rPr>
                <w:i/>
                <w:iCs/>
              </w:rPr>
              <w:t xml:space="preserve">EC 66/2010; divórcio como direito potestativo (REsp 2.154.062-RJ e REsp 2.022.649-MA, abaixo).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Divórcio post mortem — autor falece no curso do processo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2.154.062-RJ   |   Relator: Min. Ricardo Villas Bôas Cueva   |   Data: 27/08/2024</w:t>
            </w:r>
          </w:p>
          <w:p>
            <w:pPr>
              <w:spacing w:after="100"/>
            </w:pPr>
            <w:r>
              <w:rPr>
                <w:i/>
                <w:iCs/>
                <w:color w:val="555555"/>
                <w:sz w:val="19"/>
                <w:szCs w:val="19"/>
              </w:rPr>
              <w:t xml:space="preserve">Sistemática: Caso isolado (Info 23 — Edição Extraordinária)</w:t>
            </w:r>
          </w:p>
          <w:p>
            <w:pPr>
              <w:spacing w:after="100"/>
            </w:pPr>
            <w:r>
              <w:rPr>
                <w:b/>
                <w:bCs/>
              </w:rPr>
              <w:t xml:space="preserve">TESE FIXADA / DECISÃO: </w:t>
            </w:r>
            <w:r>
              <w:t xml:space="preserve">A manifestação de vontade inequívoca de divorciar-se, ainda que não apreciada em definitivo, produz efeitos mesmo após a morte do autor da ação, à luz da EC 66/2010, que transformou o divórcio em direito potestativo.</w:t>
            </w:r>
          </w:p>
          <w:p>
            <w:pPr>
              <w:spacing w:after="100"/>
            </w:pPr>
            <w:r>
              <w:rPr>
                <w:b/>
                <w:bCs/>
              </w:rPr>
              <w:t xml:space="preserve">RESUMO DO CASO: </w:t>
            </w:r>
            <w:r>
              <w:t xml:space="preserve">Autor com câncer em estágio avançado ajuizou ação de divórcio; obteve tutela recursal antecipada decretando o divórcio provisoriamente e faleceu antes do julgamento definitivo do agravo. O TJ revogou a liminar por entender que o divórcio é personalíssimo e não sobreviveria à morte do autor. O STJ reformou, reconhecendo o divórcio postumamente.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alternativa afirmando que a morte do autor sempre extingue o processo de divórcio sem resolução do mérito — INCORRETA.</w:t>
            </w:r>
          </w:p>
          <w:p>
            <w:pPr>
              <w:pStyle w:val="ListParagraph"/>
              <w:numPr>
                <w:ilvl w:val="0"/>
                <w:numId w:val="2"/>
              </w:numPr>
              <w:spacing w:after="40"/>
            </w:pPr>
            <w:r>
              <w:rPr>
                <w:b/>
                <w:bCs/>
                <w:i/>
                <w:iCs/>
              </w:rPr>
              <w:t xml:space="preserve">Discursiva/Sentença: </w:t>
            </w:r>
            <w:r>
              <w:t xml:space="preserve">elaborar sentença reconhecendo divórcio post mortem.</w:t>
            </w:r>
          </w:p>
          <w:p>
            <w:pPr>
              <w:pStyle w:val="ListParagraph"/>
              <w:numPr>
                <w:ilvl w:val="0"/>
                <w:numId w:val="2"/>
              </w:numPr>
              <w:spacing w:after="100"/>
            </w:pPr>
            <w:r>
              <w:rPr>
                <w:b/>
                <w:bCs/>
                <w:i/>
                <w:iCs/>
              </w:rPr>
              <w:t xml:space="preserve">Oral: </w:t>
            </w:r>
            <w:r>
              <w:t xml:space="preserve">natureza potestativa do divórcio após a EC 66/2010.</w:t>
            </w:r>
          </w:p>
          <w:p>
            <w:pPr>
              <w:spacing w:after="0"/>
            </w:pPr>
            <w:r>
              <w:rPr>
                <w:b/>
                <w:bCs/>
                <w:color w:val="A9762F"/>
              </w:rPr>
              <w:t xml:space="preserve">CONEXÕES: </w:t>
            </w:r>
            <w:r>
              <w:rPr>
                <w:i/>
                <w:iCs/>
              </w:rPr>
              <w:t xml:space="preserve">REsp 2.022.649-MA (mesmo tema, sob outro ângulo); EC 66/2010; RE 1.167.478/RJ (Tema 1053).</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Divórcio post mortem — cônjuge ré falece no curso do processo; legitimidade dos herdeiros</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2.022.649-MA   |   Relator: Min. Antonio Carlos Ferreira   |   Data: 16/05/2024</w:t>
            </w:r>
          </w:p>
          <w:p>
            <w:pPr>
              <w:spacing w:after="100"/>
            </w:pPr>
            <w:r>
              <w:rPr>
                <w:i/>
                <w:iCs/>
                <w:color w:val="555555"/>
                <w:sz w:val="19"/>
                <w:szCs w:val="19"/>
              </w:rPr>
              <w:t xml:space="preserve">Sistemática: Caso isolado (Info 815)</w:t>
            </w:r>
          </w:p>
          <w:p>
            <w:pPr>
              <w:spacing w:after="100"/>
            </w:pPr>
            <w:r>
              <w:rPr>
                <w:b/>
                <w:bCs/>
              </w:rPr>
              <w:t xml:space="preserve">TESE FIXADA / DECISÃO: </w:t>
            </w:r>
            <w:r>
              <w:t xml:space="preserve">É possível decretar o divórcio ainda que um dos cônjuges faleça no curso do processo, quando há manifestação inequívoca de vontade em vida de dissolver o vínculo; os herdeiros do falecido têm legitimidade para prosseguir no feito.</w:t>
            </w:r>
          </w:p>
          <w:p>
            <w:pPr>
              <w:spacing w:after="100"/>
            </w:pPr>
            <w:r>
              <w:rPr>
                <w:b/>
                <w:bCs/>
              </w:rPr>
              <w:t xml:space="preserve">RESUMO DO CASO: </w:t>
            </w:r>
            <w:r>
              <w:t xml:space="preserve">Marido ajuizou divórcio; a esposa, citada, concordou expressamente e pediu a decretação independentemente da partilha; faleceu durante o trâmite processual. O marido pediu extinção sem resolução de mérito; os herdeiros dela pleitearam o prosseguimento. O STJ decretou o divórcio post mortem, preservando efeitos patrimoniais e sucessórios.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identificar a legitimidade dos herdeiros para prosseguir no pedido de divórcio quando já houve manifestação de vontade.</w:t>
            </w:r>
          </w:p>
          <w:p>
            <w:pPr>
              <w:pStyle w:val="ListParagraph"/>
              <w:numPr>
                <w:ilvl w:val="0"/>
                <w:numId w:val="2"/>
              </w:numPr>
              <w:spacing w:after="40"/>
            </w:pPr>
            <w:r>
              <w:rPr>
                <w:b/>
                <w:bCs/>
                <w:i/>
                <w:iCs/>
              </w:rPr>
              <w:t xml:space="preserve">Discursiva/Sentença: </w:t>
            </w:r>
            <w:r>
              <w:t xml:space="preserve">caso análogo pedindo fundamentação sobre efeitos sucessórios do divórcio post mortem.</w:t>
            </w:r>
          </w:p>
          <w:p>
            <w:pPr>
              <w:pStyle w:val="ListParagraph"/>
              <w:numPr>
                <w:ilvl w:val="0"/>
                <w:numId w:val="2"/>
              </w:numPr>
              <w:spacing w:after="100"/>
            </w:pPr>
            <w:r>
              <w:rPr>
                <w:b/>
                <w:bCs/>
                <w:i/>
                <w:iCs/>
              </w:rPr>
              <w:t xml:space="preserve">Oral: </w:t>
            </w:r>
            <w:r>
              <w:t xml:space="preserve">diferença entre este caso e o REsp 2.154.062-RJ (autor x ré falecendo).</w:t>
            </w:r>
          </w:p>
          <w:p>
            <w:pPr>
              <w:spacing w:after="0"/>
            </w:pPr>
            <w:r>
              <w:rPr>
                <w:b/>
                <w:bCs/>
                <w:color w:val="A9762F"/>
              </w:rPr>
              <w:t xml:space="preserve">CONEXÕES: </w:t>
            </w:r>
            <w:r>
              <w:rPr>
                <w:i/>
                <w:iCs/>
              </w:rPr>
              <w:t xml:space="preserve">REsp 2.154.062-RJ; EC 66/2010; direito potestativo ao divórcio.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Manutenção do sobrenome de casado após o divórcio, quando consolidado pelo uso</w:t>
            </w:r>
          </w:p>
          <w:p>
            <w:pPr>
              <w:spacing w:after="40"/>
            </w:pPr>
            <w:r>
              <w:rPr>
                <w:b/>
                <w:bCs/>
                <w:color w:val="555555"/>
                <w:sz w:val="19"/>
                <w:szCs w:val="19"/>
              </w:rPr>
              <w:t xml:space="preserve">Tribunal: STJ   |   Órgão: 4ª Turma</w:t>
            </w:r>
          </w:p>
          <w:p>
            <w:pPr>
              <w:spacing w:after="40"/>
            </w:pPr>
            <w:r>
              <w:rPr>
                <w:color w:val="555555"/>
                <w:sz w:val="19"/>
                <w:szCs w:val="19"/>
              </w:rPr>
              <w:t xml:space="preserve">Processo: AgInt no AREsp 1.550.337-SP   |   Relator: Min. Raul Araújo   |   Data: 04/03/2024</w:t>
            </w:r>
          </w:p>
          <w:p>
            <w:pPr>
              <w:spacing w:after="100"/>
            </w:pPr>
            <w:r>
              <w:rPr>
                <w:i/>
                <w:iCs/>
                <w:color w:val="555555"/>
                <w:sz w:val="19"/>
                <w:szCs w:val="19"/>
              </w:rPr>
              <w:t xml:space="preserve">Sistemática: Caso isolado (Info 808)</w:t>
            </w:r>
          </w:p>
          <w:p>
            <w:pPr>
              <w:spacing w:after="100"/>
            </w:pPr>
            <w:r>
              <w:rPr>
                <w:b/>
                <w:bCs/>
              </w:rPr>
              <w:t xml:space="preserve">TESE FIXADA / DECISÃO: </w:t>
            </w:r>
            <w:r>
              <w:t xml:space="preserve">A perda do direito ao uso do nome de casado (art. 1.578 do CC) é exceção, não regra; é inadmissível excluir o patronímico incorporado por uso contínuo e prolongado, sem circunstâncias que justifiquem a alteração.</w:t>
            </w:r>
          </w:p>
          <w:p>
            <w:pPr>
              <w:spacing w:after="100"/>
            </w:pPr>
            <w:r>
              <w:rPr>
                <w:b/>
                <w:bCs/>
              </w:rPr>
              <w:t xml:space="preserve">RESUMO DO CASO: </w:t>
            </w:r>
            <w:r>
              <w:t xml:space="preserve">Após 20 anos de casamento com adoção do sobrenome do marido, este pediu, no divórcio, que a ex-mulher deixasse de usar seu patronímico. O STJ negou o pedido, reafirmando a excepcionalidade da perda do nome de casado e a proteção do nome já consolidado na vida civil e social da pessoa.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assertiva de que o divórcio implica automaticamente a perda do nome de casado — INCORRETA.</w:t>
            </w:r>
          </w:p>
          <w:p>
            <w:pPr>
              <w:pStyle w:val="ListParagraph"/>
              <w:numPr>
                <w:ilvl w:val="0"/>
                <w:numId w:val="2"/>
              </w:numPr>
              <w:spacing w:after="40"/>
            </w:pPr>
            <w:r>
              <w:rPr>
                <w:b/>
                <w:bCs/>
                <w:i/>
                <w:iCs/>
              </w:rPr>
              <w:t xml:space="preserve">Discursiva/Sentença: </w:t>
            </w:r>
            <w:r>
              <w:t xml:space="preserve">pedido de exclusão de sobrenome versus direitos da personalidade.</w:t>
            </w:r>
          </w:p>
          <w:p>
            <w:pPr>
              <w:pStyle w:val="ListParagraph"/>
              <w:numPr>
                <w:ilvl w:val="0"/>
                <w:numId w:val="2"/>
              </w:numPr>
              <w:spacing w:after="100"/>
            </w:pPr>
            <w:r>
              <w:rPr>
                <w:b/>
                <w:bCs/>
                <w:i/>
                <w:iCs/>
              </w:rPr>
              <w:t xml:space="preserve">Oral: </w:t>
            </w:r>
            <w:r>
              <w:t xml:space="preserve">hipóteses do art. 1.578 do CC (perda do nome por culpa na separação).</w:t>
            </w:r>
          </w:p>
          <w:p>
            <w:pPr>
              <w:spacing w:after="0"/>
            </w:pPr>
            <w:r>
              <w:rPr>
                <w:b/>
                <w:bCs/>
                <w:color w:val="A9762F"/>
              </w:rPr>
              <w:t xml:space="preserve">CONEXÕES: </w:t>
            </w:r>
            <w:r>
              <w:rPr>
                <w:i/>
                <w:iCs/>
              </w:rPr>
              <w:t xml:space="preserve">art. 1.578 do CC; direitos da personalidade (nome civil).</w:t>
            </w:r>
          </w:p>
        </w:tc>
      </w:tr>
    </w:tbl>
    <w:p>
      <w:pPr>
        <w:spacing w:after="160"/>
      </w:pPr>
    </w:p>
    <w:p>
      <w:pPr>
        <w:pStyle w:val="Heading2"/>
        <w:spacing w:after="160" w:before="200"/>
      </w:pPr>
      <w:r>
        <w:rPr>
          <w:color w:val="A9762F"/>
        </w:rPr>
        <w:t xml:space="preserve">REGIME DE BENS ENTRE OS CÔNJUGES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Nulidade da partilha por instrumento particular — exigência de forma pública ou via judicial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2.206.085-RJ   |   Relator: Min. Nancy Andrighi   |   Data: 03/03/2026</w:t>
            </w:r>
          </w:p>
          <w:p>
            <w:pPr>
              <w:spacing w:after="100"/>
            </w:pPr>
            <w:r>
              <w:rPr>
                <w:i/>
                <w:iCs/>
                <w:color w:val="555555"/>
                <w:sz w:val="19"/>
                <w:szCs w:val="19"/>
              </w:rPr>
              <w:t xml:space="preserve">Sistemática: Caso isolado (Info 881)</w:t>
            </w:r>
          </w:p>
          <w:p>
            <w:pPr>
              <w:spacing w:after="100"/>
            </w:pPr>
            <w:r>
              <w:rPr>
                <w:b/>
                <w:bCs/>
              </w:rPr>
              <w:t xml:space="preserve">TESE FIXADA / DECISÃO: </w:t>
            </w:r>
            <w:r>
              <w:t xml:space="preserve">A partilha dos bens do casamento só pode ser feita por ação judicial ou escritura pública; a partilha por instrumento particular é nula (arts. 166, IV e V, e 169 do CC), podendo qualquer das partes propor ação autônoma de partilha a qualquer tempo.</w:t>
            </w:r>
          </w:p>
          <w:p>
            <w:pPr>
              <w:spacing w:after="100"/>
            </w:pPr>
            <w:r>
              <w:rPr>
                <w:b/>
                <w:bCs/>
              </w:rPr>
              <w:t xml:space="preserve">RESUMO DO CASO: </w:t>
            </w:r>
            <w:r>
              <w:t xml:space="preserve">Casal se divorciou por escritura pública sem partilhar bens (o que é possível, art. 1.581 do CC) e, no mesmo dia, fez a partilha por instrumento particular. Cerca de um ano depois, a ex-mulher, percebendo prejuízo, ajuizou ação de partilha; o juiz extinguiu o processo por entender já existir partilha anterior. O STJ reformou, por ser nulo o instrumento particular por inobservância da forma legal.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forma correta da partilha extrajudicial (escritura pública) x instrumento particular (nulo) — tema FGV explícito.</w:t>
            </w:r>
          </w:p>
          <w:p>
            <w:pPr>
              <w:pStyle w:val="ListParagraph"/>
              <w:numPr>
                <w:ilvl w:val="0"/>
                <w:numId w:val="2"/>
              </w:numPr>
              <w:spacing w:after="40"/>
            </w:pPr>
            <w:r>
              <w:rPr>
                <w:b/>
                <w:bCs/>
                <w:i/>
                <w:iCs/>
              </w:rPr>
              <w:t xml:space="preserve">Discursiva/Sentença: </w:t>
            </w:r>
            <w:r>
              <w:t xml:space="preserve">elaborar sentença anulando partilha extrajudicial irregular e determinando nova partilha.</w:t>
            </w:r>
          </w:p>
          <w:p>
            <w:pPr>
              <w:pStyle w:val="ListParagraph"/>
              <w:numPr>
                <w:ilvl w:val="0"/>
                <w:numId w:val="2"/>
              </w:numPr>
              <w:spacing w:after="100"/>
            </w:pPr>
            <w:r>
              <w:rPr>
                <w:b/>
                <w:bCs/>
                <w:i/>
                <w:iCs/>
              </w:rPr>
              <w:t xml:space="preserve">Oral: </w:t>
            </w:r>
            <w:r>
              <w:t xml:space="preserve">diferenciar nulidade x anulabilidade aplicada à partilha; prazo para arguição de cada uma.</w:t>
            </w:r>
          </w:p>
          <w:p>
            <w:pPr>
              <w:spacing w:after="0"/>
            </w:pPr>
            <w:r>
              <w:rPr>
                <w:b/>
                <w:bCs/>
                <w:color w:val="A9762F"/>
              </w:rPr>
              <w:t xml:space="preserve">CONEXÕES: </w:t>
            </w:r>
            <w:r>
              <w:rPr>
                <w:i/>
                <w:iCs/>
              </w:rPr>
              <w:t xml:space="preserve">art. 1.581 do CC (divórcio sem partilha prévia); arts. 166 e 169 do CC; tema FGV "partilha por escritura pública x nulidade de partilha por instrumento particular"; REsp 1.817.812-SP (partilha como direito potestativo imprescritível).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Presunção de construção comum em terreno de ambos os cônjuges, mesmo na separação convencional</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2.126.992-DF   |   Relator: Min. Raul Araújo   |   Data: 09/12/2025</w:t>
            </w:r>
          </w:p>
          <w:p>
            <w:pPr>
              <w:spacing w:after="100"/>
            </w:pPr>
            <w:r>
              <w:rPr>
                <w:i/>
                <w:iCs/>
                <w:color w:val="555555"/>
                <w:sz w:val="19"/>
                <w:szCs w:val="19"/>
              </w:rPr>
              <w:t xml:space="preserve">Sistemática: Caso isolado (Info 874)</w:t>
            </w:r>
          </w:p>
          <w:p>
            <w:pPr>
              <w:spacing w:after="100"/>
            </w:pPr>
            <w:r>
              <w:rPr>
                <w:b/>
                <w:bCs/>
              </w:rPr>
              <w:t xml:space="preserve">TESE FIXADA / DECISÃO: </w:t>
            </w:r>
            <w:r>
              <w:t xml:space="preserve">Ainda que adotado o regime de separação convencional, sendo o terreno de ambos os cônjuges em partes iguais, presume-se (art. 1.253 do CC — presunção relativa) que a construção nele erguida também lhes pertence na mesma proporção, salvo prova em contrário.</w:t>
            </w:r>
          </w:p>
          <w:p>
            <w:pPr>
              <w:spacing w:after="100"/>
            </w:pPr>
            <w:r>
              <w:rPr>
                <w:b/>
                <w:bCs/>
              </w:rPr>
              <w:t xml:space="preserve">RESUMO DO CASO: </w:t>
            </w:r>
            <w:r>
              <w:t xml:space="preserve">Casal casado sob separação convencional adquiriu terreno em partes iguais e nele construiu a casa de família; no divórcio, o marido alegou ter custeado sozinho a construção, mas não produziu provas. Mantida a partilha igualitária da construção com base na presunção do art. 1.253 do CC.</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pegadinha clássica — aplicação da presunção do art. 1.253 mesmo em regime de separação de bens.</w:t>
            </w:r>
          </w:p>
          <w:p>
            <w:pPr>
              <w:pStyle w:val="ListParagraph"/>
              <w:numPr>
                <w:ilvl w:val="0"/>
                <w:numId w:val="2"/>
              </w:numPr>
              <w:spacing w:after="40"/>
            </w:pPr>
            <w:r>
              <w:rPr>
                <w:b/>
                <w:bCs/>
                <w:i/>
                <w:iCs/>
              </w:rPr>
              <w:t xml:space="preserve">Discursiva/Sentença: </w:t>
            </w:r>
            <w:r>
              <w:t xml:space="preserve">analisar o ônus da prova necessário para afastar a presunção.</w:t>
            </w:r>
          </w:p>
          <w:p>
            <w:pPr>
              <w:pStyle w:val="ListParagraph"/>
              <w:numPr>
                <w:ilvl w:val="0"/>
                <w:numId w:val="2"/>
              </w:numPr>
              <w:spacing w:after="100"/>
            </w:pPr>
            <w:r>
              <w:rPr>
                <w:b/>
                <w:bCs/>
                <w:i/>
                <w:iCs/>
              </w:rPr>
              <w:t xml:space="preserve">Oral: </w:t>
            </w:r>
            <w:r>
              <w:t xml:space="preserve">relação entre propriedade do terreno e da construção nele erguida.</w:t>
            </w:r>
          </w:p>
          <w:p>
            <w:pPr>
              <w:spacing w:after="0"/>
            </w:pPr>
            <w:r>
              <w:rPr>
                <w:b/>
                <w:bCs/>
                <w:color w:val="A9762F"/>
              </w:rPr>
              <w:t xml:space="preserve">CONEXÕES: </w:t>
            </w:r>
            <w:r>
              <w:rPr>
                <w:i/>
                <w:iCs/>
              </w:rPr>
              <w:t xml:space="preserve">REsp 1.888.242/PR (mesmo tema, ônus da prova sobre acessões/benfeitorias); art. 1.253 do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Eficácia ex tunc excepcional na alteração do regime de bens, em benefício de terceiro credor</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1.671.422/SP   |   Relator: Min. Raul Araújo   |   Data: 25/04/2023</w:t>
            </w:r>
          </w:p>
          <w:p>
            <w:pPr>
              <w:spacing w:after="100"/>
            </w:pPr>
            <w:r>
              <w:rPr>
                <w:i/>
                <w:iCs/>
                <w:color w:val="555555"/>
                <w:sz w:val="19"/>
                <w:szCs w:val="19"/>
              </w:rPr>
              <w:t xml:space="preserve">Sistemática: Caso isolado (Info 772)</w:t>
            </w:r>
          </w:p>
          <w:p>
            <w:pPr>
              <w:spacing w:after="100"/>
            </w:pPr>
            <w:r>
              <w:rPr>
                <w:b/>
                <w:bCs/>
              </w:rPr>
              <w:t xml:space="preserve">TESE FIXADA / DECISÃO: </w:t>
            </w:r>
            <w:r>
              <w:t xml:space="preserve">Como regra, a alteração do regime de bens tem efeitos ex nunc (não retroage); excepcionalmente, pode retroagir quando o novo regime ampliar as garantias patrimoniais em benefício de terceiro credor.</w:t>
            </w:r>
          </w:p>
          <w:p>
            <w:pPr>
              <w:spacing w:after="100"/>
            </w:pPr>
            <w:r>
              <w:rPr>
                <w:b/>
                <w:bCs/>
              </w:rPr>
              <w:t xml:space="preserve">RESUMO DO CASO: </w:t>
            </w:r>
            <w:r>
              <w:t xml:space="preserve">Discutiram-se os efeitos temporais da mudança do regime de separação total para comunhão universal na constância do casamento. O STJ reafirmou a regra da irretroatividade (proteção ao ato jurídico perfeito), admitindo exceção quando a mudança amplia garantias de terceiros credores.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regra geral (ex nunc) x exceção (proteção de credores) — tema FGV explícito.</w:t>
            </w:r>
          </w:p>
          <w:p>
            <w:pPr>
              <w:pStyle w:val="ListParagraph"/>
              <w:numPr>
                <w:ilvl w:val="0"/>
                <w:numId w:val="2"/>
              </w:numPr>
              <w:spacing w:after="40"/>
            </w:pPr>
            <w:r>
              <w:rPr>
                <w:b/>
                <w:bCs/>
                <w:i/>
                <w:iCs/>
              </w:rPr>
              <w:t xml:space="preserve">Discursiva/Sentença: </w:t>
            </w:r>
            <w:r>
              <w:t xml:space="preserve">caso de credor prejudicado pedindo comunicação de bens em razão da alteração de regime.</w:t>
            </w:r>
          </w:p>
          <w:p>
            <w:pPr>
              <w:pStyle w:val="ListParagraph"/>
              <w:numPr>
                <w:ilvl w:val="0"/>
                <w:numId w:val="2"/>
              </w:numPr>
              <w:spacing w:after="100"/>
            </w:pPr>
            <w:r>
              <w:rPr>
                <w:b/>
                <w:bCs/>
                <w:i/>
                <w:iCs/>
              </w:rPr>
              <w:t xml:space="preserve">Oral: </w:t>
            </w:r>
            <w:r>
              <w:t xml:space="preserve">fundamento da regra geral da irretroatividade (ato jurídico perfeito).</w:t>
            </w:r>
          </w:p>
          <w:p>
            <w:pPr>
              <w:spacing w:after="0"/>
            </w:pPr>
            <w:r>
              <w:rPr>
                <w:b/>
                <w:bCs/>
                <w:color w:val="A9762F"/>
              </w:rPr>
              <w:t xml:space="preserve">CONEXÕES: </w:t>
            </w:r>
            <w:r>
              <w:rPr>
                <w:i/>
                <w:iCs/>
              </w:rPr>
              <w:t xml:space="preserve">tema FGV "alteração superveniente do regime de bens (eficácia prospectiva/ex nunc como regra)"; art. 1.639, §2º, do CC; AREsp 1.631.112-MT (mesma lógica na união estável).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Bem doado com cláusula de inalienabilidade temporária ainda vigente — exclusão da comunhão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1.760.281/TO   |   Relator: Min. Marco Aurélio Bellizze   |   Data: 24/05/2022</w:t>
            </w:r>
          </w:p>
          <w:p>
            <w:pPr>
              <w:spacing w:after="100"/>
            </w:pPr>
            <w:r>
              <w:rPr>
                <w:i/>
                <w:iCs/>
                <w:color w:val="555555"/>
                <w:sz w:val="19"/>
                <w:szCs w:val="19"/>
              </w:rPr>
              <w:t xml:space="preserve">Sistemática: Caso isolado (Info 748)</w:t>
            </w:r>
          </w:p>
          <w:p>
            <w:pPr>
              <w:spacing w:after="100"/>
            </w:pPr>
            <w:r>
              <w:rPr>
                <w:b/>
                <w:bCs/>
              </w:rPr>
              <w:t xml:space="preserve">TESE FIXADA / DECISÃO: </w:t>
            </w:r>
            <w:r>
              <w:t xml:space="preserve">O bem gravado com cláusula de inalienabilidade temporária, ainda vigente na data da separação de fato, não integra o patrimônio partilhável (art. 1.668, I, do CC).</w:t>
            </w:r>
          </w:p>
          <w:p>
            <w:pPr>
              <w:spacing w:after="100"/>
            </w:pPr>
            <w:r>
              <w:rPr>
                <w:b/>
                <w:bCs/>
              </w:rPr>
              <w:t xml:space="preserve">RESUMO DO CASO: </w:t>
            </w:r>
            <w:r>
              <w:t xml:space="preserve">Imóvel doado por Município com cláusula de inalienabilidade de 10 anos foi recebido por um cônjuge antes do casamento (comunhão universal); a separação de fato ocorreu ainda durante a vigência da cláusula. O STJ excluiu o bem da partilha, por incomunicabilidade decorrente da cláusula ativa à época da ruptura.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hipóteses de bens excluídos da comunhão (art. 1.668 do CC) — tema FGV explícito ("bens excluídos da comunhão").</w:t>
            </w:r>
          </w:p>
          <w:p>
            <w:pPr>
              <w:pStyle w:val="ListParagraph"/>
              <w:numPr>
                <w:ilvl w:val="0"/>
                <w:numId w:val="2"/>
              </w:numPr>
              <w:spacing w:after="40"/>
            </w:pPr>
            <w:r>
              <w:rPr>
                <w:b/>
                <w:bCs/>
                <w:i/>
                <w:iCs/>
              </w:rPr>
              <w:t xml:space="preserve">Discursiva/Sentença: </w:t>
            </w:r>
            <w:r>
              <w:t xml:space="preserve">examinar cláusula de incomunicabilidade/inalienabilidade e seu termo final relevante (separação de fato).</w:t>
            </w:r>
          </w:p>
          <w:p>
            <w:pPr>
              <w:pStyle w:val="ListParagraph"/>
              <w:numPr>
                <w:ilvl w:val="0"/>
                <w:numId w:val="2"/>
              </w:numPr>
              <w:spacing w:after="100"/>
            </w:pPr>
            <w:r>
              <w:rPr>
                <w:b/>
                <w:bCs/>
                <w:i/>
                <w:iCs/>
              </w:rPr>
              <w:t xml:space="preserve">Oral: </w:t>
            </w:r>
            <w:r>
              <w:t xml:space="preserve">diferença entre inalienabilidade e incomunicabilidade.</w:t>
            </w:r>
          </w:p>
          <w:p>
            <w:pPr>
              <w:spacing w:after="0"/>
            </w:pPr>
            <w:r>
              <w:rPr>
                <w:b/>
                <w:bCs/>
                <w:color w:val="A9762F"/>
              </w:rPr>
              <w:t xml:space="preserve">CONEXÕES: </w:t>
            </w:r>
            <w:r>
              <w:rPr>
                <w:i/>
                <w:iCs/>
              </w:rPr>
              <w:t xml:space="preserve">art. 1.668, I, do CC; REsp 1.841.128-MG (bens anteriores ao casamento, não comunicáveis).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Distribuição dinâmica do ônus da prova sobre a data de acessões/benfeitorias</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1.888.242/PR   |   Relator: Min. Ricardo Villas Bôas Cueva   |   Data: 29/03/2022</w:t>
            </w:r>
          </w:p>
          <w:p>
            <w:pPr>
              <w:spacing w:after="100"/>
            </w:pPr>
            <w:r>
              <w:rPr>
                <w:i/>
                <w:iCs/>
                <w:color w:val="555555"/>
                <w:sz w:val="19"/>
                <w:szCs w:val="19"/>
              </w:rPr>
              <w:t xml:space="preserve">Sistemática: Caso isolado (Info 731)</w:t>
            </w:r>
          </w:p>
          <w:p>
            <w:pPr>
              <w:spacing w:after="100"/>
            </w:pPr>
            <w:r>
              <w:rPr>
                <w:b/>
                <w:bCs/>
              </w:rPr>
              <w:t xml:space="preserve">TESE FIXADA / DECISÃO: </w:t>
            </w:r>
            <w:r>
              <w:t xml:space="preserve">A presunção do art. 1.253 do CC (construção presumida do proprietário) pode ser afastada por distribuição dinâmica do ônus da prova (art. 373, §1º, do CPC), atribuindo ao cônjuge proprietário o encargo de provar a época da edificação, quando ele tiver melhores condições de produzir a prova.</w:t>
            </w:r>
          </w:p>
          <w:p>
            <w:pPr>
              <w:spacing w:after="100"/>
            </w:pPr>
            <w:r>
              <w:rPr>
                <w:b/>
                <w:bCs/>
              </w:rPr>
              <w:t xml:space="preserve">RESUMO DO CASO: </w:t>
            </w:r>
            <w:r>
              <w:t xml:space="preserve">Em imóvel comprado pelo marido durante período de separação de fato (com posterior reconciliação e novo divórcio), discutiu-se se as acessões/benfeitorias foram feitas na constância do casamento (comunicáveis) ou fora dele. O STJ permitiu a inversão do ônus da prova em desfavor do proprietário/possuidor, por deter melhores condições de comprovar a época da obra.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regra geral do ônus da prova (art. 373, I, CPC) x distribuição dinâmica (art. 373, §1º).</w:t>
            </w:r>
          </w:p>
          <w:p>
            <w:pPr>
              <w:pStyle w:val="ListParagraph"/>
              <w:numPr>
                <w:ilvl w:val="0"/>
                <w:numId w:val="2"/>
              </w:numPr>
              <w:spacing w:after="40"/>
            </w:pPr>
            <w:r>
              <w:rPr>
                <w:b/>
                <w:bCs/>
                <w:i/>
                <w:iCs/>
              </w:rPr>
              <w:t xml:space="preserve">Discursiva/Sentença: </w:t>
            </w:r>
            <w:r>
              <w:t xml:space="preserve">decisão interlocutória invertendo o ônus da prova em ação de partilha.</w:t>
            </w:r>
          </w:p>
          <w:p>
            <w:pPr>
              <w:pStyle w:val="ListParagraph"/>
              <w:numPr>
                <w:ilvl w:val="0"/>
                <w:numId w:val="2"/>
              </w:numPr>
              <w:spacing w:after="100"/>
            </w:pPr>
            <w:r>
              <w:rPr>
                <w:b/>
                <w:bCs/>
                <w:i/>
                <w:iCs/>
              </w:rPr>
              <w:t xml:space="preserve">Oral: </w:t>
            </w:r>
            <w:r>
              <w:t xml:space="preserve">requisitos da distribuição dinâmica do ônus da prova.</w:t>
            </w:r>
          </w:p>
          <w:p>
            <w:pPr>
              <w:spacing w:after="0"/>
            </w:pPr>
            <w:r>
              <w:rPr>
                <w:b/>
                <w:bCs/>
                <w:color w:val="A9762F"/>
              </w:rPr>
              <w:t xml:space="preserve">CONEXÕES: </w:t>
            </w:r>
            <w:r>
              <w:rPr>
                <w:i/>
                <w:iCs/>
              </w:rPr>
              <w:t xml:space="preserve">art. 1.253 do CC; REsp 2.126.992-DF (mesma presunção, em separação convencional); art. 373 do CPC.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Previdência privada aberta x fechada — (in)comunicabilidade na partilha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1.545.217-PR   |   Relator: Min. Luis Felipe Salomão, Relator para acórdão Min. Maria Isabel Gallotti   |   Data: 07/12/2021</w:t>
            </w:r>
          </w:p>
          <w:p>
            <w:pPr>
              <w:spacing w:after="100"/>
            </w:pPr>
            <w:r>
              <w:rPr>
                <w:i/>
                <w:iCs/>
                <w:color w:val="555555"/>
                <w:sz w:val="19"/>
                <w:szCs w:val="19"/>
              </w:rPr>
              <w:t xml:space="preserve">Sistemática: Caso isolado (Info 723)</w:t>
            </w:r>
          </w:p>
          <w:p>
            <w:pPr>
              <w:spacing w:after="100"/>
            </w:pPr>
            <w:r>
              <w:rPr>
                <w:b/>
                <w:bCs/>
              </w:rPr>
              <w:t xml:space="preserve">TESE FIXADA / DECISÃO: </w:t>
            </w:r>
            <w:r>
              <w:t xml:space="preserve">Os valores de plano de previdência privada ABERTO acumulados durante a vida em comum integram o patrimônio comum e são partilháveis (equiparam-se a investimento financeiro); os aportes em plano FECHADO não integram o patrimônio partilhável.</w:t>
            </w:r>
          </w:p>
          <w:p>
            <w:pPr>
              <w:spacing w:after="100"/>
            </w:pPr>
            <w:r>
              <w:rPr>
                <w:b/>
                <w:bCs/>
              </w:rPr>
              <w:t xml:space="preserve">RESUMO DO CASO: </w:t>
            </w:r>
            <w:r>
              <w:t xml:space="preserve">Discutiu-se a natureza jurídica dos aportes em previdência complementar durante o casamento. O STJ distinguiu: previdência aberta (espécie de investimento financeiro, comunicável) e previdência fechada (vinculada ao contrato de trabalho/estatuto da entidade de previdência, não comunicável).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comunicabilidade entre previdência aberta e fechada — pegadinha clássica.</w:t>
            </w:r>
          </w:p>
          <w:p>
            <w:pPr>
              <w:pStyle w:val="ListParagraph"/>
              <w:numPr>
                <w:ilvl w:val="0"/>
                <w:numId w:val="2"/>
              </w:numPr>
              <w:spacing w:after="40"/>
            </w:pPr>
            <w:r>
              <w:rPr>
                <w:b/>
                <w:bCs/>
                <w:i/>
                <w:iCs/>
              </w:rPr>
              <w:t xml:space="preserve">Discursiva/Sentença: </w:t>
            </w:r>
            <w:r>
              <w:t xml:space="preserve">caso de partilha envolvendo verbas previdenciárias privadas.</w:t>
            </w:r>
          </w:p>
          <w:p>
            <w:pPr>
              <w:pStyle w:val="ListParagraph"/>
              <w:numPr>
                <w:ilvl w:val="0"/>
                <w:numId w:val="2"/>
              </w:numPr>
              <w:spacing w:after="100"/>
            </w:pPr>
            <w:r>
              <w:rPr>
                <w:b/>
                <w:bCs/>
                <w:i/>
                <w:iCs/>
              </w:rPr>
              <w:t xml:space="preserve">Oral: </w:t>
            </w:r>
            <w:r>
              <w:t xml:space="preserve">fundamento da distinção (natureza de investimento x natureza previdenciária/trabalhista).</w:t>
            </w:r>
          </w:p>
          <w:p>
            <w:pPr>
              <w:spacing w:after="0"/>
            </w:pPr>
            <w:r>
              <w:rPr>
                <w:b/>
                <w:bCs/>
                <w:color w:val="A9762F"/>
              </w:rPr>
              <w:t xml:space="preserve">CONEXÕES: </w:t>
            </w:r>
            <w:r>
              <w:rPr>
                <w:i/>
                <w:iCs/>
              </w:rPr>
              <w:t xml:space="preserve">tema FGV "bens excluídos da comunhão (sub-rogação de bem particular, indenizações, FGTS)" — mesma lógica de distinção; regime de comunhão parcial (arts. 1.658 e ss. do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Pacto antenupcial pode ampliar a separação obrigatória e afastar a Súmula 377-STF</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1.922.347-PR   |   Relator: Min. Luis Felipe Salomão   |   Data: 07/12/2021</w:t>
            </w:r>
          </w:p>
          <w:p>
            <w:pPr>
              <w:spacing w:after="100"/>
            </w:pPr>
            <w:r>
              <w:rPr>
                <w:i/>
                <w:iCs/>
                <w:color w:val="555555"/>
                <w:sz w:val="19"/>
                <w:szCs w:val="19"/>
              </w:rPr>
              <w:t xml:space="preserve">Sistemática: Caso isolado (Info 723)</w:t>
            </w:r>
          </w:p>
          <w:p>
            <w:pPr>
              <w:spacing w:after="100"/>
            </w:pPr>
            <w:r>
              <w:rPr>
                <w:b/>
                <w:bCs/>
              </w:rPr>
              <w:t xml:space="preserve">TESE FIXADA / DECISÃO: </w:t>
            </w:r>
            <w:r>
              <w:t xml:space="preserve">No regime de separação obrigatória (art. 1.641, II, do CC), nubentes/companheiros podem, por pacto antenupcial, estipular cláusula ainda mais protetiva, afastando expressamente a incidência da Súmula 377-STF e impedindo a comunhão dos aquestos.</w:t>
            </w:r>
          </w:p>
          <w:p>
            <w:pPr>
              <w:spacing w:after="100"/>
            </w:pPr>
            <w:r>
              <w:rPr>
                <w:b/>
                <w:bCs/>
              </w:rPr>
              <w:t xml:space="preserve">RESUMO DO CASO: </w:t>
            </w:r>
            <w:r>
              <w:t xml:space="preserve">Casal sujeito à separação obrigatória (nubente septuagenário) buscava, por autonomia privada em pacto antenupcial, blindar totalmente o patrimônio, afastando a comunicação de bens adquiridos por esforço comum que normalmente decorreria da Súmula 377-STF. O STJ admitiu, por interpretação teleológica do art. 1.641, II (proteção do idoso).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relação entre separação obrigatória, Súmula 377-STF e pacto antenupcial — tema clássico e explícito FGV.</w:t>
            </w:r>
          </w:p>
          <w:p>
            <w:pPr>
              <w:pStyle w:val="ListParagraph"/>
              <w:numPr>
                <w:ilvl w:val="0"/>
                <w:numId w:val="2"/>
              </w:numPr>
              <w:spacing w:after="40"/>
            </w:pPr>
            <w:r>
              <w:rPr>
                <w:b/>
                <w:bCs/>
                <w:i/>
                <w:iCs/>
              </w:rPr>
              <w:t xml:space="preserve">Discursiva/Sentença: </w:t>
            </w:r>
            <w:r>
              <w:t xml:space="preserve">parecer sobre validade de cláusula de pacto antenupcial que afasta a Súmula 377.</w:t>
            </w:r>
          </w:p>
          <w:p>
            <w:pPr>
              <w:pStyle w:val="ListParagraph"/>
              <w:numPr>
                <w:ilvl w:val="0"/>
                <w:numId w:val="2"/>
              </w:numPr>
              <w:spacing w:after="100"/>
            </w:pPr>
            <w:r>
              <w:rPr>
                <w:b/>
                <w:bCs/>
                <w:i/>
                <w:iCs/>
              </w:rPr>
              <w:t xml:space="preserve">Oral: </w:t>
            </w:r>
            <w:r>
              <w:t xml:space="preserve">fundamento e finalidade do art. 1.641, II, do CC.</w:t>
            </w:r>
          </w:p>
          <w:p>
            <w:pPr>
              <w:spacing w:after="0"/>
            </w:pPr>
            <w:r>
              <w:rPr>
                <w:b/>
                <w:bCs/>
                <w:color w:val="A9762F"/>
              </w:rPr>
              <w:t xml:space="preserve">CONEXÕES: </w:t>
            </w:r>
            <w:r>
              <w:rPr>
                <w:i/>
                <w:iCs/>
              </w:rPr>
              <w:t xml:space="preserve">Súmula 377-STF; art. 1.641, II, do CC; ARE 1.309.642/SP (Tema 1236-STF); Súmula 655-STJ; REsp 2.097.324-SP (prêmio de loteria em separação obrigatória); tema FGV "pacto antenupcial (forma pública obrigatória)".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Bens adquiridos antes do casamento, no período de namoro, não se comunicam</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1.841.128-MG   |   Relator: Min. Ricardo Villas Bôas Cueva   |   Data: 23/11/2021</w:t>
            </w:r>
          </w:p>
          <w:p>
            <w:pPr>
              <w:spacing w:after="100"/>
            </w:pPr>
            <w:r>
              <w:rPr>
                <w:i/>
                <w:iCs/>
                <w:color w:val="555555"/>
                <w:sz w:val="19"/>
                <w:szCs w:val="19"/>
              </w:rPr>
              <w:t xml:space="preserve">Sistemática: Caso isolado (Info 719)</w:t>
            </w:r>
          </w:p>
          <w:p>
            <w:pPr>
              <w:spacing w:after="100"/>
            </w:pPr>
            <w:r>
              <w:rPr>
                <w:b/>
                <w:bCs/>
              </w:rPr>
              <w:t xml:space="preserve">TESE FIXADA / DECISÃO: </w:t>
            </w:r>
            <w:r>
              <w:t xml:space="preserve">Bem financiado e pago exclusivamente por um dos nubentes ainda no período de namoro (antes do casamento) não se comunica na partilha decorrente do divórcio, ainda que o financiamento seja quitado já na constância do casamento sob comunhão parcial, quando não há esforço comum.</w:t>
            </w:r>
          </w:p>
          <w:p>
            <w:pPr>
              <w:spacing w:after="100"/>
            </w:pPr>
            <w:r>
              <w:rPr>
                <w:b/>
                <w:bCs/>
              </w:rPr>
              <w:t xml:space="preserve">RESUMO DO CASO: </w:t>
            </w:r>
            <w:r>
              <w:t xml:space="preserve">Mulher financiou e pagou sozinha um apartamento enquanto namorava; casou-se em comunhão parcial; quitou o financiamento já casada; divorciou-se pouco depois. O STJ excluiu o imóvel da partilha, por ser bem estranho à comunhão, adquirido e custeado exclusivamente antes/fora da relação conjugal, sem contribuição do outro.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contraponto direto ao tema FGV "comunicação de imóvel financiado antes do casamento mas quitado durante a união com esforço comum" — aqui NÃO há esforço comum, o que muda o resultado.</w:t>
            </w:r>
          </w:p>
          <w:p>
            <w:pPr>
              <w:pStyle w:val="ListParagraph"/>
              <w:numPr>
                <w:ilvl w:val="0"/>
                <w:numId w:val="2"/>
              </w:numPr>
              <w:spacing w:after="40"/>
            </w:pPr>
            <w:r>
              <w:rPr>
                <w:b/>
                <w:bCs/>
                <w:i/>
                <w:iCs/>
              </w:rPr>
              <w:t xml:space="preserve">Discursiva/Sentença: </w:t>
            </w:r>
            <w:r>
              <w:t xml:space="preserve">distinguir, em caso prático, os dois cenários (com e sem esforço comum).</w:t>
            </w:r>
          </w:p>
          <w:p>
            <w:pPr>
              <w:pStyle w:val="ListParagraph"/>
              <w:numPr>
                <w:ilvl w:val="0"/>
                <w:numId w:val="2"/>
              </w:numPr>
              <w:spacing w:after="100"/>
            </w:pPr>
            <w:r>
              <w:rPr>
                <w:b/>
                <w:bCs/>
                <w:i/>
                <w:iCs/>
              </w:rPr>
              <w:t xml:space="preserve">Oral: </w:t>
            </w:r>
            <w:r>
              <w:t xml:space="preserve">marco temporal relevante para a comunicabilidade (constância do casamento x namoro).</w:t>
            </w:r>
          </w:p>
          <w:p>
            <w:pPr>
              <w:spacing w:after="0"/>
            </w:pPr>
            <w:r>
              <w:rPr>
                <w:b/>
                <w:bCs/>
                <w:color w:val="A9762F"/>
              </w:rPr>
              <w:t xml:space="preserve">CONEXÕES: </w:t>
            </w:r>
            <w:r>
              <w:rPr>
                <w:i/>
                <w:iCs/>
              </w:rPr>
              <w:t xml:space="preserve">art. 1.660 do CC; REsp 1.760.281/TO (bens excluídos da comunhão).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Cessação da incapacidade civil que impôs separação obrigatória autoriza mudança de regime</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1.947.749-SP   |   Relator: Min. Nancy Andrighi   |   Data: 14/09/2021</w:t>
            </w:r>
          </w:p>
          <w:p>
            <w:pPr>
              <w:spacing w:after="100"/>
            </w:pPr>
            <w:r>
              <w:rPr>
                <w:i/>
                <w:iCs/>
                <w:color w:val="555555"/>
                <w:sz w:val="19"/>
                <w:szCs w:val="19"/>
              </w:rPr>
              <w:t xml:space="preserve">Sistemática: Caso isolado (Info 709)</w:t>
            </w:r>
          </w:p>
          <w:p>
            <w:pPr>
              <w:spacing w:after="100"/>
            </w:pPr>
            <w:r>
              <w:rPr>
                <w:b/>
                <w:bCs/>
              </w:rPr>
              <w:t xml:space="preserve">TESE FIXADA / DECISÃO: </w:t>
            </w:r>
            <w:r>
              <w:t xml:space="preserve">Cessada a causa que originalmente impôs o regime de separação obrigatória (ex.: nubente menor de 16 anos, sob a égide do CC/1916), é cabível a alteração do regime de bens, sem exigência de provas exageradas de ausência de prejuízo a terceiros.</w:t>
            </w:r>
          </w:p>
          <w:p>
            <w:pPr>
              <w:spacing w:after="100"/>
            </w:pPr>
            <w:r>
              <w:rPr>
                <w:b/>
                <w:bCs/>
              </w:rPr>
              <w:t xml:space="preserve">RESUMO DO CASO: </w:t>
            </w:r>
            <w:r>
              <w:t xml:space="preserve">Cônjuges casados em 1990, quando a esposa era menor de 16 anos (regime forçado de separação obrigatória pelo CC/1916); décadas depois, já sob o CC/2002, pediram a alteração do regime, pois a causa da incapacidade cessara. O STJ deferiu, afastando exigência de provas rigorosas e prestigiando a autonomia privada e a intimidade dos cônjuges.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cruzamento dos temas FGV "casamento de menor de 16 anos (idade núbil)" e "alteração superveniente do regime de bens".</w:t>
            </w:r>
          </w:p>
          <w:p>
            <w:pPr>
              <w:pStyle w:val="ListParagraph"/>
              <w:numPr>
                <w:ilvl w:val="0"/>
                <w:numId w:val="2"/>
              </w:numPr>
              <w:spacing w:after="40"/>
            </w:pPr>
            <w:r>
              <w:rPr>
                <w:b/>
                <w:bCs/>
                <w:i/>
                <w:iCs/>
              </w:rPr>
              <w:t xml:space="preserve">Discursiva/Sentença: </w:t>
            </w:r>
            <w:r>
              <w:t xml:space="preserve">requisitos para alteração de regime de bens (art. 1.639, §2º, do CC) e grau de exigência probatória.</w:t>
            </w:r>
          </w:p>
          <w:p>
            <w:pPr>
              <w:pStyle w:val="ListParagraph"/>
              <w:numPr>
                <w:ilvl w:val="0"/>
                <w:numId w:val="2"/>
              </w:numPr>
              <w:spacing w:after="100"/>
            </w:pPr>
            <w:r>
              <w:rPr>
                <w:b/>
                <w:bCs/>
                <w:i/>
                <w:iCs/>
              </w:rPr>
              <w:t xml:space="preserve">Oral: </w:t>
            </w:r>
            <w:r>
              <w:t xml:space="preserve">direito intertemporal CC/1916 x CC/2002 em matéria de regime de bens.</w:t>
            </w:r>
          </w:p>
          <w:p>
            <w:pPr>
              <w:spacing w:after="0"/>
            </w:pPr>
            <w:r>
              <w:rPr>
                <w:b/>
                <w:bCs/>
                <w:color w:val="A9762F"/>
              </w:rPr>
              <w:t xml:space="preserve">CONEXÕES: </w:t>
            </w:r>
            <w:r>
              <w:rPr>
                <w:i/>
                <w:iCs/>
              </w:rPr>
              <w:t xml:space="preserve">art. 1.639, §2º, do CC; REsp 1.904.498-SP (mesmo tema, dispensa de relação pormenorizada de bens — julgado em 04/05/2021, fora da janela de busca, citado apenas como pano de fundo doutrinário) [VERIFICAR — julgado fora do período coberto, não incluído como ficha própria].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Regime de separação obrigatória para maiores de 70 anos pode ser afastado por escritura pública — Tema 1236</w:t>
            </w:r>
          </w:p>
          <w:p>
            <w:pPr>
              <w:spacing w:after="40"/>
            </w:pPr>
            <w:r>
              <w:rPr>
                <w:b/>
                <w:bCs/>
                <w:color w:val="555555"/>
                <w:sz w:val="19"/>
                <w:szCs w:val="19"/>
              </w:rPr>
              <w:t xml:space="preserve">Tribunal: STF   |   Órgão: Plenário</w:t>
            </w:r>
          </w:p>
          <w:p>
            <w:pPr>
              <w:spacing w:after="40"/>
            </w:pPr>
            <w:r>
              <w:rPr>
                <w:color w:val="555555"/>
                <w:sz w:val="19"/>
                <w:szCs w:val="19"/>
              </w:rPr>
              <w:t xml:space="preserve">Processo: ARE 1.309.642/SP   |   Relator: Min. Luís Roberto Barroso   |   Data: 02/02/2024</w:t>
            </w:r>
          </w:p>
          <w:p>
            <w:pPr>
              <w:spacing w:after="100"/>
            </w:pPr>
            <w:r>
              <w:rPr>
                <w:i/>
                <w:iCs/>
                <w:color w:val="555555"/>
                <w:sz w:val="19"/>
                <w:szCs w:val="19"/>
              </w:rPr>
              <w:t xml:space="preserve">Sistemática: Repercussão Geral — Tema 1236</w:t>
            </w:r>
          </w:p>
          <w:p>
            <w:pPr>
              <w:spacing w:after="100"/>
            </w:pPr>
            <w:r>
              <w:rPr>
                <w:b/>
                <w:bCs/>
              </w:rPr>
              <w:t xml:space="preserve">TESE FIXADA / DECISÃO: </w:t>
            </w:r>
            <w:r>
              <w:t xml:space="preserve">"Nos casamentos e uniões estáveis envolvendo pessoa maior de 70 anos, o regime de separação de bens previsto no art. 1.641, II, do Código Civil, pode ser afastado por expressa manifestação de vontade das partes mediante escritura pública."</w:t>
            </w:r>
          </w:p>
          <w:p>
            <w:pPr>
              <w:spacing w:after="100"/>
            </w:pPr>
            <w:r>
              <w:rPr>
                <w:b/>
                <w:bCs/>
              </w:rPr>
              <w:t xml:space="preserve">RESUMO DO CASO: </w:t>
            </w:r>
            <w:r>
              <w:t xml:space="preserve">Fixação de tese vinculante sobre a possibilidade de as partes afastarem, por autonomia privada exercida em escritura pública, a imposição legal de separação obrigatória de bens para maiores de 70 anos, tanto no casamento quanto na união estável. Na ausência de escolha expressa, prevalece a separação obrigatória legal.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central e recorrente da FGV (separação obrigatória &gt;70 anos e possibilidade de afastamento) — altíssima probabilidade de cobrança literal.</w:t>
            </w:r>
          </w:p>
          <w:p>
            <w:pPr>
              <w:pStyle w:val="ListParagraph"/>
              <w:numPr>
                <w:ilvl w:val="0"/>
                <w:numId w:val="2"/>
              </w:numPr>
              <w:spacing w:after="40"/>
            </w:pPr>
            <w:r>
              <w:rPr>
                <w:b/>
                <w:bCs/>
                <w:i/>
                <w:iCs/>
              </w:rPr>
              <w:t xml:space="preserve">Discursiva/Sentença: </w:t>
            </w:r>
            <w:r>
              <w:t xml:space="preserve">minuta de escritura pública afastando o regime legal, ou parecer sobre sua validade.</w:t>
            </w:r>
          </w:p>
          <w:p>
            <w:pPr>
              <w:pStyle w:val="ListParagraph"/>
              <w:numPr>
                <w:ilvl w:val="0"/>
                <w:numId w:val="2"/>
              </w:numPr>
              <w:spacing w:after="100"/>
            </w:pPr>
            <w:r>
              <w:rPr>
                <w:b/>
                <w:bCs/>
                <w:i/>
                <w:iCs/>
              </w:rPr>
              <w:t xml:space="preserve">Oral: </w:t>
            </w:r>
            <w:r>
              <w:t xml:space="preserve">fundamento constitucional (autonomia privada, dignidade, vedação à discriminação por idade) da tese.</w:t>
            </w:r>
          </w:p>
          <w:p>
            <w:pPr>
              <w:spacing w:after="0"/>
            </w:pPr>
            <w:r>
              <w:rPr>
                <w:b/>
                <w:bCs/>
                <w:color w:val="A9762F"/>
              </w:rPr>
              <w:t xml:space="preserve">CONEXÕES: </w:t>
            </w:r>
            <w:r>
              <w:rPr>
                <w:i/>
                <w:iCs/>
              </w:rPr>
              <w:t xml:space="preserve">art. 1.641, II, do CC; Súmula 377-STF; Súmula 655-STJ; REsp 1.922.347-PR (pacto antenupcial ampliando a separação obrigatória).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Prêmio de loteria é bem comum mesmo em regime de separação legal obrigatória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2.097.324-SP   |   Relator: Min. Antonio Carlos Ferreira   |   Data: 24/09/2024</w:t>
            </w:r>
          </w:p>
          <w:p>
            <w:pPr>
              <w:spacing w:after="100"/>
            </w:pPr>
            <w:r>
              <w:rPr>
                <w:i/>
                <w:iCs/>
                <w:color w:val="555555"/>
                <w:sz w:val="19"/>
                <w:szCs w:val="19"/>
              </w:rPr>
              <w:t xml:space="preserve">Sistemática: Caso isolado (Info 827)</w:t>
            </w:r>
          </w:p>
          <w:p>
            <w:pPr>
              <w:spacing w:after="100"/>
            </w:pPr>
            <w:r>
              <w:rPr>
                <w:b/>
                <w:bCs/>
              </w:rPr>
              <w:t xml:space="preserve">TESE FIXADA / DECISÃO: </w:t>
            </w:r>
            <w:r>
              <w:t xml:space="preserve">O prêmio de loteria auferido por cônjuge casado sob separação legal obrigatória é bem adquirido por fato eventual (art. 1.660, II, do CC), constituindo patrimônio comum do casal e sujeito a partilha, independentemente de avaliação sobre esforço comum.</w:t>
            </w:r>
          </w:p>
          <w:p>
            <w:pPr>
              <w:spacing w:after="100"/>
            </w:pPr>
            <w:r>
              <w:rPr>
                <w:b/>
                <w:bCs/>
              </w:rPr>
              <w:t xml:space="preserve">RESUMO DO CASO: </w:t>
            </w:r>
            <w:r>
              <w:t xml:space="preserve">Casal, após longa união estável, casou-se já septuagenário (impondo separação obrigatória); meses depois, a esposa ganhou prêmio milionário na loteria; ele faleceu logo em seguida. No inventário, os filhos do falecido pleitearam a inclusão de parte do prêmio no patrimônio comum a partilhar. O STJ acolheu, por se tratar de bem adquirido por fato eventual, categoria que se comunica mesmo na separação legal, sem exigência de prova de esforço comum.</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hipótese excepcional de comunhão mesmo na separação obrigatória (fato eventual, art. 1.660, II) — tema FGV explícito ("partilha de prêmio de loteria mesmo em regime de separação obrigatória").</w:t>
            </w:r>
          </w:p>
          <w:p>
            <w:pPr>
              <w:pStyle w:val="ListParagraph"/>
              <w:numPr>
                <w:ilvl w:val="0"/>
                <w:numId w:val="2"/>
              </w:numPr>
              <w:spacing w:after="40"/>
            </w:pPr>
            <w:r>
              <w:rPr>
                <w:b/>
                <w:bCs/>
                <w:i/>
                <w:iCs/>
              </w:rPr>
              <w:t xml:space="preserve">Discursiva/Sentença: </w:t>
            </w:r>
            <w:r>
              <w:t xml:space="preserve">caso de inventário discutindo se prêmio de loteria integra a herança/patrimônio comum a partilhar.</w:t>
            </w:r>
          </w:p>
          <w:p>
            <w:pPr>
              <w:pStyle w:val="ListParagraph"/>
              <w:numPr>
                <w:ilvl w:val="0"/>
                <w:numId w:val="2"/>
              </w:numPr>
              <w:spacing w:after="100"/>
            </w:pPr>
            <w:r>
              <w:rPr>
                <w:b/>
                <w:bCs/>
                <w:i/>
                <w:iCs/>
              </w:rPr>
              <w:t xml:space="preserve">Oral: </w:t>
            </w:r>
            <w:r>
              <w:t xml:space="preserve">distinguir "fato eventual" de "esforço comum" como fundamentos de comunicabilidade.</w:t>
            </w:r>
          </w:p>
          <w:p>
            <w:pPr>
              <w:spacing w:after="0"/>
            </w:pPr>
            <w:r>
              <w:rPr>
                <w:b/>
                <w:bCs/>
                <w:color w:val="A9762F"/>
              </w:rPr>
              <w:t xml:space="preserve">CONEXÕES: </w:t>
            </w:r>
            <w:r>
              <w:rPr>
                <w:i/>
                <w:iCs/>
              </w:rPr>
              <w:t xml:space="preserve">art. 1.660, II, do CC; Súmula 377-STF; REsp 1.922.347-PR; Súmula 655-STJ.</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Imóvel doado por programa habitacional em nome de um cônjuge — comunicabilidade excepcional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2.204.798-TO   |   Relator: Min. Nancy Andrighi   |   Data: 10/06/2025</w:t>
            </w:r>
          </w:p>
          <w:p>
            <w:pPr>
              <w:spacing w:after="100"/>
            </w:pPr>
            <w:r>
              <w:rPr>
                <w:i/>
                <w:iCs/>
                <w:color w:val="555555"/>
                <w:sz w:val="19"/>
                <w:szCs w:val="19"/>
              </w:rPr>
              <w:t xml:space="preserve">Sistemática: Caso isolado (Info 26 — Edição Extraordinária)</w:t>
            </w:r>
          </w:p>
          <w:p>
            <w:pPr>
              <w:spacing w:after="100"/>
            </w:pPr>
            <w:r>
              <w:rPr>
                <w:b/>
                <w:bCs/>
              </w:rPr>
              <w:t xml:space="preserve">TESE FIXADA / DECISÃO: </w:t>
            </w:r>
            <w:r>
              <w:t xml:space="preserve">O imóvel doado pelo Poder Público em programa habitacional, ainda que escriturado em nome de apenas um dos cônjuges, comunica-se na partilha (comunhão parcial), por se destinar à entidade familiar, excetuando-se a regra geral do art. 1.659, I, do CC (doações exclusivas não comunicáveis).</w:t>
            </w:r>
          </w:p>
          <w:p>
            <w:pPr>
              <w:spacing w:after="100"/>
            </w:pPr>
            <w:r>
              <w:rPr>
                <w:b/>
                <w:bCs/>
              </w:rPr>
              <w:t xml:space="preserve">RESUMO DO CASO: </w:t>
            </w:r>
            <w:r>
              <w:t xml:space="preserve">Imóvel concedido por política pública habitacional, considerando renda familiar e número de dependentes, foi registrado em nome de apenas um cônjuge. No divórcio, discutiu-se se seria doação exclusiva (incomunicável, art. 1.659, I) ou bem comum. O STJ reconheceu o esforço comum implícito no critério de concessão do benefício e determinou a partilha.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exceção à regra de incomunicabilidade das doações exclusivas (art. 1.659, I) — pegadinha.</w:t>
            </w:r>
          </w:p>
          <w:p>
            <w:pPr>
              <w:pStyle w:val="ListParagraph"/>
              <w:numPr>
                <w:ilvl w:val="0"/>
                <w:numId w:val="2"/>
              </w:numPr>
              <w:spacing w:after="40"/>
            </w:pPr>
            <w:r>
              <w:rPr>
                <w:b/>
                <w:bCs/>
                <w:i/>
                <w:iCs/>
              </w:rPr>
              <w:t xml:space="preserve">Discursiva/Sentença: </w:t>
            </w:r>
            <w:r>
              <w:t xml:space="preserve">parecer sobre partilha de bem oriundo de programa habitacional.</w:t>
            </w:r>
          </w:p>
          <w:p>
            <w:pPr>
              <w:pStyle w:val="ListParagraph"/>
              <w:numPr>
                <w:ilvl w:val="0"/>
                <w:numId w:val="2"/>
              </w:numPr>
              <w:spacing w:after="100"/>
            </w:pPr>
            <w:r>
              <w:rPr>
                <w:b/>
                <w:bCs/>
                <w:i/>
                <w:iCs/>
              </w:rPr>
              <w:t xml:space="preserve">Oral: </w:t>
            </w:r>
            <w:r>
              <w:t xml:space="preserve">fundamento social (direito à moradia da família) da exceção.</w:t>
            </w:r>
          </w:p>
          <w:p>
            <w:pPr>
              <w:spacing w:after="0"/>
            </w:pPr>
            <w:r>
              <w:rPr>
                <w:b/>
                <w:bCs/>
                <w:color w:val="A9762F"/>
              </w:rPr>
              <w:t xml:space="preserve">CONEXÕES: </w:t>
            </w:r>
            <w:r>
              <w:rPr>
                <w:i/>
                <w:iCs/>
              </w:rPr>
              <w:t xml:space="preserve">art. 1.659, I, do CC; REsp 2.126.992-DF (presunção de comunhão da construção).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Aluguel por uso exclusivo de imóvel comum é indevido em contexto de violência doméstica e cuidado dos filhos</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2.166.825-SC   |   Relator: Min. Nancy Andrighi   |   Data: 03/06/2025</w:t>
            </w:r>
          </w:p>
          <w:p>
            <w:pPr>
              <w:spacing w:after="100"/>
            </w:pPr>
            <w:r>
              <w:rPr>
                <w:i/>
                <w:iCs/>
                <w:color w:val="555555"/>
                <w:sz w:val="19"/>
                <w:szCs w:val="19"/>
              </w:rPr>
              <w:t xml:space="preserve">Sistemática: Caso isolado (Info 858)</w:t>
            </w:r>
          </w:p>
          <w:p>
            <w:pPr>
              <w:spacing w:after="100"/>
            </w:pPr>
            <w:r>
              <w:rPr>
                <w:b/>
                <w:bCs/>
              </w:rPr>
              <w:t xml:space="preserve">TESE FIXADA / DECISÃO: </w:t>
            </w:r>
            <w:r>
              <w:t xml:space="preserve">É indevido o arbitramento de aluguel à ex-cônjuge/ex-companheira que, amparada por medida protetiva decorrente de violência doméstica, permanece na posse exclusiva do imóvel comum com os filhos, por não configurar enriquecimento sem causa.</w:t>
            </w:r>
          </w:p>
          <w:p>
            <w:pPr>
              <w:spacing w:after="100"/>
            </w:pPr>
            <w:r>
              <w:rPr>
                <w:b/>
                <w:bCs/>
              </w:rPr>
              <w:t xml:space="preserve">RESUMO DO CASO: </w:t>
            </w:r>
            <w:r>
              <w:t xml:space="preserve">Após separação motivada por violência doméstica e concessão de medida protetiva de afastamento do agressor, a ex-esposa permaneceu no imóvel comum com o filho menor. Discutia-se se deveria pagar aluguel proporcional ao ex-marido coproprietário. O STJ negou, por reconhecer uso compartilhado com a prole e a vulnerabilidade socioeconômica da mulher.</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hipótese excepcional de não arbitramento de aluguel por uso exclusivo de bem comum — tema de alta atualidade, com viés de gênero.</w:t>
            </w:r>
          </w:p>
          <w:p>
            <w:pPr>
              <w:pStyle w:val="ListParagraph"/>
              <w:numPr>
                <w:ilvl w:val="0"/>
                <w:numId w:val="2"/>
              </w:numPr>
              <w:spacing w:after="40"/>
            </w:pPr>
            <w:r>
              <w:rPr>
                <w:b/>
                <w:bCs/>
                <w:i/>
                <w:iCs/>
              </w:rPr>
              <w:t xml:space="preserve">Discursiva/Sentença: </w:t>
            </w:r>
            <w:r>
              <w:t xml:space="preserve">sentença de partilha considerando o contexto de violência doméstica.</w:t>
            </w:r>
          </w:p>
          <w:p>
            <w:pPr>
              <w:pStyle w:val="ListParagraph"/>
              <w:numPr>
                <w:ilvl w:val="0"/>
                <w:numId w:val="2"/>
              </w:numPr>
              <w:spacing w:after="100"/>
            </w:pPr>
            <w:r>
              <w:rPr>
                <w:b/>
                <w:bCs/>
                <w:i/>
                <w:iCs/>
              </w:rPr>
              <w:t xml:space="preserve">Oral: </w:t>
            </w:r>
            <w:r>
              <w:t xml:space="preserve">interseção entre Direito de Família patrimonial e a Lei Maria da Penha.</w:t>
            </w:r>
          </w:p>
          <w:p>
            <w:pPr>
              <w:spacing w:after="0"/>
            </w:pPr>
            <w:r>
              <w:rPr>
                <w:b/>
                <w:bCs/>
                <w:color w:val="A9762F"/>
              </w:rPr>
              <w:t xml:space="preserve">CONEXÕES: </w:t>
            </w:r>
            <w:r>
              <w:rPr>
                <w:i/>
                <w:iCs/>
              </w:rPr>
              <w:t xml:space="preserve">Lei Maria da Penha (art. 14-A); regra geral de arbitramento de aluguel por uso exclusivo de bem comum em condomínio pós-divórcio.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Partilha de bens é direito potestativo, não sujeito a prescrição ou decadência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1.817.812-SP   |   Relator: Min. Marco Buzzi   |   Data: 03/09/2024</w:t>
            </w:r>
          </w:p>
          <w:p>
            <w:pPr>
              <w:spacing w:after="100"/>
            </w:pPr>
            <w:r>
              <w:rPr>
                <w:i/>
                <w:iCs/>
                <w:color w:val="555555"/>
                <w:sz w:val="19"/>
                <w:szCs w:val="19"/>
              </w:rPr>
              <w:t xml:space="preserve">Sistemática: Caso isolado (Info 824)</w:t>
            </w:r>
          </w:p>
          <w:p>
            <w:pPr>
              <w:spacing w:after="100"/>
            </w:pPr>
            <w:r>
              <w:rPr>
                <w:b/>
                <w:bCs/>
              </w:rPr>
              <w:t xml:space="preserve">TESE FIXADA / DECISÃO: </w:t>
            </w:r>
            <w:r>
              <w:t xml:space="preserve">A partilha de bens constitui direito potestativo dos ex-cônjuges, não se sujeitando a prazo prescricional nem decadencial, podendo ser exercida a qualquer tempo, independentemente da vontade do outro cônjuge.</w:t>
            </w:r>
          </w:p>
          <w:p>
            <w:pPr>
              <w:spacing w:after="100"/>
            </w:pPr>
            <w:r>
              <w:rPr>
                <w:b/>
                <w:bCs/>
              </w:rPr>
              <w:t xml:space="preserve">RESUMO DO CASO: </w:t>
            </w:r>
            <w:r>
              <w:t xml:space="preserve">Discutiu-se eventual prescrição/decadência da pretensão de partilhar bens não partilhados por ocasião do divórcio. O STJ reafirmou a natureza potestativa da partilha (poder de dissolver a universalidade de bens), afastando qualquer prazo extintivo.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distinção entre direitos potestativos (sem prazo, salvo decadência legal expressa) e direitos a prestação (sujeitos a prescrição), aplicada à partilha.</w:t>
            </w:r>
          </w:p>
          <w:p>
            <w:pPr>
              <w:pStyle w:val="ListParagraph"/>
              <w:numPr>
                <w:ilvl w:val="0"/>
                <w:numId w:val="2"/>
              </w:numPr>
              <w:spacing w:after="40"/>
            </w:pPr>
            <w:r>
              <w:rPr>
                <w:b/>
                <w:bCs/>
                <w:i/>
                <w:iCs/>
              </w:rPr>
              <w:t xml:space="preserve">Discursiva/Sentença: </w:t>
            </w:r>
            <w:r>
              <w:t xml:space="preserve">caso de partilha ajuizada anos após o divórcio — analisar eventual prescrição.</w:t>
            </w:r>
          </w:p>
          <w:p>
            <w:pPr>
              <w:pStyle w:val="ListParagraph"/>
              <w:numPr>
                <w:ilvl w:val="0"/>
                <w:numId w:val="2"/>
              </w:numPr>
              <w:spacing w:after="100"/>
            </w:pPr>
            <w:r>
              <w:rPr>
                <w:b/>
                <w:bCs/>
                <w:i/>
                <w:iCs/>
              </w:rPr>
              <w:t xml:space="preserve">Oral: </w:t>
            </w:r>
            <w:r>
              <w:t xml:space="preserve">conceito de direito potestativo e ausência de pretensão exigível.</w:t>
            </w:r>
          </w:p>
          <w:p>
            <w:pPr>
              <w:spacing w:after="0"/>
            </w:pPr>
            <w:r>
              <w:rPr>
                <w:b/>
                <w:bCs/>
                <w:color w:val="A9762F"/>
              </w:rPr>
              <w:t xml:space="preserve">CONEXÕES: </w:t>
            </w:r>
            <w:r>
              <w:rPr>
                <w:i/>
                <w:iCs/>
              </w:rPr>
              <w:t xml:space="preserve">REsp 2.206.085-RJ (forma da partilha); art. 1.581 do CC (divórcio sem prévia partilha).</w:t>
            </w:r>
          </w:p>
        </w:tc>
      </w:tr>
    </w:tbl>
    <w:p>
      <w:pPr>
        <w:spacing w:after="160"/>
      </w:pPr>
    </w:p>
    <w:p>
      <w:pPr>
        <w:pStyle w:val="Heading2"/>
        <w:spacing w:after="160" w:before="200"/>
      </w:pPr>
      <w:r>
        <w:rPr>
          <w:color w:val="A9762F"/>
        </w:rPr>
        <w:t xml:space="preserve">UNIÃO ESTÁVEL (incluindo homoafetiva)</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Relativização da publicidade para reconhecimento de união estável homoafetiva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2.203.770-GO   |   Relator: Min. Nancy Andrighi   |   Data: 04/11/2025</w:t>
            </w:r>
          </w:p>
          <w:p>
            <w:pPr>
              <w:spacing w:after="100"/>
            </w:pPr>
            <w:r>
              <w:rPr>
                <w:i/>
                <w:iCs/>
                <w:color w:val="555555"/>
                <w:sz w:val="19"/>
                <w:szCs w:val="19"/>
              </w:rPr>
              <w:t xml:space="preserve">Sistemática: Caso isolado (Info 873)</w:t>
            </w:r>
          </w:p>
          <w:p>
            <w:pPr>
              <w:spacing w:after="100"/>
            </w:pPr>
            <w:r>
              <w:rPr>
                <w:b/>
                <w:bCs/>
              </w:rPr>
              <w:t xml:space="preserve">TESE FIXADA / DECISÃO: </w:t>
            </w:r>
            <w:r>
              <w:t xml:space="preserve">O requisito da publicidade (art. 1.723 do CC) para reconhecimento de união estável homoafetiva pode ser relativizado à luz da isonomia, dignidade, liberdade sexual e intimidade, sobretudo em uniões antigas marcadas por discrição decorrente de preconceito social; publicidade não se confunde com exposição pública ampla, bastando ausência de clandestinidade.</w:t>
            </w:r>
          </w:p>
          <w:p>
            <w:pPr>
              <w:spacing w:after="100"/>
            </w:pPr>
            <w:r>
              <w:rPr>
                <w:b/>
                <w:bCs/>
              </w:rPr>
              <w:t xml:space="preserve">RESUMO DO CASO: </w:t>
            </w:r>
            <w:r>
              <w:t xml:space="preserve">Casal de mulheres viveu junto por mais de 30 anos, mantendo relacionamento discreto por preconceito das décadas de 1980–1990. Após a morte de uma delas, sem herdeiros necessários, a companheira sobrevivente pediu reconhecimento de união estável post mortem; parentes colaterais alegaram ausência de publicidade. O STJ reconheceu a união, relativizando a publicidade dado o contexto histórico-social.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FGV explícito — "publicidade como requisito e sua relativização em uniões homoafetivas antigas".</w:t>
            </w:r>
          </w:p>
          <w:p>
            <w:pPr>
              <w:pStyle w:val="ListParagraph"/>
              <w:numPr>
                <w:ilvl w:val="0"/>
                <w:numId w:val="2"/>
              </w:numPr>
              <w:spacing w:after="40"/>
            </w:pPr>
            <w:r>
              <w:rPr>
                <w:b/>
                <w:bCs/>
                <w:i/>
                <w:iCs/>
              </w:rPr>
              <w:t xml:space="preserve">Discursiva/Sentença: </w:t>
            </w:r>
            <w:r>
              <w:t xml:space="preserve">sentença reconhecendo união estável homoafetiva post mortem com discrição justificada pelo contexto social.</w:t>
            </w:r>
          </w:p>
          <w:p>
            <w:pPr>
              <w:pStyle w:val="ListParagraph"/>
              <w:numPr>
                <w:ilvl w:val="0"/>
                <w:numId w:val="2"/>
              </w:numPr>
              <w:spacing w:after="100"/>
            </w:pPr>
            <w:r>
              <w:rPr>
                <w:b/>
                <w:bCs/>
                <w:i/>
                <w:iCs/>
              </w:rPr>
              <w:t xml:space="preserve">Oral: </w:t>
            </w:r>
            <w:r>
              <w:t xml:space="preserve">requisitos do art. 1.723 do CC e sua leitura à luz de direitos fundamentais.</w:t>
            </w:r>
          </w:p>
          <w:p>
            <w:pPr>
              <w:spacing w:after="0"/>
            </w:pPr>
            <w:r>
              <w:rPr>
                <w:b/>
                <w:bCs/>
                <w:color w:val="A9762F"/>
              </w:rPr>
              <w:t xml:space="preserve">CONEXÕES: </w:t>
            </w:r>
            <w:r>
              <w:rPr>
                <w:i/>
                <w:iCs/>
              </w:rPr>
              <w:t xml:space="preserve">art. 1.723 do CC; REsp 1.791.674-MG (legitimidade de herdeiro para ação de reconhecimento post mortem); ADPF 132/ADI 4277-STF (reconhecimento da união homoafetiva).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Partilha excepcional em união estável sob separação convencional, comprovado esforço comum</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2.219.797-DF   |   Relator: Min. Ricardo Villas Bôas Cueva   |   Data: 09/09/2025</w:t>
            </w:r>
          </w:p>
          <w:p>
            <w:pPr>
              <w:spacing w:after="100"/>
            </w:pPr>
            <w:r>
              <w:rPr>
                <w:i/>
                <w:iCs/>
                <w:color w:val="555555"/>
                <w:sz w:val="19"/>
                <w:szCs w:val="19"/>
              </w:rPr>
              <w:t xml:space="preserve">Sistemática: Caso isolado (Info 29 — Edição Extraordinária)</w:t>
            </w:r>
          </w:p>
          <w:p>
            <w:pPr>
              <w:spacing w:after="100"/>
            </w:pPr>
            <w:r>
              <w:rPr>
                <w:b/>
                <w:bCs/>
              </w:rPr>
              <w:t xml:space="preserve">TESE FIXADA / DECISÃO: </w:t>
            </w:r>
            <w:r>
              <w:t xml:space="preserve">No regime de separação convencional de bens da união estável, não há, em regra, partilha (nem sociedade de fato); excepcionalmente, é possível a partilha proporcional de bens adquiridos conjuntamente, desde que comprovado o esforço comum, para evitar enriquecimento sem causa. A Súmula 377-STF não se aplica à separação convencional (fica restrita à obrigatória).</w:t>
            </w:r>
          </w:p>
          <w:p>
            <w:pPr>
              <w:spacing w:after="100"/>
            </w:pPr>
            <w:r>
              <w:rPr>
                <w:b/>
                <w:bCs/>
              </w:rPr>
              <w:t xml:space="preserve">RESUMO DO CASO: </w:t>
            </w:r>
            <w:r>
              <w:t xml:space="preserve">Casal em união estável escolheu, por escritura pública, separação convencional de bens; ao longo da convivência, adquiriram imóveis registrados só em nome do companheiro, mas a companheira comprovou contribuição financeira relevante. Ao fim da união, ela pleiteou partilha proporcional; ele invocou a autonomia do regime escolhido. O STJ deu razão a ela, por comprovado esforço comum.</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separação convencional (Súmula 377 NÃO se aplica) de separação obrigatória (Súmula 377 se aplica) — tema FGV explícito.</w:t>
            </w:r>
          </w:p>
          <w:p>
            <w:pPr>
              <w:pStyle w:val="ListParagraph"/>
              <w:numPr>
                <w:ilvl w:val="0"/>
                <w:numId w:val="2"/>
              </w:numPr>
              <w:spacing w:after="40"/>
            </w:pPr>
            <w:r>
              <w:rPr>
                <w:b/>
                <w:bCs/>
                <w:i/>
                <w:iCs/>
              </w:rPr>
              <w:t xml:space="preserve">Discursiva/Sentença: </w:t>
            </w:r>
            <w:r>
              <w:t xml:space="preserve">caso de partilha em união estável com regime de separação convencional pactuado.</w:t>
            </w:r>
          </w:p>
          <w:p>
            <w:pPr>
              <w:pStyle w:val="ListParagraph"/>
              <w:numPr>
                <w:ilvl w:val="0"/>
                <w:numId w:val="2"/>
              </w:numPr>
              <w:spacing w:after="100"/>
            </w:pPr>
            <w:r>
              <w:rPr>
                <w:b/>
                <w:bCs/>
                <w:i/>
                <w:iCs/>
              </w:rPr>
              <w:t xml:space="preserve">Oral: </w:t>
            </w:r>
            <w:r>
              <w:t xml:space="preserve">fundamento do esforço comum como exceção à autonomia do regime pactuado.</w:t>
            </w:r>
          </w:p>
          <w:p>
            <w:pPr>
              <w:spacing w:after="0"/>
            </w:pPr>
            <w:r>
              <w:rPr>
                <w:b/>
                <w:bCs/>
                <w:color w:val="A9762F"/>
              </w:rPr>
              <w:t xml:space="preserve">CONEXÕES: </w:t>
            </w:r>
            <w:r>
              <w:rPr>
                <w:i/>
                <w:iCs/>
              </w:rPr>
              <w:t xml:space="preserve">tema FGV "Súmula 377 do STF... e sua NÃO aplicação à separação convencional"; contrato de convivência; REsp 1.852.363-SP (presunção de comunhão em união estável).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Súmula 655-STJ — regime de separação obrigatória na união estável de septuagenário</w:t>
            </w:r>
          </w:p>
          <w:p>
            <w:pPr>
              <w:spacing w:after="40"/>
            </w:pPr>
            <w:r>
              <w:rPr>
                <w:b/>
                <w:bCs/>
                <w:color w:val="555555"/>
                <w:sz w:val="19"/>
                <w:szCs w:val="19"/>
              </w:rPr>
              <w:t xml:space="preserve">Tribunal: STJ   |   Órgão: 2ª Seção</w:t>
            </w:r>
          </w:p>
          <w:p>
            <w:pPr>
              <w:spacing w:after="40"/>
            </w:pPr>
            <w:r>
              <w:rPr>
                <w:color w:val="555555"/>
                <w:sz w:val="19"/>
                <w:szCs w:val="19"/>
              </w:rPr>
              <w:t xml:space="preserve">Processo: Súmula 655-STJ   |   Relator: [VERIFICAR — não informado na página]   |   Data: aprovada em 09/11/2022</w:t>
            </w:r>
          </w:p>
          <w:p>
            <w:pPr>
              <w:spacing w:after="100"/>
            </w:pPr>
            <w:r>
              <w:rPr>
                <w:i/>
                <w:iCs/>
                <w:color w:val="555555"/>
                <w:sz w:val="19"/>
                <w:szCs w:val="19"/>
              </w:rPr>
              <w:t xml:space="preserve">Sistemática: Enunciado sumular (consolidação de jurisprudência)</w:t>
            </w:r>
          </w:p>
          <w:p>
            <w:pPr>
              <w:spacing w:after="100"/>
            </w:pPr>
            <w:r>
              <w:rPr>
                <w:b/>
                <w:bCs/>
              </w:rPr>
              <w:t xml:space="preserve">TESE FIXADA / DECISÃO: </w:t>
            </w:r>
            <w:r>
              <w:t xml:space="preserve">"Aplica-se à união estável contraída por septuagenário o regime da separação obrigatória de bens, comunicando-se os adquiridos na constância, quando comprovado o esforço comum."</w:t>
            </w:r>
          </w:p>
          <w:p>
            <w:pPr>
              <w:spacing w:after="100"/>
            </w:pPr>
            <w:r>
              <w:rPr>
                <w:b/>
                <w:bCs/>
              </w:rPr>
              <w:t xml:space="preserve">RESUMO DO CASO: </w:t>
            </w:r>
            <w:r>
              <w:t xml:space="preserve">Consolidação do entendimento de que a limitação do art. 1.641, II, do CC (separação obrigatória para maiores de 70 anos) se estende à união estável, com a ressalva da comunicação dos bens adquiridos durante a convivência quando demonstrado esforço comum (aplicação da lógica da Súmula 377-STF).</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cobrança literal do enunciado — altíssima probabilidade.</w:t>
            </w:r>
          </w:p>
          <w:p>
            <w:pPr>
              <w:pStyle w:val="ListParagraph"/>
              <w:numPr>
                <w:ilvl w:val="0"/>
                <w:numId w:val="2"/>
              </w:numPr>
              <w:spacing w:after="40"/>
            </w:pPr>
            <w:r>
              <w:rPr>
                <w:b/>
                <w:bCs/>
                <w:i/>
                <w:iCs/>
              </w:rPr>
              <w:t xml:space="preserve">Discursiva/Sentença: </w:t>
            </w:r>
            <w:r>
              <w:t xml:space="preserve">parecer sobre regime patrimonial de união estável envolvendo idosos.</w:t>
            </w:r>
          </w:p>
          <w:p>
            <w:pPr>
              <w:pStyle w:val="ListParagraph"/>
              <w:numPr>
                <w:ilvl w:val="0"/>
                <w:numId w:val="2"/>
              </w:numPr>
              <w:spacing w:after="100"/>
            </w:pPr>
            <w:r>
              <w:rPr>
                <w:b/>
                <w:bCs/>
                <w:i/>
                <w:iCs/>
              </w:rPr>
              <w:t xml:space="preserve">Oral: </w:t>
            </w:r>
            <w:r>
              <w:t xml:space="preserve">leitura conjunta da Súmula 655-STJ com a Súmula 377-STF e com o Tema 1236-STF.</w:t>
            </w:r>
          </w:p>
          <w:p>
            <w:pPr>
              <w:spacing w:after="0"/>
            </w:pPr>
            <w:r>
              <w:rPr>
                <w:b/>
                <w:bCs/>
                <w:color w:val="A9762F"/>
              </w:rPr>
              <w:t xml:space="preserve">CONEXÕES: </w:t>
            </w:r>
            <w:r>
              <w:rPr>
                <w:i/>
                <w:iCs/>
              </w:rPr>
              <w:t xml:space="preserve">Súmula 377-STF; art. 1.641, II, do CC; ARE 1.309.642/SP (Tema 1236); REsp 1.922.347-PR.</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Efeitos ex nunc da eleição de regime de bens por contrato de convivência (união estável)</w:t>
            </w:r>
          </w:p>
          <w:p>
            <w:pPr>
              <w:spacing w:after="40"/>
            </w:pPr>
            <w:r>
              <w:rPr>
                <w:b/>
                <w:bCs/>
                <w:color w:val="555555"/>
                <w:sz w:val="19"/>
                <w:szCs w:val="19"/>
              </w:rPr>
              <w:t xml:space="preserve">Tribunal: STJ   |   Órgão: 4ª Turma</w:t>
            </w:r>
          </w:p>
          <w:p>
            <w:pPr>
              <w:spacing w:after="40"/>
            </w:pPr>
            <w:r>
              <w:rPr>
                <w:color w:val="555555"/>
                <w:sz w:val="19"/>
                <w:szCs w:val="19"/>
              </w:rPr>
              <w:t xml:space="preserve">Processo: AREsp 1.631.112-MT   |   Relator: Min. Antonio Carlos Ferreira   |   Data: 26/10/2021</w:t>
            </w:r>
          </w:p>
          <w:p>
            <w:pPr>
              <w:spacing w:after="100"/>
            </w:pPr>
            <w:r>
              <w:rPr>
                <w:i/>
                <w:iCs/>
                <w:color w:val="555555"/>
                <w:sz w:val="19"/>
                <w:szCs w:val="19"/>
              </w:rPr>
              <w:t xml:space="preserve">Sistemática: Caso isolado (Info 715)</w:t>
            </w:r>
          </w:p>
          <w:p>
            <w:pPr>
              <w:spacing w:after="100"/>
            </w:pPr>
            <w:r>
              <w:rPr>
                <w:b/>
                <w:bCs/>
              </w:rPr>
              <w:t xml:space="preserve">TESE FIXADA / DECISÃO: </w:t>
            </w:r>
            <w:r>
              <w:t xml:space="preserve">A escolha do regime de bens da união estável por contrato escrito produz, como regra, efeitos ex nunc (para frente); é inválida cláusula que estabeleça retroatividade dos efeitos patrimoniais, salvo expressa autorização judicial (art. 1.639, §2º, do CC).</w:t>
            </w:r>
          </w:p>
          <w:p>
            <w:pPr>
              <w:spacing w:after="100"/>
            </w:pPr>
            <w:r>
              <w:rPr>
                <w:b/>
                <w:bCs/>
              </w:rPr>
              <w:t xml:space="preserve">RESUMO DO CASO: </w:t>
            </w:r>
            <w:r>
              <w:t xml:space="preserve">Discutiu-se contrato de convivência que pretendia dar efeitos retroativos à escolha do regime de bens da união estável. O STJ afirmou a regra da irretroatividade, ressalvando a possibilidade de retroação mediante autorização judicial expressa.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FGV "contrato de convivência" combinado com "alteração superveniente do regime de bens (eficácia ex nunc)".</w:t>
            </w:r>
          </w:p>
          <w:p>
            <w:pPr>
              <w:pStyle w:val="ListParagraph"/>
              <w:numPr>
                <w:ilvl w:val="0"/>
                <w:numId w:val="2"/>
              </w:numPr>
              <w:spacing w:after="40"/>
            </w:pPr>
            <w:r>
              <w:rPr>
                <w:b/>
                <w:bCs/>
                <w:i/>
                <w:iCs/>
              </w:rPr>
              <w:t xml:space="preserve">Discursiva/Sentença: </w:t>
            </w:r>
            <w:r>
              <w:t xml:space="preserve">análise de cláusula de retroatividade em contrato de convivência.</w:t>
            </w:r>
          </w:p>
          <w:p>
            <w:pPr>
              <w:pStyle w:val="ListParagraph"/>
              <w:numPr>
                <w:ilvl w:val="0"/>
                <w:numId w:val="2"/>
              </w:numPr>
              <w:spacing w:after="100"/>
            </w:pPr>
            <w:r>
              <w:rPr>
                <w:b/>
                <w:bCs/>
                <w:i/>
                <w:iCs/>
              </w:rPr>
              <w:t xml:space="preserve">Oral: </w:t>
            </w:r>
            <w:r>
              <w:t xml:space="preserve">paralelo com a alteração do regime de bens no casamento (mesma lógica ex nunc).</w:t>
            </w:r>
          </w:p>
          <w:p>
            <w:pPr>
              <w:spacing w:after="0"/>
            </w:pPr>
            <w:r>
              <w:rPr>
                <w:b/>
                <w:bCs/>
                <w:color w:val="A9762F"/>
              </w:rPr>
              <w:t xml:space="preserve">CONEXÕES: </w:t>
            </w:r>
            <w:r>
              <w:rPr>
                <w:i/>
                <w:iCs/>
              </w:rPr>
              <w:t xml:space="preserve">art. 1.639, §2º, do CC; REsp 1.671.422/SP (mesma lógica no casamento).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Presunção de comunhão de bens na união estável mesmo com percentuais diferentes na escritura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1.852.363-SP   |   Relator: Min. Humberto Martins   |   Data: 03/06/2025</w:t>
            </w:r>
          </w:p>
          <w:p>
            <w:pPr>
              <w:spacing w:after="100"/>
            </w:pPr>
            <w:r>
              <w:rPr>
                <w:i/>
                <w:iCs/>
                <w:color w:val="555555"/>
                <w:sz w:val="19"/>
                <w:szCs w:val="19"/>
              </w:rPr>
              <w:t xml:space="preserve">Sistemática: Caso isolado (Info 26 — Edição Extraordinária)</w:t>
            </w:r>
          </w:p>
          <w:p>
            <w:pPr>
              <w:spacing w:after="100"/>
            </w:pPr>
            <w:r>
              <w:rPr>
                <w:b/>
                <w:bCs/>
              </w:rPr>
              <w:t xml:space="preserve">TESE FIXADA / DECISÃO: </w:t>
            </w:r>
            <w:r>
              <w:t xml:space="preserve">A presunção de comunicabilidade dos bens adquiridos onerosamente na constância da união estável só pode ser afastada por contrato escrito estipulando regime de bens diverso da comunhão parcial; a simples declaração de percentuais distintos de copropriedade em escritura pública de compra e venda não afasta essa presunção.</w:t>
            </w:r>
          </w:p>
          <w:p>
            <w:pPr>
              <w:spacing w:after="100"/>
            </w:pPr>
            <w:r>
              <w:rPr>
                <w:b/>
                <w:bCs/>
              </w:rPr>
              <w:t xml:space="preserve">RESUMO DO CASO: </w:t>
            </w:r>
            <w:r>
              <w:t xml:space="preserve">Casal em união estável de dez anos adquiriu imóvel em conjunto; a escritura registrou 70%/30% de propriedade, sob alegação de uma das partes de ter usado recursos de herança. Terminada a união, a outra parte pleiteou partilha igualitária. O STJ acolheu, por entender que só um contrato de convivência (não uma simples cláusula na escritura de compra e venda) pode afastar a presunção legal de comunhão.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FGV explícito — "presunção de comunhão dos bens adquiridos onerosamente durante a convivência (mesmo com percentuais diferentes na escritura)".</w:t>
            </w:r>
          </w:p>
          <w:p>
            <w:pPr>
              <w:pStyle w:val="ListParagraph"/>
              <w:numPr>
                <w:ilvl w:val="0"/>
                <w:numId w:val="2"/>
              </w:numPr>
              <w:spacing w:after="40"/>
            </w:pPr>
            <w:r>
              <w:rPr>
                <w:b/>
                <w:bCs/>
                <w:i/>
                <w:iCs/>
              </w:rPr>
              <w:t xml:space="preserve">Discursiva/Sentença: </w:t>
            </w:r>
            <w:r>
              <w:t xml:space="preserve">caso de partilha discutindo a eficácia de cláusula de percentual desigual sem contrato de convivência.</w:t>
            </w:r>
          </w:p>
          <w:p>
            <w:pPr>
              <w:pStyle w:val="ListParagraph"/>
              <w:numPr>
                <w:ilvl w:val="0"/>
                <w:numId w:val="2"/>
              </w:numPr>
              <w:spacing w:after="100"/>
            </w:pPr>
            <w:r>
              <w:rPr>
                <w:b/>
                <w:bCs/>
                <w:i/>
                <w:iCs/>
              </w:rPr>
              <w:t xml:space="preserve">Oral: </w:t>
            </w:r>
            <w:r>
              <w:t xml:space="preserve">qual o instrumento idôneo para afastar a presunção de comunhão (contrato de convivência formal).</w:t>
            </w:r>
          </w:p>
          <w:p>
            <w:pPr>
              <w:spacing w:after="0"/>
            </w:pPr>
            <w:r>
              <w:rPr>
                <w:b/>
                <w:bCs/>
                <w:color w:val="A9762F"/>
              </w:rPr>
              <w:t xml:space="preserve">CONEXÕES: </w:t>
            </w:r>
            <w:r>
              <w:rPr>
                <w:i/>
                <w:iCs/>
              </w:rPr>
              <w:t xml:space="preserve">art. 1.725 do CC; REsp 2.219.797-DF; AREsp 1.631.112-MT (contrato de convivência).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Dívida do FIES tem natureza personalíssima e não é partilhável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2.062.166-RS   |   Relator: Min. Nancy Andrighi   |   Data: 05/11/2024</w:t>
            </w:r>
          </w:p>
          <w:p>
            <w:pPr>
              <w:spacing w:after="100"/>
            </w:pPr>
            <w:r>
              <w:rPr>
                <w:i/>
                <w:iCs/>
                <w:color w:val="555555"/>
                <w:sz w:val="19"/>
                <w:szCs w:val="19"/>
              </w:rPr>
              <w:t xml:space="preserve">Sistemática: Caso isolado (Info 23 — Edição Extraordinária)</w:t>
            </w:r>
          </w:p>
          <w:p>
            <w:pPr>
              <w:spacing w:after="100"/>
            </w:pPr>
            <w:r>
              <w:rPr>
                <w:b/>
                <w:bCs/>
              </w:rPr>
              <w:t xml:space="preserve">TESE FIXADA / DECISÃO: </w:t>
            </w:r>
            <w:r>
              <w:t xml:space="preserve">A dívida oriunda de financiamento estudantil (FIES) contraída por um dos companheiros possui natureza personalíssima e não deve ser partilhada na dissolução da união estável, pois o conhecimento adquirido não é bem partilhável, gerando apenas expectativa futura e incerta de retorno.</w:t>
            </w:r>
          </w:p>
          <w:p>
            <w:pPr>
              <w:spacing w:after="100"/>
            </w:pPr>
            <w:r>
              <w:rPr>
                <w:b/>
                <w:bCs/>
              </w:rPr>
              <w:t xml:space="preserve">RESUMO DO CASO: </w:t>
            </w:r>
            <w:r>
              <w:t xml:space="preserve">Um dos companheiros contraiu FIES durante a união estável para custear seus próprios estudos. Ao fim da união, pretendia que a ex-companheira arcasse com metade do saldo devedor. O STJ negou, por se tratar de obrigação/benefício personalíssimo, não comunicável.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FGV explícito — "dívida do FIES como obrigação personalíssima (não partilhável)".</w:t>
            </w:r>
          </w:p>
          <w:p>
            <w:pPr>
              <w:pStyle w:val="ListParagraph"/>
              <w:numPr>
                <w:ilvl w:val="0"/>
                <w:numId w:val="2"/>
              </w:numPr>
              <w:spacing w:after="40"/>
            </w:pPr>
            <w:r>
              <w:rPr>
                <w:b/>
                <w:bCs/>
                <w:i/>
                <w:iCs/>
              </w:rPr>
              <w:t xml:space="preserve">Discursiva/Sentença: </w:t>
            </w:r>
            <w:r>
              <w:t xml:space="preserve">caso de partilha de dívidas em união estável/casamento, distinguindo dívidas comuns de pessoais.</w:t>
            </w:r>
          </w:p>
          <w:p>
            <w:pPr>
              <w:pStyle w:val="ListParagraph"/>
              <w:numPr>
                <w:ilvl w:val="0"/>
                <w:numId w:val="2"/>
              </w:numPr>
              <w:spacing w:after="100"/>
            </w:pPr>
            <w:r>
              <w:rPr>
                <w:b/>
                <w:bCs/>
                <w:i/>
                <w:iCs/>
              </w:rPr>
              <w:t xml:space="preserve">Oral: </w:t>
            </w:r>
            <w:r>
              <w:t xml:space="preserve">fundamento (ausência de proveito direto e concreto à entidade familiar).</w:t>
            </w:r>
          </w:p>
          <w:p>
            <w:pPr>
              <w:spacing w:after="0"/>
            </w:pPr>
            <w:r>
              <w:rPr>
                <w:b/>
                <w:bCs/>
                <w:color w:val="A9762F"/>
              </w:rPr>
              <w:t xml:space="preserve">CONEXÕES: </w:t>
            </w:r>
            <w:r>
              <w:rPr>
                <w:i/>
                <w:iCs/>
              </w:rPr>
              <w:t xml:space="preserve">arts. 1.659 e 1.660 do CC (bens/dívidas incomunicáveis); regime de comunhão parcial supletivo da união estável (art. 1.725 do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Legitimidade do herdeiro para ação de reconhecimento e dissolução de união estável post mortem</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1.791.674-MG   |   Relator: Min. João Otávio de Noronha   |   Data: 20/02/2024</w:t>
            </w:r>
          </w:p>
          <w:p>
            <w:pPr>
              <w:spacing w:after="100"/>
            </w:pPr>
            <w:r>
              <w:rPr>
                <w:i/>
                <w:iCs/>
                <w:color w:val="555555"/>
                <w:sz w:val="19"/>
                <w:szCs w:val="19"/>
              </w:rPr>
              <w:t xml:space="preserve">Sistemática: Caso isolado (Info 20 — Edição Extraordinária)</w:t>
            </w:r>
          </w:p>
          <w:p>
            <w:pPr>
              <w:spacing w:after="100"/>
            </w:pPr>
            <w:r>
              <w:rPr>
                <w:b/>
                <w:bCs/>
              </w:rPr>
              <w:t xml:space="preserve">TESE FIXADA / DECISÃO: </w:t>
            </w:r>
            <w:r>
              <w:t xml:space="preserve">O herdeiro tem legitimidade ativa para propor ação de reconhecimento e dissolução de união estável entre companheiros já falecidos, especialmente quando há suspeita de doação inoficiosa que possa ter lesado seus direitos hereditários.</w:t>
            </w:r>
          </w:p>
          <w:p>
            <w:pPr>
              <w:spacing w:after="100"/>
            </w:pPr>
            <w:r>
              <w:rPr>
                <w:b/>
                <w:bCs/>
              </w:rPr>
              <w:t xml:space="preserve">RESUMO DO CASO: </w:t>
            </w:r>
            <w:r>
              <w:t xml:space="preserve">Filho de um dos companheiros (ambos falecidos) ajuizou ação para reconhecer união estável entre seu pai e a companheira dele, anular doação inoficiosa feita pela companheira à própria filha, e incluir o bem doado na partilha da herança do pai. A ré alegou ilegitimidade ativa do herdeiro. O STJ reconheceu a legitimidade, por ser necessário analisar o relacionamento e o regime de bens para aferir a validade da doação.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tema FGV explícito — "reconhecimento post mortem e legitimidade de herdeiros".</w:t>
            </w:r>
          </w:p>
          <w:p>
            <w:pPr>
              <w:pStyle w:val="ListParagraph"/>
              <w:numPr>
                <w:ilvl w:val="0"/>
                <w:numId w:val="2"/>
              </w:numPr>
              <w:spacing w:after="40"/>
            </w:pPr>
            <w:r>
              <w:rPr>
                <w:b/>
                <w:bCs/>
                <w:i/>
                <w:iCs/>
              </w:rPr>
              <w:t xml:space="preserve">Discursiva/Sentença: </w:t>
            </w:r>
            <w:r>
              <w:t xml:space="preserve">caso de ação de reconhecimento de união estável post mortem cumulada com anulação de doação inoficiosa.</w:t>
            </w:r>
          </w:p>
          <w:p>
            <w:pPr>
              <w:pStyle w:val="ListParagraph"/>
              <w:numPr>
                <w:ilvl w:val="0"/>
                <w:numId w:val="2"/>
              </w:numPr>
              <w:spacing w:after="100"/>
            </w:pPr>
            <w:r>
              <w:rPr>
                <w:b/>
                <w:bCs/>
                <w:i/>
                <w:iCs/>
              </w:rPr>
              <w:t xml:space="preserve">Oral: </w:t>
            </w:r>
            <w:r>
              <w:t xml:space="preserve">fundamentos da legitimidade ativa do herdeiro (interesse e necessidade de análise incidental do regime de bens).</w:t>
            </w:r>
          </w:p>
          <w:p>
            <w:pPr>
              <w:spacing w:after="0"/>
            </w:pPr>
            <w:r>
              <w:rPr>
                <w:b/>
                <w:bCs/>
                <w:color w:val="A9762F"/>
              </w:rPr>
              <w:t xml:space="preserve">CONEXÕES: </w:t>
            </w:r>
            <w:r>
              <w:rPr>
                <w:i/>
                <w:iCs/>
              </w:rPr>
              <w:t xml:space="preserve">doação inoficiosa (art. 549 do CC); REsp 2.203.770-GO (outro caso de reconhecimento post mortem); tema FGV explícito.</w:t>
            </w:r>
          </w:p>
        </w:tc>
      </w:tr>
    </w:tbl>
    <w:p>
      <w:pPr>
        <w:spacing w:after="160"/>
      </w:pPr>
    </w:p>
    <w:p>
      <w:pPr>
        <w:pStyle w:val="Heading1"/>
        <w:pageBreakBefore/>
        <w:spacing w:after="200"/>
      </w:pPr>
      <w:r>
        <w:rPr>
          <w:color w:val="7A1F2B"/>
        </w:rPr>
        <w:t xml:space="preserve">II. PARENTESCO, GUARDA E ADMINISTRAÇÃO DE BENS DE FILHOS MENORES</w:t>
      </w:r>
    </w:p>
    <w:p>
      <w:pPr>
        <w:spacing w:after="300"/>
      </w:pPr>
      <w:r>
        <w:rPr>
          <w:i/>
          <w:iCs/>
          <w:color w:val="555555"/>
        </w:rPr>
        <w:t xml:space="preserve">CC arts. 1.583 a 1.590 (Proteção da Pessoa dos Filhos) · arts. 1.591 a 1.638 (Relações de Parentesco) · arts. 1.689 a 1.693 (Usufruto e Administração de Bens de Filhos Menores)</w:t>
      </w:r>
    </w:p>
    <w:p>
      <w:pPr>
        <w:pStyle w:val="Heading2"/>
        <w:spacing w:after="160" w:before="200"/>
      </w:pPr>
      <w:r>
        <w:rPr>
          <w:color w:val="A9762F"/>
        </w:rPr>
        <w:t xml:space="preserve">GUARDA E PODER FAMILIAR</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Não aplicação da perda do poder familiar à mãe vítima de violência sexual — reconhecimento de multiparentalidade em vez de destituição total</w:t>
            </w:r>
          </w:p>
          <w:p>
            <w:pPr>
              <w:spacing w:after="40"/>
            </w:pPr>
            <w:r>
              <w:rPr>
                <w:b/>
                <w:bCs/>
                <w:color w:val="555555"/>
                <w:sz w:val="19"/>
                <w:szCs w:val="19"/>
              </w:rPr>
              <w:t xml:space="preserve">Tribunal: STJ   |   Órgão: 4ª Turma</w:t>
            </w:r>
          </w:p>
          <w:p>
            <w:pPr>
              <w:spacing w:after="40"/>
            </w:pPr>
            <w:r>
              <w:rPr>
                <w:color w:val="555555"/>
                <w:sz w:val="19"/>
                <w:szCs w:val="19"/>
              </w:rPr>
              <w:t xml:space="preserve">Processo: AREsp 2.775.957-MT   |   Relator: Min. Raul Araújo   |   Data: 12/08/2025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Não se mostra razoável enquadrar em nenhuma das hipóteses de perda do poder familiar (art. 1.638 do CC) a mãe biológica que, vítima de violência sexual doméstica aos 14 anos, entregou a filha à adoção sem ter recebido apoio estatal para permanecer com a criança durante o acolhimento institucional.</w:t>
            </w:r>
          </w:p>
          <w:p>
            <w:pPr>
              <w:spacing w:after="100"/>
            </w:pPr>
            <w:r>
              <w:rPr>
                <w:b/>
                <w:bCs/>
              </w:rPr>
              <w:t xml:space="preserve">RESUMO DO CASO: </w:t>
            </w:r>
            <w:r>
              <w:t xml:space="preserve">Luísa, vítima de abuso sexual do padrasto aos 14 anos, engravidou e, acolhida institucionalmente, decidiu entregar a filha para adoção — sem saber que poderia ter ficado com a criança durante o acolhimento. A criança cresceu com o casal adotante. Anos depois, já adulta e estruturada, Luísa buscou reaproximação. O TJ, em vez de decretar a perda total do poder familiar (pedida pelo casal em ação de adoção), reconheceu a multiparentalidade, mantendo no registro mãe biológica e pais socioafetivos, com direito de visitas a Luísa. O STJ manteve a decisão, por falha do Estado em amparar a adolescente vulnerável.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distinção entre suspensão e perda do poder familiar (arts. 1.637 e 1.638 do CC) e a exigência de análise concreta das hipóteses legais, não bastando a mera entrega para adoção decorrente de vulnerabilidade não amparada pelo Estado.</w:t>
            </w:r>
          </w:p>
          <w:p>
            <w:pPr>
              <w:pStyle w:val="ListParagraph"/>
              <w:numPr>
                <w:ilvl w:val="0"/>
                <w:numId w:val="2"/>
              </w:numPr>
              <w:spacing w:after="40"/>
            </w:pPr>
            <w:r>
              <w:rPr>
                <w:b/>
                <w:bCs/>
                <w:i/>
                <w:iCs/>
              </w:rPr>
              <w:t xml:space="preserve">Discursiva/Sentença: </w:t>
            </w:r>
            <w:r>
              <w:t xml:space="preserve">elaborar sentença/parecer sobre destituição do poder familiar em contexto de vulnerabilidade social, articulando multiparentalidade como solução intermediária ao invés da destituição total.</w:t>
            </w:r>
          </w:p>
          <w:p>
            <w:pPr>
              <w:pStyle w:val="ListParagraph"/>
              <w:numPr>
                <w:ilvl w:val="0"/>
                <w:numId w:val="2"/>
              </w:numPr>
              <w:spacing w:after="100"/>
            </w:pPr>
            <w:r>
              <w:rPr>
                <w:b/>
                <w:bCs/>
                <w:i/>
                <w:iCs/>
              </w:rPr>
              <w:t xml:space="preserve">Oral: </w:t>
            </w:r>
            <w:r>
              <w:t xml:space="preserve">"Quais as diferenças entre suspensão e perda do poder familiar? A entrega de filho para adoção por mãe adolescente vítima de violência sempre implica perda do poder familiar?"</w:t>
            </w:r>
          </w:p>
          <w:p>
            <w:pPr>
              <w:spacing w:after="0"/>
            </w:pPr>
            <w:r>
              <w:rPr>
                <w:b/>
                <w:bCs/>
                <w:color w:val="A9762F"/>
              </w:rPr>
              <w:t xml:space="preserve">CONEXÕES: </w:t>
            </w:r>
            <w:r>
              <w:rPr>
                <w:i/>
                <w:iCs/>
              </w:rPr>
              <w:t xml:space="preserve">art. 1.637 e 1.638, CC; multiparentalidade (RE 898.060/SC — Tema 622 RG do STF); ECA (acolhimento institucional).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Homologação de sentença estrangeira de guarda não impede ação de modificação de guarda no Brasil</w:t>
            </w:r>
          </w:p>
          <w:p>
            <w:pPr>
              <w:spacing w:after="40"/>
            </w:pPr>
            <w:r>
              <w:rPr>
                <w:b/>
                <w:bCs/>
                <w:color w:val="555555"/>
                <w:sz w:val="19"/>
                <w:szCs w:val="19"/>
              </w:rPr>
              <w:t xml:space="preserve">Tribunal: STJ   |   Órgão: 4ª Turma</w:t>
            </w:r>
          </w:p>
          <w:p>
            <w:pPr>
              <w:spacing w:after="40"/>
            </w:pPr>
            <w:r>
              <w:rPr>
                <w:color w:val="555555"/>
                <w:sz w:val="19"/>
                <w:szCs w:val="19"/>
              </w:rPr>
              <w:t xml:space="preserve">Processo: HC 877.730/PR   |   Relator: Min. Raul Araújo   |   Data: 05/03/2024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homologação de sentença estrangeira pelo STJ não é, por si só, óbice à propositura de ação de modificação de guarda em território nacional quando os menores, cujo interesse se discute, estão estabelecidos no Brasil.</w:t>
            </w:r>
          </w:p>
          <w:p>
            <w:pPr>
              <w:spacing w:after="100"/>
            </w:pPr>
            <w:r>
              <w:rPr>
                <w:b/>
                <w:bCs/>
              </w:rPr>
              <w:t xml:space="preserve">RESUMO DO CASO: </w:t>
            </w:r>
            <w:r>
              <w:t xml:space="preserve">Pai australiano e mãe brasileira firmaram, na Austrália, acordo de guarda compartilhada com residência das filhas junto à mãe naquele país. Com autorização paterna, mãe e filhas vieram ao Brasil por um ano; nesse período houve mudança fática relevante — as crianças se adaptaram bem e desejam permanecer no Brasil. O STJ permitiu que a mãe ajuizasse ação de modificação de guarda no Brasil, mesmo com o acordo estrangeiro homologado, por prevalecer o melhor interesse do menor e a necessidade de oitiva e estudo psicossocial atualizados.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homologação de sentença estrangeira (STJ) não gera coisa julgada material impeditiva de nova discussão de guarda no Brasil quando alterada a situação fática e havendo menores aqui radicados.</w:t>
            </w:r>
          </w:p>
          <w:p>
            <w:pPr>
              <w:pStyle w:val="ListParagraph"/>
              <w:numPr>
                <w:ilvl w:val="0"/>
                <w:numId w:val="2"/>
              </w:numPr>
              <w:spacing w:after="40"/>
            </w:pPr>
            <w:r>
              <w:rPr>
                <w:b/>
                <w:bCs/>
                <w:i/>
                <w:iCs/>
              </w:rPr>
              <w:t xml:space="preserve">Discursiva/Sentença: </w:t>
            </w:r>
            <w:r>
              <w:t xml:space="preserve">caso envolvendo competência internacional e mudança de circunstâncias fáticas na guarda (tema já testado pela FGV sob o ângulo de "modificação de guarda por alteração de circunstâncias/mudança de cidade" — aqui elevado ao plano internacional).</w:t>
            </w:r>
          </w:p>
          <w:p>
            <w:pPr>
              <w:pStyle w:val="ListParagraph"/>
              <w:numPr>
                <w:ilvl w:val="0"/>
                <w:numId w:val="2"/>
              </w:numPr>
              <w:spacing w:after="100"/>
            </w:pPr>
            <w:r>
              <w:rPr>
                <w:b/>
                <w:bCs/>
                <w:i/>
                <w:iCs/>
              </w:rPr>
              <w:t xml:space="preserve">Oral: </w:t>
            </w:r>
            <w:r>
              <w:t xml:space="preserve">"A guarda fixada no exterior e homologada pelo STJ pode ser modificada por juiz brasileiro? Em que condições?"</w:t>
            </w:r>
          </w:p>
          <w:p>
            <w:pPr>
              <w:spacing w:after="0"/>
            </w:pPr>
            <w:r>
              <w:rPr>
                <w:b/>
                <w:bCs/>
                <w:color w:val="A9762F"/>
              </w:rPr>
              <w:t xml:space="preserve">CONEXÕES: </w:t>
            </w:r>
            <w:r>
              <w:rPr>
                <w:i/>
                <w:iCs/>
              </w:rPr>
              <w:t xml:space="preserve">princípio do melhor interesse do menor; Convenção de Haia sobre sequestro internacional de crianças (contexto, ainda que não citada expressamente); jurisprudência FGV sobre modificação de guarda por alteração de circunstâncias.</w:t>
            </w:r>
          </w:p>
        </w:tc>
      </w:tr>
    </w:tbl>
    <w:p>
      <w:pPr>
        <w:spacing w:after="160"/>
      </w:pPr>
    </w:p>
    <w:p>
      <w:pPr>
        <w:pStyle w:val="Heading2"/>
        <w:spacing w:after="160" w:before="200"/>
      </w:pPr>
      <w:r>
        <w:rPr>
          <w:color w:val="A9762F"/>
        </w:rPr>
        <w:t xml:space="preserve">FILIAÇÃO E RECONHECIMENTO DE PATERNIDADE/MATERNIDADE (incluindo multiparentalidade)</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Rompimento do vínculo de filiação entre pai registral e filho maior por ausência de socioafetividade e abandono material/afetivo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2.117.287-PR   |   Relator: Min. Nancy Andrighi   |   Data: 18/02/2025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possível o rompimento do vínculo de filiação entre pai e filho maior de idade quando constatada a inexistência de relação socioafetiva entre as partes, somada à quebra dos deveres de cuidado do pai registral (abandono material e afetivo).</w:t>
            </w:r>
          </w:p>
          <w:p>
            <w:pPr>
              <w:spacing w:after="100"/>
            </w:pPr>
            <w:r>
              <w:rPr>
                <w:b/>
                <w:bCs/>
              </w:rPr>
              <w:t xml:space="preserve">RESUMO DO CASO: </w:t>
            </w:r>
            <w:r>
              <w:t xml:space="preserve">Discussão sobre desconstituição da paternidade registral de filho já maior, com base na ausência de posse do estado de filho (convívio público e contínuo) e no descumprimento do dever de cuidado pelo pai registral. O STJ entendeu que, assim como a socioafetividade positiva autoriza reconhecimento de vínculo, sua ausência combinada ao abandono pode autorizar o rompimento, à luz do princípio da paternidade responsável e da proteção da personalidade em desenvolvimento.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 filiação registral não é absoluta — pode ser desconstituída, mesmo em relação a filho maior, quando ausente a socioafetividade e comprovado abandono material/afetivo.</w:t>
            </w:r>
          </w:p>
          <w:p>
            <w:pPr>
              <w:pStyle w:val="ListParagraph"/>
              <w:numPr>
                <w:ilvl w:val="0"/>
                <w:numId w:val="2"/>
              </w:numPr>
              <w:spacing w:after="40"/>
            </w:pPr>
            <w:r>
              <w:rPr>
                <w:b/>
                <w:bCs/>
                <w:i/>
                <w:iCs/>
              </w:rPr>
              <w:t xml:space="preserve">Discursiva/Sentença: </w:t>
            </w:r>
            <w:r>
              <w:t xml:space="preserve">articular o princípio da paternidade responsável e a "dupla via" da socioafetividade (fundamenta tanto o reconhecimento quanto, em tese, a desconstituição da filiação).</w:t>
            </w:r>
          </w:p>
          <w:p>
            <w:pPr>
              <w:pStyle w:val="ListParagraph"/>
              <w:numPr>
                <w:ilvl w:val="0"/>
                <w:numId w:val="2"/>
              </w:numPr>
              <w:spacing w:after="100"/>
            </w:pPr>
            <w:r>
              <w:rPr>
                <w:b/>
                <w:bCs/>
                <w:i/>
                <w:iCs/>
              </w:rPr>
              <w:t xml:space="preserve">Oral: </w:t>
            </w:r>
            <w:r>
              <w:t xml:space="preserve">"A ausência de vínculo socioafetivo autoriza, por si só, a desconstituição da paternidade registral? O que mais se exige?"</w:t>
            </w:r>
          </w:p>
          <w:p>
            <w:pPr>
              <w:spacing w:after="0"/>
            </w:pPr>
            <w:r>
              <w:rPr>
                <w:b/>
                <w:bCs/>
                <w:color w:val="A9762F"/>
              </w:rPr>
              <w:t xml:space="preserve">CONEXÕES: </w:t>
            </w:r>
            <w:r>
              <w:rPr>
                <w:i/>
                <w:iCs/>
              </w:rPr>
              <w:t xml:space="preserve">tema "abandono afetivo e responsabilidade civil" (já cobrado pela FGV); posse do estado de filho; art. 1.593 do CC (parentesco por "outra origem").</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Reconhecimento de filiação socioafetiva post mortem dos pais socioafetivos</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2.075.230-RJ   |   Relator: Min. Nancy Andrighi   |   Data: 11/02/2025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cabível o reconhecimento de filiação socioafetiva mesmo após a morte do pai ou mãe socioafetivos, desde que verificada a posse do estado de filho e o conhecimento público, contínuo e duradouro dessa condição.</w:t>
            </w:r>
          </w:p>
          <w:p>
            <w:pPr>
              <w:spacing w:after="100"/>
            </w:pPr>
            <w:r>
              <w:rPr>
                <w:b/>
                <w:bCs/>
              </w:rPr>
              <w:t xml:space="preserve">RESUMO DO CASO: </w:t>
            </w:r>
            <w:r>
              <w:t xml:space="preserve">Pretensão de reconhecimento judicial de filiação socioafetiva ajuizada após a morte dos pais socioafetivos. O STJ reafirmou que a filiação socioafetiva independe de procedimento formal (diferentemente da adoção) e pode ser reconhecida post mortem, desde que demonstrado o vínculo afetivo público e contínuo, mesmo tendo havido mudança de convivência na fase adulta.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filiação socioafetiva pode ser reconhecida post mortem; distinção frente à adoção (que exige procedimento formal e solene).</w:t>
            </w:r>
          </w:p>
          <w:p>
            <w:pPr>
              <w:pStyle w:val="ListParagraph"/>
              <w:numPr>
                <w:ilvl w:val="0"/>
                <w:numId w:val="2"/>
              </w:numPr>
              <w:spacing w:after="40"/>
            </w:pPr>
            <w:r>
              <w:rPr>
                <w:b/>
                <w:bCs/>
                <w:i/>
                <w:iCs/>
              </w:rPr>
              <w:t xml:space="preserve">Discursiva/Sentença: </w:t>
            </w:r>
            <w:r>
              <w:t xml:space="preserve">requisitos para o reconhecimento post mortem da socioafetividade (posse do estado de filho: nome, trato e fama) e seus efeitos sucessórios.</w:t>
            </w:r>
          </w:p>
          <w:p>
            <w:pPr>
              <w:pStyle w:val="ListParagraph"/>
              <w:numPr>
                <w:ilvl w:val="0"/>
                <w:numId w:val="2"/>
              </w:numPr>
              <w:spacing w:after="100"/>
            </w:pPr>
            <w:r>
              <w:rPr>
                <w:b/>
                <w:bCs/>
                <w:i/>
                <w:iCs/>
              </w:rPr>
              <w:t xml:space="preserve">Oral: </w:t>
            </w:r>
            <w:r>
              <w:t xml:space="preserve">"É possível reconhecer filiação socioafetiva após a morte do suposto pai/mãe socioafetivo? Quais os requisitos?"</w:t>
            </w:r>
          </w:p>
          <w:p>
            <w:pPr>
              <w:spacing w:after="0"/>
            </w:pPr>
            <w:r>
              <w:rPr>
                <w:b/>
                <w:bCs/>
                <w:color w:val="A9762F"/>
              </w:rPr>
              <w:t xml:space="preserve">CONEXÕES: </w:t>
            </w:r>
            <w:r>
              <w:rPr>
                <w:i/>
                <w:iCs/>
              </w:rPr>
              <w:t xml:space="preserve">art. 1.593 do CC; REsp 1.500.999-RJ (Info 581/2016 — reconhecimento post mortem, precedente mais antigo); multiparentalidade.</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Reconhecimento de filiação socioafetiva entre avós e neto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2.107.638-SP   |   Relator: Min. Nancy Andrighi   |   Data: 12/11/2024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juridicamente possível o pedido de reconhecimento de filiação socioafetiva entre avós e neto, não havendo vedação legal expressa; o art. 42, §1º, do ECA (que veda adoção de neto por avô) não se aplica à filiação socioafetiva, pois esta não exige destituição do poder familiar.</w:t>
            </w:r>
          </w:p>
          <w:p>
            <w:pPr>
              <w:spacing w:after="100"/>
            </w:pPr>
            <w:r>
              <w:rPr>
                <w:b/>
                <w:bCs/>
              </w:rPr>
              <w:t xml:space="preserve">RESUMO DO CASO: </w:t>
            </w:r>
            <w:r>
              <w:t xml:space="preserve">Neto criado pelos avós maternos como pais buscou reconhecimento de filiação socioafetiva mantendo, simultaneamente, o vínculo com a mãe biológica. Instâncias inferiores negaram o pedido por entenderem aplicável, por analogia, a vedação do ECA à adoção de neto por avô. O STJ afastou essa analogia, por se tratar de institutos distintos (a filiação socioafetiva reconhece vínculo já consolidado, sem substituir o vínculo biológico).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distinção entre adoção de neto por avô (vedada pelo ECA) e reconhecimento de filiação socioafetiva avô-neto (permitida); ambas não se confundem.</w:t>
            </w:r>
          </w:p>
          <w:p>
            <w:pPr>
              <w:pStyle w:val="ListParagraph"/>
              <w:numPr>
                <w:ilvl w:val="0"/>
                <w:numId w:val="2"/>
              </w:numPr>
              <w:spacing w:after="40"/>
            </w:pPr>
            <w:r>
              <w:rPr>
                <w:b/>
                <w:bCs/>
                <w:i/>
                <w:iCs/>
              </w:rPr>
              <w:t xml:space="preserve">Discursiva/Sentença: </w:t>
            </w:r>
            <w:r>
              <w:t xml:space="preserve">fundamentar por que a vedação do art. 42, §1º, ECA não é extensível à filiação socioafetiva, sob a ótica da multiparentalidade e proteção à personalidade.</w:t>
            </w:r>
          </w:p>
          <w:p>
            <w:pPr>
              <w:pStyle w:val="ListParagraph"/>
              <w:numPr>
                <w:ilvl w:val="0"/>
                <w:numId w:val="2"/>
              </w:numPr>
              <w:spacing w:after="100"/>
            </w:pPr>
            <w:r>
              <w:rPr>
                <w:b/>
                <w:bCs/>
                <w:i/>
                <w:iCs/>
              </w:rPr>
              <w:t xml:space="preserve">Oral: </w:t>
            </w:r>
            <w:r>
              <w:t xml:space="preserve">"A vedação de adoção de neto por avô impede o reconhecimento de filiação socioafetiva entre eles?"</w:t>
            </w:r>
          </w:p>
          <w:p>
            <w:pPr>
              <w:spacing w:after="0"/>
            </w:pPr>
            <w:r>
              <w:rPr>
                <w:b/>
                <w:bCs/>
                <w:color w:val="A9762F"/>
              </w:rPr>
              <w:t xml:space="preserve">CONEXÕES: </w:t>
            </w:r>
            <w:r>
              <w:rPr>
                <w:i/>
                <w:iCs/>
              </w:rPr>
              <w:t xml:space="preserve">art. 42, §1º, ECA; multiparentalidade; art. 1.593 do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Presunção de maternidade de mãe não biológica em inseminação artificial caseira, em união estável homoafetiva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2.137.415-SP   |   Relator: Min. Nancy Andrighi   |   Data: 15/10/2024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possível presumir a maternidade de mãe não biológica de criança gerada por inseminação artificial caseira (sem intermediação de clínica) no curso de união estável homoafetiva, dispensando documentação de clínica especializada.</w:t>
            </w:r>
          </w:p>
          <w:p>
            <w:pPr>
              <w:spacing w:after="100"/>
            </w:pPr>
            <w:r>
              <w:rPr>
                <w:b/>
                <w:bCs/>
              </w:rPr>
              <w:t xml:space="preserve">RESUMO DO CASO: </w:t>
            </w:r>
            <w:r>
              <w:t xml:space="preserve">Casal em união estável homoafetiva feminina recorreu à inseminação artificial "caseira" (sem clínica) por razões financeiras. Após o nascimento, buscaram registrar a filha com o nome de ambas as mães; o TJ/SP exigiu documentação de clínica especializada para presumir a dupla maternidade. O STJ reformou, autorizando o registro com base no planejamento familiar e no melhor interesse da criança, dispensando prova documental da clínica.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 presunção de maternidade em reprodução assistida heteróloga em uniões homoafetivas não exige documentação de clínica, mesmo em inseminação caseira — aplica-se o art. 1.597, V, do CC por analogia/interpretação extensiva.</w:t>
            </w:r>
          </w:p>
          <w:p>
            <w:pPr>
              <w:pStyle w:val="ListParagraph"/>
              <w:numPr>
                <w:ilvl w:val="0"/>
                <w:numId w:val="2"/>
              </w:numPr>
              <w:spacing w:after="40"/>
            </w:pPr>
            <w:r>
              <w:rPr>
                <w:b/>
                <w:bCs/>
                <w:i/>
                <w:iCs/>
              </w:rPr>
              <w:t xml:space="preserve">Discursiva/Sentença: </w:t>
            </w:r>
            <w:r>
              <w:t xml:space="preserve">elaborar fundamentação sobre planejamento familiar, isonomia e melhor interesse da criança para autorizar o duplo registro materno sem indicação de doador.</w:t>
            </w:r>
          </w:p>
          <w:p>
            <w:pPr>
              <w:pStyle w:val="ListParagraph"/>
              <w:numPr>
                <w:ilvl w:val="0"/>
                <w:numId w:val="2"/>
              </w:numPr>
              <w:spacing w:after="100"/>
            </w:pPr>
            <w:r>
              <w:rPr>
                <w:b/>
                <w:bCs/>
                <w:i/>
                <w:iCs/>
              </w:rPr>
              <w:t xml:space="preserve">Oral: </w:t>
            </w:r>
            <w:r>
              <w:t xml:space="preserve">"A ausência de documentação de clínica de reprodução assistida impede o registro de dupla maternidade em união homoafetiva?"</w:t>
            </w:r>
          </w:p>
          <w:p>
            <w:pPr>
              <w:spacing w:after="0"/>
            </w:pPr>
            <w:r>
              <w:rPr>
                <w:b/>
                <w:bCs/>
                <w:color w:val="A9762F"/>
              </w:rPr>
              <w:t xml:space="preserve">CONEXÕES: </w:t>
            </w:r>
            <w:r>
              <w:rPr>
                <w:i/>
                <w:iCs/>
              </w:rPr>
              <w:t xml:space="preserve">art. 1.597, V, CC (presunção pater is est aplicada por analogia); tema já cobrado pela FGV — registro de filho de casal homoafetivo feminino por inseminação heteróloga.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Competência internacional: investigação de paternidade x petição de herança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2.030.897-DF   |   Relator: Min. Marco Aurélio Bellizze   |   Data: 20/08/2024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justiça brasileira não é competente para julgar investigação de paternidade proposta por estrangeiro sem domicílio no Brasil (art. 7º c/c art. 12, caput, da LINDB), mas é competente para julgar petição de herança relativa a bens situados no Brasil, podendo, nessa ação, analisar a paternidade como causa de pedir (art. 23, II, CPC).</w:t>
            </w:r>
          </w:p>
          <w:p>
            <w:pPr>
              <w:spacing w:after="100"/>
            </w:pPr>
            <w:r>
              <w:rPr>
                <w:b/>
                <w:bCs/>
              </w:rPr>
              <w:t xml:space="preserve">RESUMO DO CASO: </w:t>
            </w:r>
            <w:r>
              <w:t xml:space="preserve">Estrangeiro sem domicílio no Brasil pretendia, simultaneamente, o reconhecimento de paternidade e direitos hereditários sobre bens do suposto pai falecido situados no Brasil. O STJ distinguiu as duas pretensões: investigação de paternidade autônoma (incompetência da justiça brasileira) versus petição de herança (competência exclusiva brasileira quanto aos bens aqui situados, podendo a paternidade ser discutida incidentalmente).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aplicação combinada dos arts. 7º e 12 da LINDB e art. 23, II, do CPC para fixar competência internacional em ações de família/sucessões.</w:t>
            </w:r>
          </w:p>
          <w:p>
            <w:pPr>
              <w:pStyle w:val="ListParagraph"/>
              <w:numPr>
                <w:ilvl w:val="0"/>
                <w:numId w:val="2"/>
              </w:numPr>
              <w:spacing w:after="40"/>
            </w:pPr>
            <w:r>
              <w:rPr>
                <w:b/>
                <w:bCs/>
                <w:i/>
                <w:iCs/>
              </w:rPr>
              <w:t xml:space="preserve">Discursiva/Sentença: </w:t>
            </w:r>
            <w:r>
              <w:t xml:space="preserve">questão de competência internacional cruzando direito de família e sucessões — pedir a redação de despacho declinando competência para investigação autônoma, mas processando a petição de herança.</w:t>
            </w:r>
          </w:p>
          <w:p>
            <w:pPr>
              <w:pStyle w:val="ListParagraph"/>
              <w:numPr>
                <w:ilvl w:val="0"/>
                <w:numId w:val="2"/>
              </w:numPr>
              <w:spacing w:after="100"/>
            </w:pPr>
            <w:r>
              <w:rPr>
                <w:b/>
                <w:bCs/>
                <w:i/>
                <w:iCs/>
              </w:rPr>
              <w:t xml:space="preserve">Oral: </w:t>
            </w:r>
            <w:r>
              <w:t xml:space="preserve">"A justiça brasileira pode discutir paternidade incidentalmente mesmo sem competência para a investigação autônoma?"</w:t>
            </w:r>
          </w:p>
          <w:p>
            <w:pPr>
              <w:spacing w:after="0"/>
            </w:pPr>
            <w:r>
              <w:rPr>
                <w:b/>
                <w:bCs/>
                <w:color w:val="A9762F"/>
              </w:rPr>
              <w:t xml:space="preserve">CONEXÕES: </w:t>
            </w:r>
            <w:r>
              <w:rPr>
                <w:i/>
                <w:iCs/>
              </w:rPr>
              <w:t xml:space="preserve">arts. 7º, 12 e 23, II, CPC; LINDB; sucessões internacionais.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Relativização da coisa julgada em investigação de paternidade sem DNA, diante de exame judicial negativo posterior</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1.639.372-SC   |   Relator: Min. Raul Araújo   |   Data: 04/06/2024</w:t>
            </w:r>
          </w:p>
          <w:p>
            <w:pPr>
              <w:spacing w:after="100"/>
            </w:pPr>
            <w:r>
              <w:rPr>
                <w:i/>
                <w:iCs/>
                <w:color w:val="555555"/>
                <w:sz w:val="19"/>
                <w:szCs w:val="19"/>
              </w:rPr>
              <w:t xml:space="preserve">Sistemática: Caso isolado (aplica entendimento do Tema de Repercussão Geral do STF — RE 363.889)</w:t>
            </w:r>
          </w:p>
          <w:p>
            <w:pPr>
              <w:spacing w:after="100"/>
            </w:pPr>
            <w:r>
              <w:rPr>
                <w:b/>
                <w:bCs/>
              </w:rPr>
              <w:t xml:space="preserve">TESE FIXADA / DECISÃO: </w:t>
            </w:r>
            <w:r>
              <w:t xml:space="preserve">É possível a relativização da coisa julgada de anterior ação de investigação de paternidade em que não foi realizado exame de DNA (ainda que por recusa do pretenso pai), quando exista resultado negativo obtido em exame posteriormente realizado por determinação do próprio Judiciário.</w:t>
            </w:r>
          </w:p>
          <w:p>
            <w:pPr>
              <w:spacing w:after="100"/>
            </w:pPr>
            <w:r>
              <w:rPr>
                <w:b/>
                <w:bCs/>
              </w:rPr>
              <w:t xml:space="preserve">RESUMO DO CASO: </w:t>
            </w:r>
            <w:r>
              <w:t xml:space="preserve">Em ação de investigação de paternidade de 1992, o réu recusou-se a fazer DNA e a paternidade foi reconhecida com base em outras provas (Súmula 301/STJ). Anos depois, o próprio Judiciário determinou novo exame de DNA em ação negatória, que comprovou a inexistência de vínculo biológico. O juízo extinguiu o processo por coisa julgada, mas o STJ relativizou-a diante da peculiaridade de o exame ter sido autorizado judicialmente e ter resultado negativo.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relativização da coisa julgada em investigação de paternidade (RE 363.889/STF, Repercussão Geral) e seus limites/exceções.</w:t>
            </w:r>
          </w:p>
          <w:p>
            <w:pPr>
              <w:pStyle w:val="ListParagraph"/>
              <w:numPr>
                <w:ilvl w:val="0"/>
                <w:numId w:val="2"/>
              </w:numPr>
              <w:spacing w:after="40"/>
            </w:pPr>
            <w:r>
              <w:rPr>
                <w:b/>
                <w:bCs/>
                <w:i/>
                <w:iCs/>
              </w:rPr>
              <w:t xml:space="preserve">Discursiva/Sentença: </w:t>
            </w:r>
            <w:r>
              <w:t xml:space="preserve">comparar com o REsp 1.562.239/MS (Info 604/2017) — que NEGA a relativização quando o reconhecimento decorreu de recusa do investigado a comparecer ao laboratório — traçando a linha divisória entre os dois precedentes.</w:t>
            </w:r>
          </w:p>
          <w:p>
            <w:pPr>
              <w:pStyle w:val="ListParagraph"/>
              <w:numPr>
                <w:ilvl w:val="0"/>
                <w:numId w:val="2"/>
              </w:numPr>
              <w:spacing w:after="100"/>
            </w:pPr>
            <w:r>
              <w:rPr>
                <w:b/>
                <w:bCs/>
                <w:i/>
                <w:iCs/>
              </w:rPr>
              <w:t xml:space="preserve">Oral: </w:t>
            </w:r>
            <w:r>
              <w:t xml:space="preserve">"Em que hipóteses a coisa julgada em ação de investigação de paternidade pode ser relativizada?"</w:t>
            </w:r>
          </w:p>
          <w:p>
            <w:pPr>
              <w:spacing w:after="0"/>
            </w:pPr>
            <w:r>
              <w:rPr>
                <w:b/>
                <w:bCs/>
                <w:color w:val="A9762F"/>
              </w:rPr>
              <w:t xml:space="preserve">CONEXÕES: </w:t>
            </w:r>
            <w:r>
              <w:rPr>
                <w:i/>
                <w:iCs/>
              </w:rPr>
              <w:t xml:space="preserve">RE 363.889 (STF, Repercussão Geral, 2011); Súmula 301/STJ; REsp 1.562.239/MS (Info 604) — tese oposta/limitadora.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Legitimidade do cônjuge supérstite para ação anulatória de registro de nascimento por falsidade ideológica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1.952.565/DF   |   Relator: Min. Marco Aurélio Bellizze   |   Data: 12/03/2024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ação negatória de paternidade (art. 1.601, CC) é personalíssima do pai registral; já a ação anulatória de registro civil por falsidade ideológica (art. 1.604, CC) pode ser proposta por qualquer interessado — inclusive o cônjuge supérstite do pai registral.</w:t>
            </w:r>
          </w:p>
          <w:p>
            <w:pPr>
              <w:spacing w:after="100"/>
            </w:pPr>
            <w:r>
              <w:rPr>
                <w:b/>
                <w:bCs/>
              </w:rPr>
              <w:t xml:space="preserve">RESUMO DO CASO: </w:t>
            </w:r>
            <w:r>
              <w:t xml:space="preserve">Após o falecimento do pai registral, sua viúva ajuizou ação anulatória de registro civil alegando falsidade ideológica, pois o bisavô teria registrado o bisneto como filho. O STJ reconheceu sua legitimidade ativa, distinguindo a ação anulatória (não personalíssima) da ação negatória de paternidade (personalíssima).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diferenciar ação negatória de paternidade (art. 1.601 CC, personalíssima) de ação anulatória de registro civil (art. 1.604 CC, legitimidade ampla).</w:t>
            </w:r>
          </w:p>
          <w:p>
            <w:pPr>
              <w:pStyle w:val="ListParagraph"/>
              <w:numPr>
                <w:ilvl w:val="0"/>
                <w:numId w:val="2"/>
              </w:numPr>
              <w:spacing w:after="40"/>
            </w:pPr>
            <w:r>
              <w:rPr>
                <w:b/>
                <w:bCs/>
                <w:i/>
                <w:iCs/>
              </w:rPr>
              <w:t xml:space="preserve">Discursiva/Sentença: </w:t>
            </w:r>
            <w:r>
              <w:t xml:space="preserve">peça prática distinguindo os fundamentos e a legitimidade ativa de cada ação, aplicável a casos de fraude no registro civil.</w:t>
            </w:r>
          </w:p>
          <w:p>
            <w:pPr>
              <w:pStyle w:val="ListParagraph"/>
              <w:numPr>
                <w:ilvl w:val="0"/>
                <w:numId w:val="2"/>
              </w:numPr>
              <w:spacing w:after="100"/>
            </w:pPr>
            <w:r>
              <w:rPr>
                <w:b/>
                <w:bCs/>
                <w:i/>
                <w:iCs/>
              </w:rPr>
              <w:t xml:space="preserve">Oral: </w:t>
            </w:r>
            <w:r>
              <w:t xml:space="preserve">"Qual a diferença entre ação negatória de paternidade e ação anulatória de registro civil, quanto à legitimidade ativa?"</w:t>
            </w:r>
          </w:p>
          <w:p>
            <w:pPr>
              <w:spacing w:after="0"/>
            </w:pPr>
            <w:r>
              <w:rPr>
                <w:b/>
                <w:bCs/>
                <w:color w:val="A9762F"/>
              </w:rPr>
              <w:t xml:space="preserve">CONEXÕES: </w:t>
            </w:r>
            <w:r>
              <w:rPr>
                <w:i/>
                <w:iCs/>
              </w:rPr>
              <w:t xml:space="preserve">arts. 1.601 e 1.604, CC; adoção à brasileira.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Reconhecimento de parentesco socioafetivo entre irmãos ("irmãos de criação") post mortem</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1.674.372-SP   |   Relator: Min. Marco Buzzi   |   Data: 04/10/2022</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juridicamente possível o reconhecimento de parentesco socioafetivo entre irmãos ("irmãos de criação"), mesmo após a morte de um deles e ainda que não se tenha buscado previamente o reconhecimento de filiação socioafetiva com os pais.</w:t>
            </w:r>
          </w:p>
          <w:p>
            <w:pPr>
              <w:spacing w:after="100"/>
            </w:pPr>
            <w:r>
              <w:rPr>
                <w:b/>
                <w:bCs/>
              </w:rPr>
              <w:t xml:space="preserve">RESUMO DO CASO: </w:t>
            </w:r>
            <w:r>
              <w:t xml:space="preserve">Discussão sobre a possibilidade de declaração judicial de fraternidade/irmandade socioafetiva (parentesco de 2º grau em linha colateral) post mortem, independentemente de prévio reconhecimento da filiação socioafetiva com os genitores comuns. O STJ admitiu, por não haver vedação legal.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o parentesco socioafetivo não se limita à relação pai/mãe-filho, alcançando também a linha colateral (irmandade socioafetiva).</w:t>
            </w:r>
          </w:p>
          <w:p>
            <w:pPr>
              <w:pStyle w:val="ListParagraph"/>
              <w:numPr>
                <w:ilvl w:val="0"/>
                <w:numId w:val="2"/>
              </w:numPr>
              <w:spacing w:after="40"/>
            </w:pPr>
            <w:r>
              <w:rPr>
                <w:b/>
                <w:bCs/>
                <w:i/>
                <w:iCs/>
              </w:rPr>
              <w:t xml:space="preserve">Discursiva/Sentença: </w:t>
            </w:r>
            <w:r>
              <w:t xml:space="preserve">extensão dos efeitos da socioafetividade para além da filiação direta — parentesco colateral socioafetivo e seus efeitos (inclusive sucessórios, por analogia).</w:t>
            </w:r>
          </w:p>
          <w:p>
            <w:pPr>
              <w:pStyle w:val="ListParagraph"/>
              <w:numPr>
                <w:ilvl w:val="0"/>
                <w:numId w:val="2"/>
              </w:numPr>
              <w:spacing w:after="100"/>
            </w:pPr>
            <w:r>
              <w:rPr>
                <w:b/>
                <w:bCs/>
                <w:i/>
                <w:iCs/>
              </w:rPr>
              <w:t xml:space="preserve">Oral: </w:t>
            </w:r>
            <w:r>
              <w:t xml:space="preserve">"É possível reconhecer irmandade socioafetiva sem que exista prévio reconhecimento de filiação socioafetiva com os pais?"</w:t>
            </w:r>
          </w:p>
          <w:p>
            <w:pPr>
              <w:spacing w:after="0"/>
            </w:pPr>
            <w:r>
              <w:rPr>
                <w:b/>
                <w:bCs/>
                <w:color w:val="A9762F"/>
              </w:rPr>
              <w:t xml:space="preserve">CONEXÕES: </w:t>
            </w:r>
            <w:r>
              <w:rPr>
                <w:i/>
                <w:iCs/>
              </w:rPr>
              <w:t xml:space="preserve">art. 1.593, CC; multiparentalidade; filiação socioafetiva.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Multiparentalidade — equivalência de efeitos jurídicos entre paternidade biológica e socioafetiva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1.487.596-MG   |   Relator: Min. Antonio Carlos Ferreira   |   Data: 28/09/2021</w:t>
            </w:r>
          </w:p>
          <w:p>
            <w:pPr>
              <w:spacing w:after="100"/>
            </w:pPr>
            <w:r>
              <w:rPr>
                <w:i/>
                <w:iCs/>
                <w:color w:val="555555"/>
                <w:sz w:val="19"/>
                <w:szCs w:val="19"/>
              </w:rPr>
              <w:t xml:space="preserve">Sistemática: Caso isolado (reafirma tese de Repercussão Geral do STF — Tema 622, RE 898.060/SC)</w:t>
            </w:r>
          </w:p>
          <w:p>
            <w:pPr>
              <w:spacing w:after="100"/>
            </w:pPr>
            <w:r>
              <w:rPr>
                <w:b/>
                <w:bCs/>
              </w:rPr>
              <w:t xml:space="preserve">TESE FIXADA / DECISÃO: </w:t>
            </w:r>
            <w:r>
              <w:t xml:space="preserve">Na multiparentalidade, deve ser reconhecida a equivalência de tratamento e de efeitos jurídicos entre as paternidades biológica e socioafetiva, inclusive quanto a efeitos patrimoniais e sucessórios, sem admitir registro como "pai socioafetivo" (que sugeriria posição inferior).</w:t>
            </w:r>
          </w:p>
          <w:p>
            <w:pPr>
              <w:spacing w:after="100"/>
            </w:pPr>
            <w:r>
              <w:rPr>
                <w:b/>
                <w:bCs/>
              </w:rPr>
              <w:t xml:space="preserve">RESUMO DO CASO: </w:t>
            </w:r>
            <w:r>
              <w:t xml:space="preserve">O STJ reafirmou, em caso concreto de multiparentalidade, que não pode haver hierarquia entre a paternidade biológica e a socioafetiva, sob pena de violar o princípio da igualdade entre filhos (art. 227, §6º, CF) e os arts. 1.596 do CC e 20 do ECA.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multiparentalidade gera equivalência plena de efeitos (inclusive sucessórios) entre vínculos biológico e socioafetivo — tema central e recorrente em provas FGV.</w:t>
            </w:r>
          </w:p>
          <w:p>
            <w:pPr>
              <w:pStyle w:val="ListParagraph"/>
              <w:numPr>
                <w:ilvl w:val="0"/>
                <w:numId w:val="2"/>
              </w:numPr>
              <w:spacing w:after="40"/>
            </w:pPr>
            <w:r>
              <w:rPr>
                <w:b/>
                <w:bCs/>
                <w:i/>
                <w:iCs/>
              </w:rPr>
              <w:t xml:space="preserve">Discursiva/Sentença: </w:t>
            </w:r>
            <w:r>
              <w:t xml:space="preserve">elaborar sentença de partilha envolvendo herdeiro com dupla filiação reconhecida (biológica e socioafetiva), aplicando a equivalência de efeitos.</w:t>
            </w:r>
          </w:p>
          <w:p>
            <w:pPr>
              <w:pStyle w:val="ListParagraph"/>
              <w:numPr>
                <w:ilvl w:val="0"/>
                <w:numId w:val="2"/>
              </w:numPr>
              <w:spacing w:after="100"/>
            </w:pPr>
            <w:r>
              <w:rPr>
                <w:b/>
                <w:bCs/>
                <w:i/>
                <w:iCs/>
              </w:rPr>
              <w:t xml:space="preserve">Oral: </w:t>
            </w:r>
            <w:r>
              <w:t xml:space="preserve">"Pode constar no registro civil a expressão 'pai socioafetivo'? Por quê?"</w:t>
            </w:r>
          </w:p>
          <w:p>
            <w:pPr>
              <w:spacing w:after="0"/>
            </w:pPr>
            <w:r>
              <w:rPr>
                <w:b/>
                <w:bCs/>
                <w:color w:val="A9762F"/>
              </w:rPr>
              <w:t xml:space="preserve">CONEXÕES: </w:t>
            </w:r>
            <w:r>
              <w:rPr>
                <w:i/>
                <w:iCs/>
              </w:rPr>
              <w:t xml:space="preserve">RE 898.060/SC (STF, Plenário, Tema 622 de Repercussão Geral, 2016); art. 227, §6º, CF; arts. 1.596 CC e 20 ECA.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Requisitos para anulação de registro por divergência entre paternidade biológica e registral, dada a proteção da socioafetividade</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1.829.093-PR   |   Relator: Min. Nancy Andrighi   |   Data: 01/06/2021</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divergência entre a paternidade biológica e a declarada no registro de nascimento não é apta, por si só, a anular o ato registral. É necessário: (a) prova robusta de erro ou coação no registro; e (b) inexistência de relação socioafetiva entre pai e filho registrado — o exame de DNA negativo, isoladamente, não basta.</w:t>
            </w:r>
          </w:p>
          <w:p>
            <w:pPr>
              <w:spacing w:after="100"/>
            </w:pPr>
            <w:r>
              <w:rPr>
                <w:b/>
                <w:bCs/>
              </w:rPr>
              <w:t xml:space="preserve">RESUMO DO CASO: </w:t>
            </w:r>
            <w:r>
              <w:t xml:space="preserve">O STJ consolidou os requisitos cumulativos para desconstituição do registro de nascimento fundada em ausência de vínculo biológico, reafirmando a proteção da paternidade socioafetiva como cláusula geral de tutela da personalidade. Em julgado correlato citado no mesmo Informativo (REsp 1.867.308/MT, j. 11/05/2022), o STJ reforçou que exame negativo não desconstitui a paternidade socioafetiva, sem prejuízo do reconhecimento do pai biológico (multiparentalidade).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os dois requisitos cumulativos (erro/coação no registro + ausência de socioafetividade) para anular registro por falsa paternidade — tema clássico e recorrente.</w:t>
            </w:r>
          </w:p>
          <w:p>
            <w:pPr>
              <w:pStyle w:val="ListParagraph"/>
              <w:numPr>
                <w:ilvl w:val="0"/>
                <w:numId w:val="2"/>
              </w:numPr>
              <w:spacing w:after="40"/>
            </w:pPr>
            <w:r>
              <w:rPr>
                <w:b/>
                <w:bCs/>
                <w:i/>
                <w:iCs/>
              </w:rPr>
              <w:t xml:space="preserve">Discursiva/Sentença: </w:t>
            </w:r>
            <w:r>
              <w:t xml:space="preserve">sentença em ação negatória de paternidade cumulada com pedido de anulação de registro, exigindo enfrentamento dos dois requisitos.</w:t>
            </w:r>
          </w:p>
          <w:p>
            <w:pPr>
              <w:pStyle w:val="ListParagraph"/>
              <w:numPr>
                <w:ilvl w:val="0"/>
                <w:numId w:val="2"/>
              </w:numPr>
              <w:spacing w:after="100"/>
            </w:pPr>
            <w:r>
              <w:rPr>
                <w:b/>
                <w:bCs/>
                <w:i/>
                <w:iCs/>
              </w:rPr>
              <w:t xml:space="preserve">Oral: </w:t>
            </w:r>
            <w:r>
              <w:t xml:space="preserve">"O exame de DNA negativo é suficiente para anular o registro de nascimento?"</w:t>
            </w:r>
          </w:p>
          <w:p>
            <w:pPr>
              <w:spacing w:after="0"/>
            </w:pPr>
            <w:r>
              <w:rPr>
                <w:b/>
                <w:bCs/>
                <w:color w:val="A9762F"/>
              </w:rPr>
              <w:t xml:space="preserve">CONEXÕES: </w:t>
            </w:r>
            <w:r>
              <w:rPr>
                <w:i/>
                <w:iCs/>
              </w:rPr>
              <w:t xml:space="preserve">reconhecimento voluntário de paternidade — irrevogabilidade salvo erro essencial sem vínculo socioafetivo consolidado (tema já cobrado pela FGV); REsp 1.867.308/MT (Info 699); multiparentalidade.</w:t>
            </w:r>
          </w:p>
        </w:tc>
      </w:tr>
    </w:tbl>
    <w:p>
      <w:pPr>
        <w:spacing w:after="160"/>
      </w:pPr>
    </w:p>
    <w:p>
      <w:pPr>
        <w:pStyle w:val="Heading2"/>
        <w:spacing w:after="160" w:before="200"/>
      </w:pPr>
      <w:r>
        <w:rPr>
          <w:color w:val="A9762F"/>
        </w:rPr>
        <w:t xml:space="preserve">ADMINISTRAÇÃO DE BENS DE FILHOS MENORES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Levantamento de valores depositados em juízo em favor de filho menor é ato de simples administração — pais têm legitimidade, salvo justo motivo</w:t>
            </w:r>
          </w:p>
          <w:p>
            <w:pPr>
              <w:spacing w:after="40"/>
            </w:pPr>
            <w:r>
              <w:rPr>
                <w:b/>
                <w:bCs/>
                <w:color w:val="555555"/>
                <w:sz w:val="19"/>
                <w:szCs w:val="19"/>
              </w:rPr>
              <w:t xml:space="preserve">Tribunal: STJ   |   Órgão: 3ª Turma (REsp 2.060.369-SP) e 4ª Turma (REsp 2.164.601-DF)</w:t>
            </w:r>
          </w:p>
          <w:p>
            <w:pPr>
              <w:spacing w:after="40"/>
            </w:pPr>
            <w:r>
              <w:rPr>
                <w:color w:val="555555"/>
                <w:sz w:val="19"/>
                <w:szCs w:val="19"/>
              </w:rPr>
              <w:t xml:space="preserve">Processo: REsp 2.060.369-SP, Rel. Min. Humberto Martins, julgado em 12/05/2026 (Info 889) — e REsp 2.164.601-DF, Rel. Min. João Otávio de Noronha, julgado em 14/04/2025 (Info 26 - Edição Extraordinária)</w:t>
            </w:r>
          </w:p>
          <w:p>
            <w:pPr>
              <w:spacing w:after="100"/>
            </w:pPr>
            <w:r>
              <w:rPr>
                <w:i/>
                <w:iCs/>
                <w:color w:val="555555"/>
                <w:sz w:val="19"/>
                <w:szCs w:val="19"/>
              </w:rPr>
              <w:t xml:space="preserve">Sistemática: Casos isolados (mesma tese reafirmada em dois julgados recentes)</w:t>
            </w:r>
          </w:p>
          <w:p>
            <w:pPr>
              <w:spacing w:after="100"/>
            </w:pPr>
            <w:r>
              <w:rPr>
                <w:b/>
                <w:bCs/>
              </w:rPr>
              <w:t xml:space="preserve">TESE FIXADA / DECISÃO: </w:t>
            </w:r>
            <w:r>
              <w:t xml:space="preserve">Os pais são administradores e usufrutuários dos bens dos filhos menores (art. 1.689, I e II, CC), tendo legitimidade para levantar valores depositados em juízo em prol dos filhos. Levantar valor em conta judicial vinculada é ato de simples administração (não de disposição), não se exigindo autorização judicial do art. 1.691, CC. A retenção até a maioridade é exceção que exige justo motivo concretamente observado (ex.: conflito de interesses, má administração, risco à integridade da quantia).</w:t>
            </w:r>
          </w:p>
          <w:p>
            <w:pPr>
              <w:spacing w:after="100"/>
            </w:pPr>
            <w:r>
              <w:rPr>
                <w:b/>
                <w:bCs/>
              </w:rPr>
              <w:t xml:space="preserve">RESUMO DO CASO: </w:t>
            </w:r>
            <w:r>
              <w:t xml:space="preserve">Em ambos os julgados, os genitores tiveram negado o levantamento de valores depositados judicialmente em nome dos filhos menores (decorrentes, por exemplo, de acordo de indenização), sob o argumento de que a quantia deveria ficar retida até a maioridade. O STJ reformou as decisões, afirmando que o poder familiar confere aos pais a administração e o usufruto legal dos bens dos filhos (art. 1.689 CC), e que o dever constitucional de prover educação e saúde (arts. 205 e 229, CF) não autoriza, por si só, a retenção do patrimônio do filho sem justo motivo concreto.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distinção entre atos de simples administração (dispensam autorização judicial) e atos que excedem a simples administração/atos de disposição (exigem autorização judicial, art. 1.691 CC) — tema já cobrado pela FGV.</w:t>
            </w:r>
          </w:p>
          <w:p>
            <w:pPr>
              <w:pStyle w:val="ListParagraph"/>
              <w:numPr>
                <w:ilvl w:val="0"/>
                <w:numId w:val="2"/>
              </w:numPr>
              <w:spacing w:after="40"/>
            </w:pPr>
            <w:r>
              <w:rPr>
                <w:b/>
                <w:bCs/>
                <w:i/>
                <w:iCs/>
              </w:rPr>
              <w:t xml:space="preserve">Discursiva/Sentença: </w:t>
            </w:r>
            <w:r>
              <w:t xml:space="preserve">decisão judicial sobre pedido de levantamento de valores depositados em nome de menor, avaliando se há "justo motivo" para retenção.</w:t>
            </w:r>
          </w:p>
          <w:p>
            <w:pPr>
              <w:pStyle w:val="ListParagraph"/>
              <w:numPr>
                <w:ilvl w:val="0"/>
                <w:numId w:val="2"/>
              </w:numPr>
              <w:spacing w:after="100"/>
            </w:pPr>
            <w:r>
              <w:rPr>
                <w:b/>
                <w:bCs/>
                <w:i/>
                <w:iCs/>
              </w:rPr>
              <w:t xml:space="preserve">Oral: </w:t>
            </w:r>
            <w:r>
              <w:t xml:space="preserve">"O levantamento de valores depositados em conta judicial em nome do filho menor exige autorização judicial? Por quê?"</w:t>
            </w:r>
          </w:p>
          <w:p>
            <w:pPr>
              <w:spacing w:after="0"/>
            </w:pPr>
            <w:r>
              <w:rPr>
                <w:b/>
                <w:bCs/>
                <w:color w:val="A9762F"/>
              </w:rPr>
              <w:t xml:space="preserve">CONEXÕES: </w:t>
            </w:r>
            <w:r>
              <w:rPr>
                <w:i/>
                <w:iCs/>
              </w:rPr>
              <w:t xml:space="preserve">arts. 1.689, I e II, e 1.691, CC (usufruto legal e administração de bens); arts. 205 e 229, CF; cessação da administração paterna por emprego/renda própria do menor (tema correlato já cobrado pela FGV, não localizado em julgado específico dentro da janela).</w:t>
            </w:r>
          </w:p>
        </w:tc>
      </w:tr>
    </w:tbl>
    <w:p>
      <w:pPr>
        <w:spacing w:after="160"/>
      </w:pPr>
    </w:p>
    <w:p>
      <w:pPr>
        <w:pStyle w:val="Heading1"/>
        <w:pageBreakBefore/>
        <w:spacing w:after="200"/>
      </w:pPr>
      <w:r>
        <w:rPr>
          <w:color w:val="7A1F2B"/>
        </w:rPr>
        <w:t xml:space="preserve">III. ALIMENTOS</w:t>
      </w:r>
    </w:p>
    <w:p>
      <w:pPr>
        <w:spacing w:after="300"/>
      </w:pPr>
      <w:r>
        <w:rPr>
          <w:i/>
          <w:iCs/>
          <w:color w:val="555555"/>
        </w:rPr>
        <w:t xml:space="preserve">CC arts. 1.694 a 1.710</w:t>
      </w:r>
    </w:p>
    <w:p>
      <w:pPr>
        <w:pStyle w:val="Heading2"/>
        <w:spacing w:after="160" w:before="200"/>
      </w:pPr>
      <w:r>
        <w:rPr>
          <w:color w:val="A9762F"/>
        </w:rPr>
        <w:t xml:space="preserve">GRUPO 1 — Natureza jurídica, obrigação alimentar e transmissibilidade</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Alimentos vencidos e não pagos SE TRANSMITEM aos herdeiros do credor falecido (execução prossegue por sucessão processual)</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2.010.219-MG   |   Relator: Min. Maria Isabel Gallotti   |   Data: 14/10/2025</w:t>
            </w:r>
          </w:p>
          <w:p>
            <w:pPr>
              <w:spacing w:after="100"/>
            </w:pPr>
            <w:r>
              <w:rPr>
                <w:i/>
                <w:iCs/>
                <w:color w:val="555555"/>
                <w:sz w:val="19"/>
                <w:szCs w:val="19"/>
              </w:rPr>
              <w:t xml:space="preserve">Sistemática: Caso isolado (decisão de Turma) — atenção: há julgado em sentido contrário (ver ficha seguinte)</w:t>
            </w:r>
          </w:p>
          <w:p>
            <w:pPr>
              <w:spacing w:after="100"/>
            </w:pPr>
            <w:r>
              <w:rPr>
                <w:b/>
                <w:bCs/>
              </w:rPr>
              <w:t xml:space="preserve">TESE FIXADA / DECISÃO: </w:t>
            </w:r>
            <w:r>
              <w:t xml:space="preserve">Os alimentos vencidos e não pagos no curso da execução configuram crédito concreto do alimentado, incorporando-se ao seu patrimônio; embora a obrigação alimentar seja personalíssima e intransmissível, as prestações vencidas adquirem natureza patrimonial e são transmissíveis aos herdeiros (art. 1.784 CC).</w:t>
            </w:r>
          </w:p>
          <w:p>
            <w:pPr>
              <w:spacing w:after="100"/>
            </w:pPr>
            <w:r>
              <w:rPr>
                <w:b/>
                <w:bCs/>
              </w:rPr>
              <w:t xml:space="preserve">RESUMO DO CASO: </w:t>
            </w:r>
            <w:r>
              <w:t xml:space="preserve">Pedro deixou de pagar pensão a Gabriel (filho), que ajuizou execução de alimentos. Gabriel faleceu aos 11 anos no curso do processo. Sua mãe pediu prosseguimento da execução pelos herdeiros, sob o argumento de que as parcelas vencidas já haviam ingressado no patrimônio da criança. O STJ acolheu o pedido, distinguindo alimentos futuros (personalíssimos, intransmissíveis) de alimentos pretéritos vencidos (patrimonializados, transmissíveis).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pegadinha clássica — confundir a intransmissibilidade do direito a alimentos futuros com a (in)transmissibilidade de parcelas JÁ VENCIDAS.</w:t>
            </w:r>
          </w:p>
          <w:p>
            <w:pPr>
              <w:pStyle w:val="ListParagraph"/>
              <w:numPr>
                <w:ilvl w:val="0"/>
                <w:numId w:val="2"/>
              </w:numPr>
              <w:spacing w:after="40"/>
            </w:pPr>
            <w:r>
              <w:rPr>
                <w:b/>
                <w:bCs/>
                <w:i/>
                <w:iCs/>
              </w:rPr>
              <w:t xml:space="preserve">Discursiva/Sentença: </w:t>
            </w:r>
            <w:r>
              <w:t xml:space="preserve">caso concreto de morte do alimentando na pendência de execução; pedir se os herdeiros podem prosseguir — exige diferenciar alimentos vincendos de vencidos.</w:t>
            </w:r>
          </w:p>
          <w:p>
            <w:pPr>
              <w:pStyle w:val="ListParagraph"/>
              <w:numPr>
                <w:ilvl w:val="0"/>
                <w:numId w:val="2"/>
              </w:numPr>
              <w:spacing w:after="100"/>
            </w:pPr>
            <w:r>
              <w:rPr>
                <w:b/>
                <w:bCs/>
                <w:i/>
                <w:iCs/>
              </w:rPr>
              <w:t xml:space="preserve">Oral: </w:t>
            </w:r>
            <w:r>
              <w:t xml:space="preserve">"Alimentos são transmissíveis aos herdeiros? Sempre?"</w:t>
            </w:r>
          </w:p>
          <w:p>
            <w:pPr>
              <w:spacing w:after="0"/>
            </w:pPr>
            <w:r>
              <w:rPr>
                <w:b/>
                <w:bCs/>
                <w:color w:val="A9762F"/>
              </w:rPr>
              <w:t xml:space="preserve">CONEXÕES: </w:t>
            </w:r>
            <w:r>
              <w:rPr>
                <w:i/>
                <w:iCs/>
              </w:rPr>
              <w:t xml:space="preserve">Contrasta diretamente com AgInt nos EDcl no AREsp 2.412.253-RS (Info 830, 2024) — mesma banca (STJ) chegou à conclusão OPOSTA um ano antes. Art. 1.700 e 1.707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O direito a alimentos vencidos e não pagos NÃO SE TRANSMITE aos herdeiros em caso de morte do alimentando</w:t>
            </w:r>
          </w:p>
          <w:p>
            <w:pPr>
              <w:spacing w:after="40"/>
            </w:pPr>
            <w:r>
              <w:rPr>
                <w:b/>
                <w:bCs/>
                <w:color w:val="555555"/>
                <w:sz w:val="19"/>
                <w:szCs w:val="19"/>
              </w:rPr>
              <w:t xml:space="preserve">Tribunal: STJ   |   Órgão: 4ª Turma</w:t>
            </w:r>
          </w:p>
          <w:p>
            <w:pPr>
              <w:spacing w:after="40"/>
            </w:pPr>
            <w:r>
              <w:rPr>
                <w:color w:val="555555"/>
                <w:sz w:val="19"/>
                <w:szCs w:val="19"/>
              </w:rPr>
              <w:t xml:space="preserve">Processo: AgInt nos EDcl no AREsp 2.412.253-RS   |   Relator: Min. João Otávio de Noronha   |   Data: 09/09/2024</w:t>
            </w:r>
          </w:p>
          <w:p>
            <w:pPr>
              <w:spacing w:after="100"/>
            </w:pPr>
            <w:r>
              <w:rPr>
                <w:i/>
                <w:iCs/>
                <w:color w:val="555555"/>
                <w:sz w:val="19"/>
                <w:szCs w:val="19"/>
              </w:rPr>
              <w:t xml:space="preserve">Sistemática: Caso isolado (decisão de Turma) — atenção: há julgado em sentido contrário (ver ficha anterior)</w:t>
            </w:r>
          </w:p>
          <w:p>
            <w:pPr>
              <w:spacing w:after="100"/>
            </w:pPr>
            <w:r>
              <w:rPr>
                <w:b/>
                <w:bCs/>
              </w:rPr>
              <w:t xml:space="preserve">TESE FIXADA / DECISÃO: </w:t>
            </w:r>
            <w:r>
              <w:t xml:space="preserve">A natureza personalíssima dos alimentos, somada ao seu caráter de patrimônio moral vinculado à sua finalidade, torna inviável a transmissão aos herdeiros em caso de morte do alimentando.</w:t>
            </w:r>
          </w:p>
          <w:p>
            <w:pPr>
              <w:spacing w:after="100"/>
            </w:pPr>
            <w:r>
              <w:rPr>
                <w:b/>
                <w:bCs/>
              </w:rPr>
              <w:t xml:space="preserve">RESUMO DO CASO: </w:t>
            </w:r>
            <w:r>
              <w:t xml:space="preserve">Julgado sintético do STJ (4ª Turma) reafirmando a tese clássica da intransmissibilidade dos alimentos, inclusive das parcelas vencidas, por sua natureza personalíssima.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alternativa que junta as duas teses (Info 830 x Info 870) — o examinador pode cobrar qual prevalece hoje ou apresentar a dualidade para testar atenção do candidato.</w:t>
            </w:r>
          </w:p>
          <w:p>
            <w:pPr>
              <w:pStyle w:val="ListParagraph"/>
              <w:numPr>
                <w:ilvl w:val="0"/>
                <w:numId w:val="2"/>
              </w:numPr>
              <w:spacing w:after="40"/>
            </w:pPr>
            <w:r>
              <w:rPr>
                <w:b/>
                <w:bCs/>
                <w:i/>
                <w:iCs/>
              </w:rPr>
              <w:t xml:space="preserve">Discursiva/Sentença: </w:t>
            </w:r>
            <w:r>
              <w:t xml:space="preserve">pedir para o candidato identificar e discutir a divergência interna do STJ sobre o tema, com fundamentação de ambas as correntes.</w:t>
            </w:r>
          </w:p>
          <w:p>
            <w:pPr>
              <w:pStyle w:val="ListParagraph"/>
              <w:numPr>
                <w:ilvl w:val="0"/>
                <w:numId w:val="2"/>
              </w:numPr>
              <w:spacing w:after="100"/>
            </w:pPr>
            <w:r>
              <w:rPr>
                <w:b/>
                <w:bCs/>
                <w:i/>
                <w:iCs/>
              </w:rPr>
              <w:t xml:space="preserve">Oral: </w:t>
            </w:r>
            <w:r>
              <w:t xml:space="preserve">"Existe entendimento pacífico no STJ sobre a transmissibilidade de alimentos vencidos? Justifique."</w:t>
            </w:r>
          </w:p>
          <w:p>
            <w:pPr>
              <w:spacing w:after="0"/>
            </w:pPr>
            <w:r>
              <w:rPr>
                <w:b/>
                <w:bCs/>
                <w:color w:val="A9762F"/>
              </w:rPr>
              <w:t xml:space="preserve">CONEXÕES: </w:t>
            </w:r>
            <w:r>
              <w:rPr>
                <w:i/>
                <w:iCs/>
              </w:rPr>
              <w:t xml:space="preserve">Ver REsp 2.010.219-MG (Info 870, 2025) — tese contrária e mais recente da própria 4ª Turma. Art. 1.700 CC. [VERIFICAR se há Recurso Repetitivo pendente para pacificar a matéria]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Continuidade prolongada do pagamento voluntário de alimentos gera legítima expectativa de manutenção por prazo indeterminado (supressio e surrectio)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2.172.590-RJ   |   Relator: Min. Nancy Andrighi   |   Data: 17/06/2025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possível a manutenção do pagamento de pensão alimentícia por prazo indeterminado quando o alimentante, mesmo exonerado (ou com prazo já esgotado), optou voluntariamente por continuar pagando por longo período, configurando supressio (perda do direito de cessar) e surrectio (nascimento da expectativa legítima do alimentando).</w:t>
            </w:r>
          </w:p>
          <w:p>
            <w:pPr>
              <w:spacing w:after="100"/>
            </w:pPr>
            <w:r>
              <w:rPr>
                <w:b/>
                <w:bCs/>
              </w:rPr>
              <w:t xml:space="preserve">RESUMO DO CASO: </w:t>
            </w:r>
            <w:r>
              <w:t xml:space="preserve">João e Regina se divorciaram em 1993, com pensão fixada por 1 ano. João continuou pagando voluntariamente por mais de 25 anos. Em 2018, pediu exoneração alegando dificuldades financeiras. O STJ negou, por Regina (idosa, com lúpus) ter se tornado financeiramente dependente da pensão e por incidência da boa-fé objetiva (supressio/surrectio).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aplicação dos institutos de boa-fé objetiva (supressio/surrectio) fora do direito obrigacional "clássico" — extensão ao direito de família.</w:t>
            </w:r>
          </w:p>
          <w:p>
            <w:pPr>
              <w:pStyle w:val="ListParagraph"/>
              <w:numPr>
                <w:ilvl w:val="0"/>
                <w:numId w:val="2"/>
              </w:numPr>
              <w:spacing w:after="40"/>
            </w:pPr>
            <w:r>
              <w:rPr>
                <w:b/>
                <w:bCs/>
                <w:i/>
                <w:iCs/>
              </w:rPr>
              <w:t xml:space="preserve">Discursiva/Sentença: </w:t>
            </w:r>
            <w:r>
              <w:t xml:space="preserve">caso de pedido de exoneração de alimentos entre ex-cônjuges após longuíssimo pagamento voluntário além do prazo fixado — pedir sentença fundamentada em boa-fé objetiva x transitoriedade dos alimentos entre ex-cônjuges.</w:t>
            </w:r>
          </w:p>
          <w:p>
            <w:pPr>
              <w:pStyle w:val="ListParagraph"/>
              <w:numPr>
                <w:ilvl w:val="0"/>
                <w:numId w:val="2"/>
              </w:numPr>
              <w:spacing w:after="100"/>
            </w:pPr>
            <w:r>
              <w:rPr>
                <w:b/>
                <w:bCs/>
                <w:i/>
                <w:iCs/>
              </w:rPr>
              <w:t xml:space="preserve">Oral: </w:t>
            </w:r>
            <w:r>
              <w:t xml:space="preserve">"O que são supressio e surrectio e como se aplicam aos alimentos?"</w:t>
            </w:r>
          </w:p>
          <w:p>
            <w:pPr>
              <w:spacing w:after="0"/>
            </w:pPr>
            <w:r>
              <w:rPr>
                <w:b/>
                <w:bCs/>
                <w:color w:val="A9762F"/>
              </w:rPr>
              <w:t xml:space="preserve">CONEXÕES: </w:t>
            </w:r>
            <w:r>
              <w:rPr>
                <w:i/>
                <w:iCs/>
              </w:rPr>
              <w:t xml:space="preserve">Contrasta com a tese geral de que alimentos entre ex-cônjuges são transitórios (REsp 1.829.295-SC, Info 669, 2020 — fora da janela, mas doutrina de base); art. 1.699 e 1.694 CC; princípio da boa-fé objetiva (art. 422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Não se aplica por analogia o regime de alimentos (baseado na filiação) a animais de estimação — e nova lei disciplina o tema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1.944.228-SP   |   Relator: Min. Ricardo Villas Bôas Cueva, Rel. p/ acórdão Min. Marco Aurélio Bellizze   |   Data: 18/10/2022</w:t>
            </w:r>
          </w:p>
          <w:p>
            <w:pPr>
              <w:spacing w:after="100"/>
            </w:pPr>
            <w:r>
              <w:rPr>
                <w:i/>
                <w:iCs/>
                <w:color w:val="555555"/>
                <w:sz w:val="19"/>
                <w:szCs w:val="19"/>
              </w:rPr>
              <w:t xml:space="preserve">Sistemática: Caso isolado (Info Especial 9/2022) — COM ATUALIZAÇÃO LEGISLATIVA POSTERIOR</w:t>
            </w:r>
          </w:p>
          <w:p>
            <w:pPr>
              <w:spacing w:after="100"/>
            </w:pPr>
            <w:r>
              <w:rPr>
                <w:b/>
                <w:bCs/>
              </w:rPr>
              <w:t xml:space="preserve">TESE FIXADA / DECISÃO: </w:t>
            </w:r>
            <w:r>
              <w:t xml:space="preserve">As despesas com animais de estimação são obrigações inerentes à condição de dono/coproprietário (art. 1.315 CC), e não alimentos fundados em filiação/Direito de Família. Encerrada a mancomunhão, aplica-se prazo prescricional trienal (art. 206, §3º, IV, CC) à pretensão de reembolso entre ex-companheiros. NOVIDADE: a Lei 15.392/2026 passou a disciplinar expressamente a "custódia compartilhada" de animais de estimação após dissolução de casamento/união estável (arts. 2º a 6º).</w:t>
            </w:r>
          </w:p>
          <w:p>
            <w:pPr>
              <w:spacing w:after="100"/>
            </w:pPr>
            <w:r>
              <w:rPr>
                <w:b/>
                <w:bCs/>
              </w:rPr>
              <w:t xml:space="preserve">RESUMO DO CASO: </w:t>
            </w:r>
            <w:r>
              <w:t xml:space="preserve">Ex-companheiros disputavam o custeio de despesas com pets adquiridos durante união estável já dissolvida. O STJ afastou a aplicação analógica do regime de alimentos, tratando a questão sob a ótica do condomínio/mancomunhão de bens.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pegadinha — "alimentos entre ex-companheiros pode abranger animal de estimação"? FALSO; é tema de partilha/condomínio, agora com lei própria.</w:t>
            </w:r>
          </w:p>
          <w:p>
            <w:pPr>
              <w:pStyle w:val="ListParagraph"/>
              <w:numPr>
                <w:ilvl w:val="0"/>
                <w:numId w:val="2"/>
              </w:numPr>
              <w:spacing w:after="40"/>
            </w:pPr>
            <w:r>
              <w:rPr>
                <w:b/>
                <w:bCs/>
                <w:i/>
                <w:iCs/>
              </w:rPr>
              <w:t xml:space="preserve">Discursiva/Sentença: </w:t>
            </w:r>
            <w:r>
              <w:t xml:space="preserve">questão de família contemporânea (guarda de pets) — pedir fundamentação sobre por que NÃO se aplica o regime de alimentos e qual o regramento legal atual.</w:t>
            </w:r>
          </w:p>
          <w:p>
            <w:pPr>
              <w:pStyle w:val="ListParagraph"/>
              <w:numPr>
                <w:ilvl w:val="0"/>
                <w:numId w:val="2"/>
              </w:numPr>
              <w:spacing w:after="100"/>
            </w:pPr>
            <w:r>
              <w:rPr>
                <w:b/>
                <w:bCs/>
                <w:i/>
                <w:iCs/>
              </w:rPr>
              <w:t xml:space="preserve">Oral: </w:t>
            </w:r>
            <w:r>
              <w:t xml:space="preserve">"Existe pensão alimentícia para animal de estimação? O que mudou com a Lei 15.392/2026?" [VERIFICAR teor integral da Lei 15.392/2026 antes da prova, pois é legislação muito recente]</w:t>
            </w:r>
          </w:p>
          <w:p>
            <w:pPr>
              <w:spacing w:after="0"/>
            </w:pPr>
            <w:r>
              <w:rPr>
                <w:b/>
                <w:bCs/>
                <w:color w:val="A9762F"/>
              </w:rPr>
              <w:t xml:space="preserve">CONEXÕES: </w:t>
            </w:r>
            <w:r>
              <w:rPr>
                <w:i/>
                <w:iCs/>
              </w:rPr>
              <w:t xml:space="preserve">art. 1.315 CC (despesas de coisa comum); art. 206, §3º, IV, CC (prescrição); Lei 15.392/2026 (custódia compartilhada de animais).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Inadimplemento de alimentos compensatórios não autoriza prisão civil</w:t>
            </w:r>
          </w:p>
          <w:p>
            <w:pPr>
              <w:spacing w:after="40"/>
            </w:pPr>
            <w:r>
              <w:rPr>
                <w:b/>
                <w:bCs/>
                <w:color w:val="555555"/>
                <w:sz w:val="19"/>
                <w:szCs w:val="19"/>
              </w:rPr>
              <w:t xml:space="preserve">Tribunal: STJ   |   Órgão: 3ª Turma / 4ª Turma</w:t>
            </w:r>
          </w:p>
          <w:p>
            <w:pPr>
              <w:spacing w:after="40"/>
            </w:pPr>
            <w:r>
              <w:rPr>
                <w:color w:val="555555"/>
                <w:sz w:val="19"/>
                <w:szCs w:val="19"/>
              </w:rPr>
              <w:t xml:space="preserve">Processo: HC 744.673/SP (principal)   |   Relator: Min. Raul Araújo   |   Data: 13/09/2022 (Info 757) — precedente: RHC 117.996/RS, Rel. Min. Marco Aurélio Bellizze, julgado em 02/06/2020</w:t>
            </w:r>
          </w:p>
          <w:p>
            <w:pPr>
              <w:spacing w:after="100"/>
            </w:pPr>
            <w:r>
              <w:rPr>
                <w:i/>
                <w:iCs/>
                <w:color w:val="555555"/>
                <w:sz w:val="19"/>
                <w:szCs w:val="19"/>
              </w:rPr>
              <w:t xml:space="preserve">Sistemática: Caso isolado, reiterado por duas Turmas</w:t>
            </w:r>
          </w:p>
          <w:p>
            <w:pPr>
              <w:spacing w:after="100"/>
            </w:pPr>
            <w:r>
              <w:rPr>
                <w:b/>
                <w:bCs/>
              </w:rPr>
              <w:t xml:space="preserve">TESE FIXADA / DECISÃO: </w:t>
            </w:r>
            <w:r>
              <w:t xml:space="preserve">O inadimplemento de alimentos compensatórios — destinados a manter o padrão de vida do ex-cônjuge após a ruptura da sociedade conjugal — não autoriza execução pelo rito da prisão civil, por terem natureza indenizatória, e não alimentar em sentido estrito.</w:t>
            </w:r>
          </w:p>
          <w:p>
            <w:pPr>
              <w:spacing w:after="100"/>
            </w:pPr>
            <w:r>
              <w:rPr>
                <w:b/>
                <w:bCs/>
              </w:rPr>
              <w:t xml:space="preserve">RESUMO DO CASO: </w:t>
            </w:r>
            <w:r>
              <w:t xml:space="preserve">Julgados reiterados do STJ distinguindo "alimentos compensatórios" (natureza indenizatória, ligados ao desequilíbrio econômico da separação, geralmente incidentes sobre partilha de bens) dos alimentos civis/naturais propriamente ditos, afastando a prisão civil como meio coercitivo para os primeiros.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"alimentos compensatórios" (indenizatórios, sem prisão) de "alimentos" strictu sensu (coercíveis por prisão) — clássica pegadinha de nomenclatura.</w:t>
            </w:r>
          </w:p>
          <w:p>
            <w:pPr>
              <w:pStyle w:val="ListParagraph"/>
              <w:numPr>
                <w:ilvl w:val="0"/>
                <w:numId w:val="2"/>
              </w:numPr>
              <w:spacing w:after="40"/>
            </w:pPr>
            <w:r>
              <w:rPr>
                <w:b/>
                <w:bCs/>
                <w:i/>
                <w:iCs/>
              </w:rPr>
              <w:t xml:space="preserve">Discursiva/Sentença: </w:t>
            </w:r>
            <w:r>
              <w:t xml:space="preserve">caso de execução de alimentos compensatórios pedindo prisão civil — pedir decisão fundamentada indeferindo a prisão, com base na natureza indenizatória da verba.</w:t>
            </w:r>
          </w:p>
          <w:p>
            <w:pPr>
              <w:pStyle w:val="ListParagraph"/>
              <w:numPr>
                <w:ilvl w:val="0"/>
                <w:numId w:val="2"/>
              </w:numPr>
              <w:spacing w:after="100"/>
            </w:pPr>
            <w:r>
              <w:rPr>
                <w:b/>
                <w:bCs/>
                <w:i/>
                <w:iCs/>
              </w:rPr>
              <w:t xml:space="preserve">Oral: </w:t>
            </w:r>
            <w:r>
              <w:t xml:space="preserve">"O que são alimentos compensatórios? Cabe prisão civil pelo seu inadimplemento?"</w:t>
            </w:r>
          </w:p>
          <w:p>
            <w:pPr>
              <w:spacing w:after="0"/>
            </w:pPr>
            <w:r>
              <w:rPr>
                <w:b/>
                <w:bCs/>
                <w:color w:val="A9762F"/>
              </w:rPr>
              <w:t xml:space="preserve">CONEXÕES: </w:t>
            </w:r>
            <w:r>
              <w:rPr>
                <w:i/>
                <w:iCs/>
              </w:rPr>
              <w:t xml:space="preserve">art. 528 CPC (rito da prisão civil, restrito a alimentos "naturais"); Súmula 309-STJ (débito alimentar que autoriza prisão).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Preso não fica automaticamente desobrigado de prestar alimentos</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1.882.798-DF   |   Relator: Min. Ricardo Villas Bôas Cueva   |   Data: 10/08/2021</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fato de o devedor de alimentos estar recolhido à prisão pela prática de crime não afasta, por si só, sua obrigação alimentar, tendo em vista a possibilidade de desempenho de atividade remunerada dentro ou fora do estabelecimento prisional, a depender do regime.</w:t>
            </w:r>
          </w:p>
          <w:p>
            <w:pPr>
              <w:spacing w:after="100"/>
            </w:pPr>
            <w:r>
              <w:rPr>
                <w:b/>
                <w:bCs/>
              </w:rPr>
              <w:t xml:space="preserve">RESUMO DO CASO: </w:t>
            </w:r>
            <w:r>
              <w:t xml:space="preserve">Julgado que reforça que a impossibilidade de prestar alimentos deve ser comprovada concretamente (binômio necessidade-possibilidade), não bastando a mera alegação de encarceramento.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"estar preso automaticamente exonera dos alimentos" — alternativa FALSA clássica.</w:t>
            </w:r>
          </w:p>
          <w:p>
            <w:pPr>
              <w:pStyle w:val="ListParagraph"/>
              <w:numPr>
                <w:ilvl w:val="0"/>
                <w:numId w:val="2"/>
              </w:numPr>
              <w:spacing w:after="40"/>
            </w:pPr>
            <w:r>
              <w:rPr>
                <w:b/>
                <w:bCs/>
                <w:i/>
                <w:iCs/>
              </w:rPr>
              <w:t xml:space="preserve">Discursiva/Sentença: </w:t>
            </w:r>
            <w:r>
              <w:t xml:space="preserve">pedido de exoneração/redução fundado apenas no encarceramento — exige análise da prova da real impossibilidade financeira.</w:t>
            </w:r>
          </w:p>
          <w:p>
            <w:pPr>
              <w:pStyle w:val="ListParagraph"/>
              <w:numPr>
                <w:ilvl w:val="0"/>
                <w:numId w:val="2"/>
              </w:numPr>
              <w:spacing w:after="100"/>
            </w:pPr>
            <w:r>
              <w:rPr>
                <w:b/>
                <w:bCs/>
                <w:i/>
                <w:iCs/>
              </w:rPr>
              <w:t xml:space="preserve">Oral: </w:t>
            </w:r>
            <w:r>
              <w:t xml:space="preserve">"A prisão do alimentante extingue a obrigação alimentar?"</w:t>
            </w:r>
          </w:p>
          <w:p>
            <w:pPr>
              <w:spacing w:after="0"/>
            </w:pPr>
            <w:r>
              <w:rPr>
                <w:b/>
                <w:bCs/>
                <w:color w:val="A9762F"/>
              </w:rPr>
              <w:t xml:space="preserve">CONEXÕES: </w:t>
            </w:r>
            <w:r>
              <w:rPr>
                <w:i/>
                <w:iCs/>
              </w:rPr>
              <w:t xml:space="preserve">art. 1.699 CC (binômio necessidade-possibilidade); art. 1.694 CC.</w:t>
            </w:r>
          </w:p>
        </w:tc>
      </w:tr>
    </w:tbl>
    <w:p>
      <w:pPr>
        <w:spacing w:after="160"/>
      </w:pPr>
    </w:p>
    <w:p>
      <w:pPr>
        <w:pStyle w:val="Heading2"/>
        <w:spacing w:after="160" w:before="200"/>
      </w:pPr>
      <w:r>
        <w:rPr>
          <w:color w:val="A9762F"/>
        </w:rPr>
        <w:t xml:space="preserve">GRUPO 2 — Fixação, quantum e prova da capacidade/necessidade</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Cabível a quebra de sigilo fiscal e bancário do alimentante quando não houver outro meio idôneo de apurar sua real capacidade econômica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2.126.879-SP   |   Relator: Min. Moura Ribeiro   |   Data: 18/03/2025</w:t>
            </w:r>
          </w:p>
          <w:p>
            <w:pPr>
              <w:spacing w:after="100"/>
            </w:pPr>
            <w:r>
              <w:rPr>
                <w:i/>
                <w:iCs/>
                <w:color w:val="555555"/>
                <w:sz w:val="19"/>
                <w:szCs w:val="19"/>
              </w:rPr>
              <w:t xml:space="preserve">Sistemática: Caso isolado (Info Extraordinária 26/2025)</w:t>
            </w:r>
          </w:p>
          <w:p>
            <w:pPr>
              <w:spacing w:after="100"/>
            </w:pPr>
            <w:r>
              <w:rPr>
                <w:b/>
                <w:bCs/>
              </w:rPr>
              <w:t xml:space="preserve">TESE FIXADA / DECISÃO: </w:t>
            </w:r>
            <w:r>
              <w:t xml:space="preserve">A quebra de sigilo fiscal/bancário, embora medida excepcional, é admissível em ação de alimentos quando houver controvérsia fundada sobre a real capacidade econômica do alimentante e inexistir outro meio eficaz de apuração, prevalecendo o direito à alimentação sobre o sigilo.</w:t>
            </w:r>
          </w:p>
          <w:p>
            <w:pPr>
              <w:spacing w:after="100"/>
            </w:pPr>
            <w:r>
              <w:rPr>
                <w:b/>
                <w:bCs/>
              </w:rPr>
              <w:t xml:space="preserve">RESUMO DO CASO: </w:t>
            </w:r>
            <w:r>
              <w:t xml:space="preserve">Julgado que reafirma a prevalência do direito fundamental a alimentos sobre o sigilo fiscal/bancário quando há indícios de ocultação patrimonial ou incompatibilidade entre remuneração formal e sinais exteriores de riqueza.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requisitos para a quebra excepcional de sigilo em ação de alimentos (subsidiariedade + controvérsia fundada).</w:t>
            </w:r>
          </w:p>
          <w:p>
            <w:pPr>
              <w:pStyle w:val="ListParagraph"/>
              <w:numPr>
                <w:ilvl w:val="0"/>
                <w:numId w:val="2"/>
              </w:numPr>
              <w:spacing w:after="40"/>
            </w:pPr>
            <w:r>
              <w:rPr>
                <w:b/>
                <w:bCs/>
                <w:i/>
                <w:iCs/>
              </w:rPr>
              <w:t xml:space="preserve">Discursiva/Sentença: </w:t>
            </w:r>
            <w:r>
              <w:t xml:space="preserve">caso de alimentante que oculta patrimônio/renda — decisão fundamentando o deferimento da quebra de sigilo.</w:t>
            </w:r>
          </w:p>
          <w:p>
            <w:pPr>
              <w:pStyle w:val="ListParagraph"/>
              <w:numPr>
                <w:ilvl w:val="0"/>
                <w:numId w:val="2"/>
              </w:numPr>
              <w:spacing w:after="100"/>
            </w:pPr>
            <w:r>
              <w:rPr>
                <w:b/>
                <w:bCs/>
                <w:i/>
                <w:iCs/>
              </w:rPr>
              <w:t xml:space="preserve">Oral: </w:t>
            </w:r>
            <w:r>
              <w:t xml:space="preserve">"É possível quebrar o sigilo bancário do réu em ação de alimentos? Em que condições?"</w:t>
            </w:r>
          </w:p>
          <w:p>
            <w:pPr>
              <w:spacing w:after="0"/>
            </w:pPr>
            <w:r>
              <w:rPr>
                <w:b/>
                <w:bCs/>
                <w:color w:val="A9762F"/>
              </w:rPr>
              <w:t xml:space="preserve">CONEXÕES: </w:t>
            </w:r>
            <w:r>
              <w:rPr>
                <w:i/>
                <w:iCs/>
              </w:rPr>
              <w:t xml:space="preserve">binômio necessidade-possibilidade (art. 1.694, §1º, CC); princípio da dignidade da pessoa humana; art. 1º, X, CF (proporcionalidade entre direitos fundamentais).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É possível fixar alimentos em patamar inferior ao pedido na inicial mesmo com revelia do réu</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1.971.966/SP   |   Relator: Min. Marco Aurélio Bellizze   |   Data: 05/03/2024</w:t>
            </w:r>
          </w:p>
          <w:p>
            <w:pPr>
              <w:spacing w:after="100"/>
            </w:pPr>
            <w:r>
              <w:rPr>
                <w:i/>
                <w:iCs/>
                <w:color w:val="555555"/>
                <w:sz w:val="19"/>
                <w:szCs w:val="19"/>
              </w:rPr>
              <w:t xml:space="preserve">Sistemática: Caso isolado (Info Extraordinária 20/2024)</w:t>
            </w:r>
          </w:p>
          <w:p>
            <w:pPr>
              <w:spacing w:after="100"/>
            </w:pPr>
            <w:r>
              <w:rPr>
                <w:b/>
                <w:bCs/>
              </w:rPr>
              <w:t xml:space="preserve">TESE FIXADA / DECISÃO: </w:t>
            </w:r>
            <w:r>
              <w:t xml:space="preserve">Os efeitos da revelia (presunção de veracidade) são relativos; na ação de alimentos, o magistrado pode arbitrar a verba de acordo com os elementos dos autos e fora dos parâmetros do pedido, observando o binômio necessidade/capacidade — mitigação dos princípios da adstrição/congruência.</w:t>
            </w:r>
          </w:p>
          <w:p>
            <w:pPr>
              <w:spacing w:after="100"/>
            </w:pPr>
            <w:r>
              <w:rPr>
                <w:b/>
                <w:bCs/>
              </w:rPr>
              <w:t xml:space="preserve">RESUMO DO CASO: </w:t>
            </w:r>
            <w:r>
              <w:t xml:space="preserve">Julgado que reforça a natureza especial da ação de alimentos, na qual o juiz não fica estritamente vinculado ao pedido inicial, podendo fixar valor diverso (inclusive inferior) mesmo diante de revelia.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"revelia em ação de alimentos vincula o juiz ao valor pedido" — alternativa FALSA.</w:t>
            </w:r>
          </w:p>
          <w:p>
            <w:pPr>
              <w:pStyle w:val="ListParagraph"/>
              <w:numPr>
                <w:ilvl w:val="0"/>
                <w:numId w:val="2"/>
              </w:numPr>
              <w:spacing w:after="40"/>
            </w:pPr>
            <w:r>
              <w:rPr>
                <w:b/>
                <w:bCs/>
                <w:i/>
                <w:iCs/>
              </w:rPr>
              <w:t xml:space="preserve">Discursiva/Sentença: </w:t>
            </w:r>
            <w:r>
              <w:t xml:space="preserve">sentença de fixação de alimentos com revelia do réu, mas provas dos autos indicando quantum inferior ao pedido — fundamentar a mitigação da adstrição.</w:t>
            </w:r>
          </w:p>
          <w:p>
            <w:pPr>
              <w:pStyle w:val="ListParagraph"/>
              <w:numPr>
                <w:ilvl w:val="0"/>
                <w:numId w:val="2"/>
              </w:numPr>
              <w:spacing w:after="100"/>
            </w:pPr>
            <w:r>
              <w:rPr>
                <w:b/>
                <w:bCs/>
                <w:i/>
                <w:iCs/>
              </w:rPr>
              <w:t xml:space="preserve">Oral: </w:t>
            </w:r>
            <w:r>
              <w:t xml:space="preserve">"A revelia obriga o juiz a fixar exatamente o valor de alimentos pedido na inicial?"</w:t>
            </w:r>
          </w:p>
          <w:p>
            <w:pPr>
              <w:spacing w:after="0"/>
            </w:pPr>
            <w:r>
              <w:rPr>
                <w:b/>
                <w:bCs/>
                <w:color w:val="A9762F"/>
              </w:rPr>
              <w:t xml:space="preserve">CONEXÕES: </w:t>
            </w:r>
            <w:r>
              <w:rPr>
                <w:i/>
                <w:iCs/>
              </w:rPr>
              <w:t xml:space="preserve">art. 344 e 345 CPC (revelia); princípios da adstrição/congruência; binômio necessidade-possibilidade.</w:t>
            </w:r>
          </w:p>
        </w:tc>
      </w:tr>
    </w:tbl>
    <w:p>
      <w:pPr>
        <w:spacing w:after="160"/>
      </w:pPr>
    </w:p>
    <w:p>
      <w:pPr>
        <w:pStyle w:val="Heading2"/>
        <w:spacing w:after="160" w:before="200"/>
      </w:pPr>
      <w:r>
        <w:rPr>
          <w:color w:val="A9762F"/>
        </w:rPr>
        <w:t xml:space="preserve">GRUPO 3 — Maioridade, revisão e exoneração de alimentos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Maioridade civil e capacidade em tese de autossustento não desconstituem, por si só, a obrigação alimentar</w:t>
            </w:r>
          </w:p>
          <w:p>
            <w:pPr>
              <w:spacing w:after="40"/>
            </w:pPr>
            <w:r>
              <w:rPr>
                <w:b/>
                <w:bCs/>
                <w:color w:val="555555"/>
                <w:sz w:val="19"/>
                <w:szCs w:val="19"/>
              </w:rPr>
              <w:t xml:space="preserve">Tribunal: STJ   |   Órgão: 4ª Turma</w:t>
            </w:r>
          </w:p>
          <w:p>
            <w:pPr>
              <w:spacing w:after="40"/>
            </w:pPr>
            <w:r>
              <w:rPr>
                <w:color w:val="555555"/>
                <w:sz w:val="19"/>
                <w:szCs w:val="19"/>
              </w:rPr>
              <w:t xml:space="preserve">Processo: HC 908.346-PR   |   Relator: Min. Raul Araújo, Rel. p/ acórdão Min. Antonio Carlos Ferreira   |   Data: 13/08/2024</w:t>
            </w:r>
          </w:p>
          <w:p>
            <w:pPr>
              <w:spacing w:after="100"/>
            </w:pPr>
            <w:r>
              <w:rPr>
                <w:i/>
                <w:iCs/>
                <w:color w:val="555555"/>
                <w:sz w:val="19"/>
                <w:szCs w:val="19"/>
              </w:rPr>
              <w:t xml:space="preserve">Sistemática: Caso isolado — aplica Súmula 358-STJ</w:t>
            </w:r>
          </w:p>
          <w:p>
            <w:pPr>
              <w:spacing w:after="100"/>
            </w:pPr>
            <w:r>
              <w:rPr>
                <w:b/>
                <w:bCs/>
              </w:rPr>
              <w:t xml:space="preserve">TESE FIXADA / DECISÃO: </w:t>
            </w:r>
            <w:r>
              <w:t xml:space="preserve">A maioridade civil e a capacidade, em tese, de o alimentando promover o próprio sustento não são capazes, por si sós, de desconstituir a obrigação alimentar, exigindo-se prova pré-constituída da desnecessidade da prestação (Súmula 358-STJ: cancelamento de pensão de filho maior depende de decisão judicial em contraditório).</w:t>
            </w:r>
          </w:p>
          <w:p>
            <w:pPr>
              <w:spacing w:after="100"/>
            </w:pPr>
            <w:r>
              <w:rPr>
                <w:b/>
                <w:bCs/>
              </w:rPr>
              <w:t xml:space="preserve">RESUMO DO CASO: </w:t>
            </w:r>
            <w:r>
              <w:t xml:space="preserve">Larissa, filha de João, atingiu a maioridade e cursa faculdade com estágio remunerado. João parou de pagar alimentos e foi executado; alegou em HC que a maioridade e o estágio remunerado extinguiriam a obrigação. O STJ negou o HC, exigindo prova pré-constituída da desnecessidade, em respeito ao contraditório.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aplicação direta da Súmula 358-STJ — tema clássico e recorrente em provas FGV.</w:t>
            </w:r>
          </w:p>
          <w:p>
            <w:pPr>
              <w:pStyle w:val="ListParagraph"/>
              <w:numPr>
                <w:ilvl w:val="0"/>
                <w:numId w:val="2"/>
              </w:numPr>
              <w:spacing w:after="40"/>
            </w:pPr>
            <w:r>
              <w:rPr>
                <w:b/>
                <w:bCs/>
                <w:i/>
                <w:iCs/>
              </w:rPr>
              <w:t xml:space="preserve">Discursiva/Sentença: </w:t>
            </w:r>
            <w:r>
              <w:t xml:space="preserve">caso de filho maior universitário com renda de estágio — pedir se cessa automaticamente a obrigação alimentar (resposta: não, exige decisão judicial em contraditório).</w:t>
            </w:r>
          </w:p>
          <w:p>
            <w:pPr>
              <w:pStyle w:val="ListParagraph"/>
              <w:numPr>
                <w:ilvl w:val="0"/>
                <w:numId w:val="2"/>
              </w:numPr>
              <w:spacing w:after="100"/>
            </w:pPr>
            <w:r>
              <w:rPr>
                <w:b/>
                <w:bCs/>
                <w:i/>
                <w:iCs/>
              </w:rPr>
              <w:t xml:space="preserve">Oral: </w:t>
            </w:r>
            <w:r>
              <w:t xml:space="preserve">"O que diz a Súmula 358 do STJ? A maioridade extingue automaticamente os alimentos?"</w:t>
            </w:r>
          </w:p>
          <w:p>
            <w:pPr>
              <w:spacing w:after="0"/>
            </w:pPr>
            <w:r>
              <w:rPr>
                <w:b/>
                <w:bCs/>
                <w:color w:val="A9762F"/>
              </w:rPr>
              <w:t xml:space="preserve">CONEXÕES: </w:t>
            </w:r>
            <w:r>
              <w:rPr>
                <w:i/>
                <w:iCs/>
              </w:rPr>
              <w:t xml:space="preserve">Súmula 358-STJ; HC 875.013/RN (Info 802, 2024) — hipótese em que a prisão civil foi excepcionalmente afastada por ausência de urgência em caso de credora maior e já capacitada profissionalmente (ver ficha seguinte). TEMA JÁ COBRADO PELA FGV.</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Prisão civil pode ser excepcionalmente afastada quando as particularidades do caso evidenciam ausência de urgência no recebimento dos alimentos executados</w:t>
            </w:r>
          </w:p>
          <w:p>
            <w:pPr>
              <w:spacing w:after="40"/>
            </w:pPr>
            <w:r>
              <w:rPr>
                <w:b/>
                <w:bCs/>
                <w:color w:val="555555"/>
                <w:sz w:val="19"/>
                <w:szCs w:val="19"/>
              </w:rPr>
              <w:t xml:space="preserve">Tribunal: STJ   |   Órgão: 3ª Turma</w:t>
            </w:r>
          </w:p>
          <w:p>
            <w:pPr>
              <w:spacing w:after="40"/>
            </w:pPr>
            <w:r>
              <w:rPr>
                <w:color w:val="555555"/>
                <w:sz w:val="19"/>
                <w:szCs w:val="19"/>
              </w:rPr>
              <w:t xml:space="preserve">Processo: HC 875.013/RN   |   Relator: Min. Moura Ribeiro   |   Data: 20/02/2024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Ainda que a maioridade e a capacidade de autossustento não extingam automaticamente a obrigação (Súmula 358-STJ), circunstâncias concretas — como credora maior, advogada, associada a escritório — podem afastar a URGÊNCIA que justifica a medida extrema da prisão civil, tornando-a desnecessária/ineficaz.</w:t>
            </w:r>
          </w:p>
          <w:p>
            <w:pPr>
              <w:spacing w:after="100"/>
            </w:pPr>
            <w:r>
              <w:rPr>
                <w:b/>
                <w:bCs/>
              </w:rPr>
              <w:t xml:space="preserve">RESUMO DO CASO: </w:t>
            </w:r>
            <w:r>
              <w:t xml:space="preserve">Execução de alimentos ajuizada em 2015; em 2023 novo juiz decretou prisão civil do devedor. A credora, então com 26 anos, advogada atuante, obteve o afastamento da prisão por ausência de risco iminente à sua subsistência — mantendo, porém, a dívida exigível por outros meios.</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"extinção da obrigação alimentar" (não ocorre automaticamente) de "afastamento da prisão civil como meio coercitivo" (pode ocorrer por ausência de urgência) — são coisas diferentes.</w:t>
            </w:r>
          </w:p>
          <w:p>
            <w:pPr>
              <w:pStyle w:val="ListParagraph"/>
              <w:numPr>
                <w:ilvl w:val="0"/>
                <w:numId w:val="2"/>
              </w:numPr>
              <w:spacing w:after="40"/>
            </w:pPr>
            <w:r>
              <w:rPr>
                <w:b/>
                <w:bCs/>
                <w:i/>
                <w:iCs/>
              </w:rPr>
              <w:t xml:space="preserve">Discursiva/Sentença: </w:t>
            </w:r>
            <w:r>
              <w:t xml:space="preserve">pedir decisão em HC contra prisão civil de devedor cuja credora já tem capacidade de autossustento — analisar proporcionalidade da medida extrema.</w:t>
            </w:r>
          </w:p>
          <w:p>
            <w:pPr>
              <w:pStyle w:val="ListParagraph"/>
              <w:numPr>
                <w:ilvl w:val="0"/>
                <w:numId w:val="2"/>
              </w:numPr>
              <w:spacing w:after="100"/>
            </w:pPr>
            <w:r>
              <w:rPr>
                <w:b/>
                <w:bCs/>
                <w:i/>
                <w:iCs/>
              </w:rPr>
              <w:t xml:space="preserve">Oral: </w:t>
            </w:r>
            <w:r>
              <w:t xml:space="preserve">"É possível afastar a prisão civil sem extinguir a obrigação alimentar? Como se justifica?"</w:t>
            </w:r>
          </w:p>
          <w:p>
            <w:pPr>
              <w:spacing w:after="0"/>
            </w:pPr>
            <w:r>
              <w:rPr>
                <w:b/>
                <w:bCs/>
                <w:color w:val="A9762F"/>
              </w:rPr>
              <w:t xml:space="preserve">CONEXÕES: </w:t>
            </w:r>
            <w:r>
              <w:rPr>
                <w:i/>
                <w:iCs/>
              </w:rPr>
              <w:t xml:space="preserve">HC 908.346-PR (Info 822) e Súmula 358-STJ; art. 528 CPC.</w:t>
            </w:r>
          </w:p>
        </w:tc>
      </w:tr>
    </w:tbl>
    <w:p>
      <w:pPr>
        <w:spacing w:after="160"/>
      </w:pPr>
    </w:p>
    <w:p>
      <w:pPr>
        <w:pStyle w:val="Heading2"/>
        <w:spacing w:after="160" w:before="200"/>
      </w:pPr>
      <w:r>
        <w:rPr>
          <w:color w:val="A9762F"/>
        </w:rPr>
        <w:t xml:space="preserve">GRUPO 4 — Prisão civil (aspectos processuais e execução coercitiva)</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Intimação via WhatsApp não tem previsão legal e não pode fundamentar decreto de prisão civil do devedor de alimentos</w:t>
            </w:r>
          </w:p>
          <w:p>
            <w:pPr>
              <w:spacing w:after="40"/>
            </w:pPr>
            <w:r>
              <w:rPr>
                <w:b/>
                <w:bCs/>
                <w:color w:val="555555"/>
                <w:sz w:val="19"/>
                <w:szCs w:val="19"/>
              </w:rPr>
              <w:t xml:space="preserve">Tribunal: STJ   |   Órgão: 4ª Turma</w:t>
            </w:r>
          </w:p>
          <w:p>
            <w:pPr>
              <w:spacing w:after="40"/>
            </w:pPr>
            <w:r>
              <w:rPr>
                <w:color w:val="555555"/>
                <w:sz w:val="19"/>
                <w:szCs w:val="19"/>
              </w:rPr>
              <w:t xml:space="preserve">Processo: RHC 227.145-MG   |   Relator: Min. Raul Araújo   |   Data: 03/03/2026</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intimação via WhatsApp não possui previsão legal (apenas resoluções administrativas do CNJ/tribunais), sendo insuficiente para substituir a intimação PESSOAL exigida pelo art. 528 do CPC, dada a gravidade da sanção (prisão civil). A dificuldade de localizar o devedor não autoriza flexibilizar essa exigência.</w:t>
            </w:r>
          </w:p>
          <w:p>
            <w:pPr>
              <w:spacing w:after="100"/>
            </w:pPr>
            <w:r>
              <w:rPr>
                <w:b/>
                <w:bCs/>
              </w:rPr>
              <w:t xml:space="preserve">RESUMO DO CASO: </w:t>
            </w:r>
            <w:r>
              <w:t xml:space="preserve">Devedora de alimentos não localizada em endereços conhecidos foi intimada por WhatsApp (com confirmação de recebimento e acesso aos autos), mas não pagou nem justificou. O juízo decretou prisão civil por 45 dias, mantida pelo TJ, mas o STJ afastou a prisão por invalidade da forma de intimação.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"intimação por WhatsApp é válida para fins de prisão civil por dívida alimentar, desde que haja confirmação de recebimento" — alternativa FALSA (é julgado bem recente e "pegadinha" de atualidade).</w:t>
            </w:r>
          </w:p>
          <w:p>
            <w:pPr>
              <w:pStyle w:val="ListParagraph"/>
              <w:numPr>
                <w:ilvl w:val="0"/>
                <w:numId w:val="2"/>
              </w:numPr>
              <w:spacing w:after="40"/>
            </w:pPr>
            <w:r>
              <w:rPr>
                <w:b/>
                <w:bCs/>
                <w:i/>
                <w:iCs/>
              </w:rPr>
              <w:t xml:space="preserve">Discursiva/Sentença: </w:t>
            </w:r>
            <w:r>
              <w:t xml:space="preserve">caso de decreto de prisão civil fundado em intimação por aplicativo de mensagens — pedir análise da validade à luz do art. 528 CPC x art. 270 CPC.</w:t>
            </w:r>
          </w:p>
          <w:p>
            <w:pPr>
              <w:pStyle w:val="ListParagraph"/>
              <w:numPr>
                <w:ilvl w:val="0"/>
                <w:numId w:val="2"/>
              </w:numPr>
              <w:spacing w:after="100"/>
            </w:pPr>
            <w:r>
              <w:rPr>
                <w:b/>
                <w:bCs/>
                <w:i/>
                <w:iCs/>
              </w:rPr>
              <w:t xml:space="preserve">Oral: </w:t>
            </w:r>
            <w:r>
              <w:t xml:space="preserve">"A intimação eletrônica por aplicativo de mensagens é válida para todos os fins processuais? E para a prisão civil de alimentos?"</w:t>
            </w:r>
          </w:p>
          <w:p>
            <w:pPr>
              <w:spacing w:after="0"/>
            </w:pPr>
            <w:r>
              <w:rPr>
                <w:b/>
                <w:bCs/>
                <w:color w:val="A9762F"/>
              </w:rPr>
              <w:t xml:space="preserve">CONEXÕES: </w:t>
            </w:r>
            <w:r>
              <w:rPr>
                <w:i/>
                <w:iCs/>
              </w:rPr>
              <w:t xml:space="preserve">art. 528 e art. 270, CPC; devido processo legal e restrição à liberdade (prisão civil como medida excepcionalíssima).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Ausência de vagas no sistema penitenciário, por si só, não justifica substituição do regime fechado pelo aberto na prisão civil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2.104.738-RS   |   Relator: Min. Marco Aurélio Bellizze   |   Data: 03/09/2024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carência de vagas no sistema prisional não justifica a substituição de regime na prisão civil, sob pena de esvaziar o art. 528, §4º, CPC; cabe à autoridade judiciária buscar soluções dialógicas com outros Poderes, preservando a finalidade coercitiva da prisão civil.</w:t>
            </w:r>
          </w:p>
          <w:p>
            <w:pPr>
              <w:spacing w:after="100"/>
            </w:pPr>
            <w:r>
              <w:rPr>
                <w:b/>
                <w:bCs/>
              </w:rPr>
              <w:t xml:space="preserve">RESUMO DO CASO: </w:t>
            </w:r>
            <w:r>
              <w:t xml:space="preserve">Julgado que enfrenta a superlotação do sistema prisional como argumento de defesa contra o cumprimento da prisão civil em regime fechado, rejeitando a equiparação automática com o regime penal comum.</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 falta de vagas no sistema prisional autoriza automaticamente a prisão domiciliar do devedor de alimentos" — FALSO.</w:t>
            </w:r>
          </w:p>
          <w:p>
            <w:pPr>
              <w:pStyle w:val="ListParagraph"/>
              <w:numPr>
                <w:ilvl w:val="0"/>
                <w:numId w:val="2"/>
              </w:numPr>
              <w:spacing w:after="40"/>
            </w:pPr>
            <w:r>
              <w:rPr>
                <w:b/>
                <w:bCs/>
                <w:i/>
                <w:iCs/>
              </w:rPr>
              <w:t xml:space="preserve">Discursiva/Sentença: </w:t>
            </w:r>
            <w:r>
              <w:t xml:space="preserve">caso de HC alegando superlotação carcerária para conversão de regime — decisão fundamentando a manutenção do regime fechado.</w:t>
            </w:r>
          </w:p>
          <w:p>
            <w:pPr>
              <w:pStyle w:val="ListParagraph"/>
              <w:numPr>
                <w:ilvl w:val="0"/>
                <w:numId w:val="2"/>
              </w:numPr>
              <w:spacing w:after="100"/>
            </w:pPr>
            <w:r>
              <w:rPr>
                <w:b/>
                <w:bCs/>
                <w:i/>
                <w:iCs/>
              </w:rPr>
              <w:t xml:space="preserve">Oral: </w:t>
            </w:r>
            <w:r>
              <w:t xml:space="preserve">"A prisão civil por dívida alimentar segue as mesmas regras de execução penal quanto a vagas no sistema prisional?"</w:t>
            </w:r>
          </w:p>
          <w:p>
            <w:pPr>
              <w:spacing w:after="0"/>
            </w:pPr>
            <w:r>
              <w:rPr>
                <w:b/>
                <w:bCs/>
                <w:color w:val="A9762F"/>
              </w:rPr>
              <w:t xml:space="preserve">CONEXÕES: </w:t>
            </w:r>
            <w:r>
              <w:rPr>
                <w:i/>
                <w:iCs/>
              </w:rPr>
              <w:t xml:space="preserve">art. 528, §4º, CPC; distinção entre prisão civil (coercitiva) e prisão penal (punitiva).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Decisão que decreta prisão civil deve ser fundamentada quanto à dosimetria do prazo de encarceramento (1 a 3 meses)</w:t>
            </w:r>
          </w:p>
          <w:p>
            <w:pPr>
              <w:spacing w:after="40"/>
            </w:pPr>
            <w:r>
              <w:rPr>
                <w:b/>
                <w:bCs/>
                <w:color w:val="555555"/>
                <w:sz w:val="19"/>
                <w:szCs w:val="19"/>
              </w:rPr>
              <w:t xml:space="preserve">Tribunal: STJ   |   Órgão: 4ª Turma</w:t>
            </w:r>
          </w:p>
          <w:p>
            <w:pPr>
              <w:spacing w:after="40"/>
            </w:pPr>
            <w:r>
              <w:rPr>
                <w:color w:val="555555"/>
                <w:sz w:val="19"/>
                <w:szCs w:val="19"/>
              </w:rPr>
              <w:t xml:space="preserve">Processo: RHC 188.811/GO   |   Relator: Min. Raul Araújo   |   Data: 12/03/2024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Quando o magistrado fixar prazo de prisão civil superior ao mínimo legal, deve fundamentar de forma individualizada, proporcional e razoável, considerando capacidade econômica do devedor, valor da dívida, comportamento do devedor e consequências da inadimplência.</w:t>
            </w:r>
          </w:p>
          <w:p>
            <w:pPr>
              <w:spacing w:after="100"/>
            </w:pPr>
            <w:r>
              <w:rPr>
                <w:b/>
                <w:bCs/>
              </w:rPr>
              <w:t xml:space="preserve">RESUMO DO CASO: </w:t>
            </w:r>
            <w:r>
              <w:t xml:space="preserve">Julgado sobre os critérios objetivos que o juiz deve observar ao dosar o prazo de prisão civil dentro da margem legal (1 a 3 meses), exigindo fundamentação concreta e não aplicação automática do prazo máximo.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prazo legal da prisão civil por alimentos (1 a 3 meses) e exigência de motivação da dosimetria.</w:t>
            </w:r>
          </w:p>
          <w:p>
            <w:pPr>
              <w:pStyle w:val="ListParagraph"/>
              <w:numPr>
                <w:ilvl w:val="0"/>
                <w:numId w:val="2"/>
              </w:numPr>
              <w:spacing w:after="40"/>
            </w:pPr>
            <w:r>
              <w:rPr>
                <w:b/>
                <w:bCs/>
                <w:i/>
                <w:iCs/>
              </w:rPr>
              <w:t xml:space="preserve">Discursiva/Sentença: </w:t>
            </w:r>
            <w:r>
              <w:t xml:space="preserve">sentença/decisão decretando prisão civil por prazo de 3 meses (máximo) — exigir fundamentação individualizada dos critérios de dosimetria.</w:t>
            </w:r>
          </w:p>
          <w:p>
            <w:pPr>
              <w:pStyle w:val="ListParagraph"/>
              <w:numPr>
                <w:ilvl w:val="0"/>
                <w:numId w:val="2"/>
              </w:numPr>
              <w:spacing w:after="100"/>
            </w:pPr>
            <w:r>
              <w:rPr>
                <w:b/>
                <w:bCs/>
                <w:i/>
                <w:iCs/>
              </w:rPr>
              <w:t xml:space="preserve">Oral: </w:t>
            </w:r>
            <w:r>
              <w:t xml:space="preserve">"Qual o prazo da prisão civil por dívida alimentar? O prazo máximo pode ser aplicado automaticamente?"</w:t>
            </w:r>
          </w:p>
          <w:p>
            <w:pPr>
              <w:spacing w:after="0"/>
            </w:pPr>
            <w:r>
              <w:rPr>
                <w:b/>
                <w:bCs/>
                <w:color w:val="A9762F"/>
              </w:rPr>
              <w:t xml:space="preserve">CONEXÕES: </w:t>
            </w:r>
            <w:r>
              <w:rPr>
                <w:i/>
                <w:iCs/>
              </w:rPr>
              <w:t xml:space="preserve">art. 528, §3º, CPC (prazo de 1 a 3 meses); princípio da proporcionalidade.</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Prerrogativa de sala de Estado-Maior (art. 7º, V, Estatuto da OAB) não se aplica à prisão civil do advogado devedor de alimentos</w:t>
            </w:r>
          </w:p>
          <w:p>
            <w:pPr>
              <w:spacing w:after="40"/>
            </w:pPr>
            <w:r>
              <w:rPr>
                <w:b/>
                <w:bCs/>
                <w:color w:val="555555"/>
                <w:sz w:val="19"/>
                <w:szCs w:val="19"/>
              </w:rPr>
              <w:t xml:space="preserve">Tribunal: STJ   |   Órgão: 2ª Seção</w:t>
            </w:r>
          </w:p>
          <w:p>
            <w:pPr>
              <w:spacing w:after="40"/>
            </w:pPr>
            <w:r>
              <w:rPr>
                <w:color w:val="555555"/>
                <w:sz w:val="19"/>
                <w:szCs w:val="19"/>
              </w:rPr>
              <w:t xml:space="preserve">Processo: HC 740.531-SP   |   Relator: Min. Luis Felipe Salomão   |   Data: 26/10/2022</w:t>
            </w:r>
          </w:p>
          <w:p>
            <w:pPr>
              <w:spacing w:after="100"/>
            </w:pPr>
            <w:r>
              <w:rPr>
                <w:i/>
                <w:iCs/>
                <w:color w:val="555555"/>
                <w:sz w:val="19"/>
                <w:szCs w:val="19"/>
              </w:rPr>
              <w:t xml:space="preserve">Sistemática: Caso isolado julgado por Órgão Colegiado Especial (2ª Seção — uniformização entre Turmas de Direito Privado)</w:t>
            </w:r>
          </w:p>
          <w:p>
            <w:pPr>
              <w:spacing w:after="100"/>
            </w:pPr>
            <w:r>
              <w:rPr>
                <w:b/>
                <w:bCs/>
              </w:rPr>
              <w:t xml:space="preserve">TESE FIXADA / DECISÃO: </w:t>
            </w:r>
            <w:r>
              <w:t xml:space="preserve">A prerrogativa de recolhimento em sala de Estado-Maior não incide na prisão civil do advogado devedor de alimentos, desde que lhe seja garantido local apropriado, separado de presos comuns (cela especial supre a exigência).</w:t>
            </w:r>
          </w:p>
          <w:p>
            <w:pPr>
              <w:spacing w:after="100"/>
            </w:pPr>
            <w:r>
              <w:rPr>
                <w:b/>
                <w:bCs/>
              </w:rPr>
              <w:t xml:space="preserve">RESUMO DO CASO: </w:t>
            </w:r>
            <w:r>
              <w:t xml:space="preserve">Julgado pela 2ª Seção (uniformizando divergência entre 3ª e 4ª Turmas) definindo que a prerrogativa profissional do art. 7º, V, do Estatuto da OAB não se estende à prisão civil por dívida alimentar, que tem natureza e finalidade distintas da prisão penal.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"advogado preso civilmente por dívida de alimentos tem direito a sala de Estado-Maior" — FALSO; direito a cela especial separada de presos comuns.</w:t>
            </w:r>
          </w:p>
          <w:p>
            <w:pPr>
              <w:pStyle w:val="ListParagraph"/>
              <w:numPr>
                <w:ilvl w:val="0"/>
                <w:numId w:val="2"/>
              </w:numPr>
              <w:spacing w:after="40"/>
            </w:pPr>
            <w:r>
              <w:rPr>
                <w:b/>
                <w:bCs/>
                <w:i/>
                <w:iCs/>
              </w:rPr>
              <w:t xml:space="preserve">Discursiva/Sentença: </w:t>
            </w:r>
            <w:r>
              <w:t xml:space="preserve">caso de advogado devedor de alimentos requerendo sala de Estado-Maior no HC — fundamentar o indeferimento com base na distinção entre prisão civil e penal.</w:t>
            </w:r>
          </w:p>
          <w:p>
            <w:pPr>
              <w:pStyle w:val="ListParagraph"/>
              <w:numPr>
                <w:ilvl w:val="0"/>
                <w:numId w:val="2"/>
              </w:numPr>
              <w:spacing w:after="100"/>
            </w:pPr>
            <w:r>
              <w:rPr>
                <w:b/>
                <w:bCs/>
                <w:i/>
                <w:iCs/>
              </w:rPr>
              <w:t xml:space="preserve">Oral: </w:t>
            </w:r>
            <w:r>
              <w:t xml:space="preserve">"A prerrogativa de sala de Estado-Maior do advogado se aplica a toda e qualquer prisão?"</w:t>
            </w:r>
          </w:p>
          <w:p>
            <w:pPr>
              <w:spacing w:after="0"/>
            </w:pPr>
            <w:r>
              <w:rPr>
                <w:b/>
                <w:bCs/>
                <w:color w:val="A9762F"/>
              </w:rPr>
              <w:t xml:space="preserve">CONEXÕES: </w:t>
            </w:r>
            <w:r>
              <w:rPr>
                <w:i/>
                <w:iCs/>
              </w:rPr>
              <w:t xml:space="preserve">art. 7º, V, Lei 8.906/94 (Estatuto da OAB); julgado por órgão uniformizador (2ª Seção) — reforça segurança da tese.</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Prisão civil de devedora de alimentos pode ser convertida em domiciliar quando ela tem filho de até 12 anos (analogia ao art. 318, V, CPP)</w:t>
            </w:r>
          </w:p>
          <w:p>
            <w:pPr>
              <w:spacing w:after="40"/>
            </w:pPr>
            <w:r>
              <w:rPr>
                <w:b/>
                <w:bCs/>
                <w:color w:val="555555"/>
                <w:sz w:val="19"/>
                <w:szCs w:val="19"/>
              </w:rPr>
              <w:t xml:space="preserve">Tribunal: STJ   |   Órgão: 3ª Turma</w:t>
            </w:r>
          </w:p>
          <w:p>
            <w:pPr>
              <w:spacing w:after="40"/>
            </w:pPr>
            <w:r>
              <w:rPr>
                <w:color w:val="555555"/>
                <w:sz w:val="19"/>
                <w:szCs w:val="19"/>
              </w:rPr>
              <w:t xml:space="preserve">Processo: HC 770.015/SP   |   Relator: Min. Nancy Andrighi   |   Data: 07/02/2023</w:t>
            </w:r>
          </w:p>
          <w:p>
            <w:pPr>
              <w:spacing w:after="100"/>
            </w:pPr>
            <w:r>
              <w:rPr>
                <w:i/>
                <w:iCs/>
                <w:color w:val="555555"/>
                <w:sz w:val="19"/>
                <w:szCs w:val="19"/>
              </w:rPr>
              <w:t xml:space="preserve">Sistemática: Caso isolado (aplicação analógica de norma penal ao processo civil)</w:t>
            </w:r>
          </w:p>
          <w:p>
            <w:pPr>
              <w:spacing w:after="100"/>
            </w:pPr>
            <w:r>
              <w:rPr>
                <w:b/>
                <w:bCs/>
              </w:rPr>
              <w:t xml:space="preserve">TESE FIXADA / DECISÃO: </w:t>
            </w:r>
            <w:r>
              <w:t xml:space="preserve">Aplica-se por analogia à execução de alimentos o art. 318, V, do CPP (substituição da prisão preventiva pela domiciliar para mulher com filho de até 12 anos incompletos), tendo em vista a finalidade de proteção integral da criança (política pública de primeira infância — Lei 13.257/2016).</w:t>
            </w:r>
          </w:p>
          <w:p>
            <w:pPr>
              <w:spacing w:after="100"/>
            </w:pPr>
            <w:r>
              <w:rPr>
                <w:b/>
                <w:bCs/>
              </w:rPr>
              <w:t xml:space="preserve">RESUMO DO CASO: </w:t>
            </w:r>
            <w:r>
              <w:t xml:space="preserve">Mãe presa civilmente por dívida alimentar obteve conversão para prisão domiciliar por analogia à regra penal de proteção à mãe de criança pequena, evitando prejuízo ao desenvolvimento infantil.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aplicação analógica de regra do CPP (proteção à primeira infância) ao processo civil — tema de interdisciplinaridade Civil/Processo Penal, gosto da FGV por conexões entre disciplinas.</w:t>
            </w:r>
          </w:p>
          <w:p>
            <w:pPr>
              <w:pStyle w:val="ListParagraph"/>
              <w:numPr>
                <w:ilvl w:val="0"/>
                <w:numId w:val="2"/>
              </w:numPr>
              <w:spacing w:after="40"/>
            </w:pPr>
            <w:r>
              <w:rPr>
                <w:b/>
                <w:bCs/>
                <w:i/>
                <w:iCs/>
              </w:rPr>
              <w:t xml:space="preserve">Discursiva/Sentença: </w:t>
            </w:r>
            <w:r>
              <w:t xml:space="preserve">caso de mãe presa civilmente com filho de 8 anos — fundamentar a conversão para prisão domiciliar por analogia.</w:t>
            </w:r>
          </w:p>
          <w:p>
            <w:pPr>
              <w:pStyle w:val="ListParagraph"/>
              <w:numPr>
                <w:ilvl w:val="0"/>
                <w:numId w:val="2"/>
              </w:numPr>
              <w:spacing w:after="100"/>
            </w:pPr>
            <w:r>
              <w:rPr>
                <w:b/>
                <w:bCs/>
                <w:i/>
                <w:iCs/>
              </w:rPr>
              <w:t xml:space="preserve">Oral: </w:t>
            </w:r>
            <w:r>
              <w:t xml:space="preserve">"É possível aplicar regras do processo penal à prisão civil por alimentos? Dê um exemplo."</w:t>
            </w:r>
          </w:p>
          <w:p>
            <w:pPr>
              <w:spacing w:after="0"/>
            </w:pPr>
            <w:r>
              <w:rPr>
                <w:b/>
                <w:bCs/>
                <w:color w:val="A9762F"/>
              </w:rPr>
              <w:t xml:space="preserve">CONEXÕES: </w:t>
            </w:r>
            <w:r>
              <w:rPr>
                <w:i/>
                <w:iCs/>
              </w:rPr>
              <w:t xml:space="preserve">art. 318, V, CPP; Lei 13.257/2016 (Marco Legal da Primeira Infância); princípio do melhor interesse da criança.</w:t>
            </w:r>
          </w:p>
        </w:tc>
      </w:tr>
    </w:tbl>
    <w:p>
      <w:pPr>
        <w:spacing w:after="160"/>
      </w:pPr>
    </w:p>
    <w:p>
      <w:pPr>
        <w:pStyle w:val="Heading2"/>
        <w:spacing w:after="160" w:before="200"/>
      </w:pPr>
      <w:r>
        <w:rPr>
          <w:color w:val="A9762F"/>
        </w:rPr>
        <w:t xml:space="preserve">GRUPO 5 — Execução de alimentos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É possível a cumulação de prisão civil (coerção pessoal) e penhora (coerção patrimonial) na mesma execução de alimentos</w:t>
            </w:r>
          </w:p>
          <w:p>
            <w:pPr>
              <w:spacing w:after="40"/>
            </w:pPr>
            <w:r>
              <w:rPr>
                <w:b/>
                <w:bCs/>
                <w:color w:val="555555"/>
                <w:sz w:val="19"/>
                <w:szCs w:val="19"/>
              </w:rPr>
              <w:t xml:space="preserve">Tribunal: STJ   |   Órgão: 4ª Turma / 3ª Turma</w:t>
            </w:r>
          </w:p>
          <w:p>
            <w:pPr>
              <w:spacing w:after="40"/>
            </w:pPr>
            <w:r>
              <w:rPr>
                <w:color w:val="555555"/>
                <w:sz w:val="19"/>
                <w:szCs w:val="19"/>
              </w:rPr>
              <w:t xml:space="preserve">Processo: REsp 1.930.593/MG (líder da posição inovadora)   |   Relator: Min. Luis Felipe Salomão   |   Data: 09/08/2022 (Info 744) — confirmado por REsp 2.004.516/RO, Rel. Min. Nancy Andrighi, julgado em 18/10/2022 (Info 756)</w:t>
            </w:r>
          </w:p>
          <w:p>
            <w:pPr>
              <w:spacing w:after="100"/>
            </w:pPr>
            <w:r>
              <w:rPr>
                <w:i/>
                <w:iCs/>
                <w:color w:val="555555"/>
                <w:sz w:val="19"/>
                <w:szCs w:val="19"/>
              </w:rPr>
              <w:t xml:space="preserve">Sistemática: Caso isolado, mas com "mudança de entendimento" expressamente sinalizada pelo site como superação da posição tradicional</w:t>
            </w:r>
          </w:p>
          <w:p>
            <w:pPr>
              <w:spacing w:after="100"/>
            </w:pPr>
            <w:r>
              <w:rPr>
                <w:b/>
                <w:bCs/>
              </w:rPr>
              <w:t xml:space="preserve">TESE FIXADA / DECISÃO: </w:t>
            </w:r>
            <w:r>
              <w:t xml:space="preserve">Superando a posição tradicional (ritos excludentes entre si — art. 528, §8º, CPC), é cabível a cumulação, no mesmo procedimento executivo, das técnicas de coerção pessoal (prisão) e patrimonial (penhora), desde que não haja prejuízo ao devedor nem tumulto processual.</w:t>
            </w:r>
          </w:p>
          <w:p>
            <w:pPr>
              <w:spacing w:after="100"/>
            </w:pPr>
            <w:r>
              <w:rPr>
                <w:b/>
                <w:bCs/>
              </w:rPr>
              <w:t xml:space="preserve">RESUMO DO CASO: </w:t>
            </w:r>
            <w:r>
              <w:t xml:space="preserve">Mudança jurisprudencial relevante: tradicionalmente, a escolha do rito da prisão excluía a penhora (e vice-versa). A 4ª Turma inaugurou entendimento permitindo a cumulação em um único processo, depois confirmado pela 3ª Turma, inclusive para cumular alimentos atuais (prisão) e pretéritos (penhora).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"os ritos da prisão e da penhora na execução de alimentos são sempre excludentes entre si" — hoje é FALSO (mudança de entendimento); atenção a provas com data de referência anterior a 2022.</w:t>
            </w:r>
          </w:p>
          <w:p>
            <w:pPr>
              <w:pStyle w:val="ListParagraph"/>
              <w:numPr>
                <w:ilvl w:val="0"/>
                <w:numId w:val="2"/>
              </w:numPr>
              <w:spacing w:after="40"/>
            </w:pPr>
            <w:r>
              <w:rPr>
                <w:b/>
                <w:bCs/>
                <w:i/>
                <w:iCs/>
              </w:rPr>
              <w:t xml:space="preserve">Discursiva/Sentença: </w:t>
            </w:r>
            <w:r>
              <w:t xml:space="preserve">caso de credor pedindo cumulação de prisão (alimentos atuais) e penhora (pretéritos) no mesmo processo — fundamentar o deferimento com a evolução jurisprudencial.</w:t>
            </w:r>
          </w:p>
          <w:p>
            <w:pPr>
              <w:pStyle w:val="ListParagraph"/>
              <w:numPr>
                <w:ilvl w:val="0"/>
                <w:numId w:val="2"/>
              </w:numPr>
              <w:spacing w:after="100"/>
            </w:pPr>
            <w:r>
              <w:rPr>
                <w:b/>
                <w:bCs/>
                <w:i/>
                <w:iCs/>
              </w:rPr>
              <w:t xml:space="preserve">Oral: </w:t>
            </w:r>
            <w:r>
              <w:t xml:space="preserve">"É possível pedir prisão e penhora na mesma execução de alimentos? Sempre foi assim?"</w:t>
            </w:r>
          </w:p>
          <w:p>
            <w:pPr>
              <w:spacing w:after="0"/>
            </w:pPr>
            <w:r>
              <w:rPr>
                <w:b/>
                <w:bCs/>
                <w:color w:val="A9762F"/>
              </w:rPr>
              <w:t xml:space="preserve">CONEXÕES: </w:t>
            </w:r>
            <w:r>
              <w:rPr>
                <w:i/>
                <w:iCs/>
              </w:rPr>
              <w:t xml:space="preserve">art. 528, §8º, CPC; REsp 1.914.052-DF (Info 702, 2021) — precedente da pandemia que já flexibilizou a exclusividade dos ritos.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Execução de alimentos pelo rito da penhora permite a inclusão de prestações vencidas no curso do processo</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1.846.966/SP   |   Relator: Min. Antonio Carlos Ferreira   |   Data: 12/09/2023</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Apesar de o art. 528, §8º, CPC não prever expressamente (diferente do §7º, que trata do rito da prisão), a inclusão das prestações vencidas no curso da execução também é possível no rito da penhora/expropriação, por interpretação lógico-sistemática, evitando induzir o credor a optar sempre pelo rito mais gravoso (prisão).</w:t>
            </w:r>
          </w:p>
          <w:p>
            <w:pPr>
              <w:spacing w:after="100"/>
            </w:pPr>
            <w:r>
              <w:rPr>
                <w:b/>
                <w:bCs/>
              </w:rPr>
              <w:t xml:space="preserve">RESUMO DO CASO: </w:t>
            </w:r>
            <w:r>
              <w:t xml:space="preserve">Julgado que estende, por interpretação sistemática, a regra de inclusão automática de prestações supervenientes (prevista literalmente só para o rito da prisão) também ao rito da penhora, em nome da efetividade, celeridade e economia processual.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"só o rito da prisão permite incluir prestações vencidas no curso do processo" — FALSO após este julgado.</w:t>
            </w:r>
          </w:p>
          <w:p>
            <w:pPr>
              <w:pStyle w:val="ListParagraph"/>
              <w:numPr>
                <w:ilvl w:val="0"/>
                <w:numId w:val="2"/>
              </w:numPr>
              <w:spacing w:after="40"/>
            </w:pPr>
            <w:r>
              <w:rPr>
                <w:b/>
                <w:bCs/>
                <w:i/>
                <w:iCs/>
              </w:rPr>
              <w:t xml:space="preserve">Discursiva/Sentença: </w:t>
            </w:r>
            <w:r>
              <w:t xml:space="preserve">caso de execução por penhora com parcelas vencendo durante o processo — fundamentar a inclusão automática sem necessidade de nova ação.</w:t>
            </w:r>
          </w:p>
          <w:p>
            <w:pPr>
              <w:pStyle w:val="ListParagraph"/>
              <w:numPr>
                <w:ilvl w:val="0"/>
                <w:numId w:val="2"/>
              </w:numPr>
              <w:spacing w:after="100"/>
            </w:pPr>
            <w:r>
              <w:rPr>
                <w:b/>
                <w:bCs/>
                <w:i/>
                <w:iCs/>
              </w:rPr>
              <w:t xml:space="preserve">Oral: </w:t>
            </w:r>
            <w:r>
              <w:t xml:space="preserve">"As prestações que vencem durante a execução de alimentos precisam de nova ação? Isso vale para todos os ritos?"</w:t>
            </w:r>
          </w:p>
          <w:p>
            <w:pPr>
              <w:spacing w:after="0"/>
            </w:pPr>
            <w:r>
              <w:rPr>
                <w:b/>
                <w:bCs/>
                <w:color w:val="A9762F"/>
              </w:rPr>
              <w:t xml:space="preserve">CONEXÕES: </w:t>
            </w:r>
            <w:r>
              <w:rPr>
                <w:i/>
                <w:iCs/>
              </w:rPr>
              <w:t xml:space="preserve">art. 528, §§7º e 8º, CPC; princípios da efetividade, celeridade e economia processual; ver também cumulação de ritos (REsp 1.930.593/MG).</w:t>
            </w:r>
          </w:p>
        </w:tc>
      </w:tr>
    </w:tbl>
    <w:p>
      <w:pPr>
        <w:spacing w:after="160"/>
      </w:pPr>
    </w:p>
    <w:p>
      <w:pPr>
        <w:pStyle w:val="Heading2"/>
        <w:spacing w:after="160" w:before="200"/>
      </w:pPr>
      <w:r>
        <w:rPr>
          <w:color w:val="A9762F"/>
        </w:rPr>
        <w:t xml:space="preserve">GRUPO 6 — Aspectos processuais gerais da ação de alimentos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É compatível com a CF/88 a dispensa de advogado na audiência inicial do rito especial da ação de alimentos (Lei 5.478/68)</w:t>
            </w:r>
          </w:p>
          <w:p>
            <w:pPr>
              <w:spacing w:after="40"/>
            </w:pPr>
            <w:r>
              <w:rPr>
                <w:b/>
                <w:bCs/>
                <w:color w:val="555555"/>
                <w:sz w:val="19"/>
                <w:szCs w:val="19"/>
              </w:rPr>
              <w:t xml:space="preserve">Tribunal: STF   |   Órgão: Plenário</w:t>
            </w:r>
          </w:p>
          <w:p>
            <w:pPr>
              <w:spacing w:after="40"/>
            </w:pPr>
            <w:r>
              <w:rPr>
                <w:color w:val="555555"/>
                <w:sz w:val="19"/>
                <w:szCs w:val="19"/>
              </w:rPr>
              <w:t xml:space="preserve">Processo: ADPF 591/DF   |   Relator: Min. Cristiano Zanin   |   Data: 19/08/2024</w:t>
            </w:r>
          </w:p>
          <w:p>
            <w:pPr>
              <w:spacing w:after="100"/>
            </w:pPr>
            <w:r>
              <w:rPr>
                <w:i/>
                <w:iCs/>
                <w:color w:val="555555"/>
                <w:sz w:val="19"/>
                <w:szCs w:val="19"/>
              </w:rPr>
              <w:t xml:space="preserve">Sistemática: Controle concentrado (ADPF), julgado pelo Plenário do STF</w:t>
            </w:r>
          </w:p>
          <w:p>
            <w:pPr>
              <w:spacing w:after="100"/>
            </w:pPr>
            <w:r>
              <w:rPr>
                <w:b/>
                <w:bCs/>
              </w:rPr>
              <w:t xml:space="preserve">TESE FIXADA / DECISÃO: </w:t>
            </w:r>
            <w:r>
              <w:t xml:space="preserve">A norma da Lei 5.478/1968 (Lei de Alimentos) que dispensa a assistência de advogado na audiência inicial do rito especial da ação de alimentos é compatível com a CF/88, por conta do acesso à Justiça e da celeridade em procedimentos de menor complexidade, ligados à dignidade da pessoa humana. Nas fases subsequentes, o advogado é obrigatório.</w:t>
            </w:r>
          </w:p>
          <w:p>
            <w:pPr>
              <w:spacing w:after="100"/>
            </w:pPr>
            <w:r>
              <w:rPr>
                <w:b/>
                <w:bCs/>
              </w:rPr>
              <w:t xml:space="preserve">RESUMO DO CASO: </w:t>
            </w:r>
            <w:r>
              <w:t xml:space="preserve">ADPF questionava a constitucionalidade da possibilidade de o credor de alimentos comparecer pessoalmente, sem advogado, à audiência inicial da ação de alimentos (arts. 2º e 3º da Lei 5.478/68, preservados mesmo após o CPC/2015). O STF julgou improcedente, validando a norma como exceção legítima à indispensabilidade do advogado (art. 133, CF).</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julgado de controle concentrado (ADPF) — alta probabilidade de cobrança literal da tese; atenção à exceção à indispensabilidade do advogado (art. 133 CF).</w:t>
            </w:r>
          </w:p>
          <w:p>
            <w:pPr>
              <w:pStyle w:val="ListParagraph"/>
              <w:numPr>
                <w:ilvl w:val="0"/>
                <w:numId w:val="2"/>
              </w:numPr>
              <w:spacing w:after="40"/>
            </w:pPr>
            <w:r>
              <w:rPr>
                <w:b/>
                <w:bCs/>
                <w:i/>
                <w:iCs/>
              </w:rPr>
              <w:t xml:space="preserve">Discursiva/Sentença: </w:t>
            </w:r>
            <w:r>
              <w:t xml:space="preserve">questionamento sobre a constitucionalidade da Lei de Alimentos permitir comparecimento pessoal sem advogado — pedir fundamentação da compatibilidade com a CF.</w:t>
            </w:r>
          </w:p>
          <w:p>
            <w:pPr>
              <w:pStyle w:val="ListParagraph"/>
              <w:numPr>
                <w:ilvl w:val="0"/>
                <w:numId w:val="2"/>
              </w:numPr>
              <w:spacing w:after="100"/>
            </w:pPr>
            <w:r>
              <w:rPr>
                <w:b/>
                <w:bCs/>
                <w:i/>
                <w:iCs/>
              </w:rPr>
              <w:t xml:space="preserve">Oral: </w:t>
            </w:r>
            <w:r>
              <w:t xml:space="preserve">"A assistência de advogado é sempre indispensável no processo civil? Dê exemplo de exceção validada pelo STF."</w:t>
            </w:r>
          </w:p>
          <w:p>
            <w:pPr>
              <w:spacing w:after="0"/>
            </w:pPr>
            <w:r>
              <w:rPr>
                <w:b/>
                <w:bCs/>
                <w:color w:val="A9762F"/>
              </w:rPr>
              <w:t xml:space="preserve">CONEXÕES: </w:t>
            </w:r>
            <w:r>
              <w:rPr>
                <w:i/>
                <w:iCs/>
              </w:rPr>
              <w:t xml:space="preserve">art. 133 e art. 5º, LV, CF/88; arts. 2º e 3º, Lei 5.478/68 (Lei de Alimentos); rito especial da ação de alimentos.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Abandono de ação de alimentos pelo representante legal configura conflito de interesses e autoriza nomeação da Defensoria Pública como curadora especial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2.190.079-RJ   |   Relator: Min. Nancy Andrighi   |   Data: 07/10/2025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abandono da ação de alimentos por representante legal de criança/adolescente configura conflito de interesses (art. 72, I, CPC c/c art. 142, parágrafo único, ECA), autorizando a nomeação de curador especial (Defensoria Pública), afastando a extinção automática por abandono da causa (art. 485, III, CPC).</w:t>
            </w:r>
          </w:p>
          <w:p>
            <w:pPr>
              <w:spacing w:after="100"/>
            </w:pPr>
            <w:r>
              <w:rPr>
                <w:b/>
                <w:bCs/>
              </w:rPr>
              <w:t xml:space="preserve">RESUMO DO CASO: </w:t>
            </w:r>
            <w:r>
              <w:t xml:space="preserve">Mãe ajuizou ação de alimentos em nome do filho, obteve alimentos provisórios e depois abandonou o processo. O juiz extinguiu por abandono; a Defensoria Pública recorreu pedindo nomeação como curadora especial, o que foi acolhido pelo STJ com base no melhor interesse da criança.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"o abandono da causa pelo representante legal sempre gera extinção do processo sem análise de mérito" — FALSO em ações de alimentos de incapazes.</w:t>
            </w:r>
          </w:p>
          <w:p>
            <w:pPr>
              <w:pStyle w:val="ListParagraph"/>
              <w:numPr>
                <w:ilvl w:val="0"/>
                <w:numId w:val="2"/>
              </w:numPr>
              <w:spacing w:after="40"/>
            </w:pPr>
            <w:r>
              <w:rPr>
                <w:b/>
                <w:bCs/>
                <w:i/>
                <w:iCs/>
              </w:rPr>
              <w:t xml:space="preserve">Discursiva/Sentença: </w:t>
            </w:r>
            <w:r>
              <w:t xml:space="preserve">caso de extinção por abandono de ação de alimentos de criança — pedir decisão reformando a extinção e nomeando curador especial.</w:t>
            </w:r>
          </w:p>
          <w:p>
            <w:pPr>
              <w:pStyle w:val="ListParagraph"/>
              <w:numPr>
                <w:ilvl w:val="0"/>
                <w:numId w:val="2"/>
              </w:numPr>
              <w:spacing w:after="100"/>
            </w:pPr>
            <w:r>
              <w:rPr>
                <w:b/>
                <w:bCs/>
                <w:i/>
                <w:iCs/>
              </w:rPr>
              <w:t xml:space="preserve">Oral: </w:t>
            </w:r>
            <w:r>
              <w:t xml:space="preserve">"O que fazer quando o representante legal de uma criança abandona a ação de alimentos que ajuizou em seu nome?"</w:t>
            </w:r>
          </w:p>
          <w:p>
            <w:pPr>
              <w:spacing w:after="0"/>
            </w:pPr>
            <w:r>
              <w:rPr>
                <w:b/>
                <w:bCs/>
                <w:color w:val="A9762F"/>
              </w:rPr>
              <w:t xml:space="preserve">CONEXÕES: </w:t>
            </w:r>
            <w:r>
              <w:rPr>
                <w:i/>
                <w:iCs/>
              </w:rPr>
              <w:t xml:space="preserve">art. 72, I, CPC; art. 142, parágrafo único, ECA; art. 485, III, CPC; princípio do melhor interesse da criança.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O autor não pode desistir de ação de alimentos, mesmo antes da contestação, se isso prejudicar interesses de pessoa com deficiência beneficiada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2.167.135-RJ   |   Relator: Min. Moura Ribeiro   |   Data: 10/12/2024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direito processual de desistir da ação (art. 485, §4º, CPC — dispensa de anuência da parte contrária antes da contestação) não pode se sobrepor aos interesses de pessoa com deficiência protegidos pelo Estatuto da Pessoa com Deficiência, quando a desistência prejudicar tais interesses.</w:t>
            </w:r>
          </w:p>
          <w:p>
            <w:pPr>
              <w:spacing w:after="100"/>
            </w:pPr>
            <w:r>
              <w:rPr>
                <w:b/>
                <w:bCs/>
              </w:rPr>
              <w:t xml:space="preserve">RESUMO DO CASO: </w:t>
            </w:r>
            <w:r>
              <w:t xml:space="preserve">Pai ajuizou ação de oferecimento de alimentos em favor da filha com Síndrome de Down e tentou desistir antes da contestação, por motivos alheios ao mérito (litígio patrimonial com a ex-esposa). O STJ negou a desistência, reconhecendo má-fé e priorizando os interesses da pessoa com deficiência.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exceção à regra do art. 485, §4º, CPC (desistência livre antes da contestação) quando há interesse de pessoa vulnerável em jogo.</w:t>
            </w:r>
          </w:p>
          <w:p>
            <w:pPr>
              <w:pStyle w:val="ListParagraph"/>
              <w:numPr>
                <w:ilvl w:val="0"/>
                <w:numId w:val="2"/>
              </w:numPr>
              <w:spacing w:after="40"/>
            </w:pPr>
            <w:r>
              <w:rPr>
                <w:b/>
                <w:bCs/>
                <w:i/>
                <w:iCs/>
              </w:rPr>
              <w:t xml:space="preserve">Discursiva/Sentença: </w:t>
            </w:r>
            <w:r>
              <w:t xml:space="preserve">caso de tentativa de desistência de ação de alimentos em prejuízo de beneficiário vulnerável — fundamentar o indeferimento.</w:t>
            </w:r>
          </w:p>
          <w:p>
            <w:pPr>
              <w:pStyle w:val="ListParagraph"/>
              <w:numPr>
                <w:ilvl w:val="0"/>
                <w:numId w:val="2"/>
              </w:numPr>
              <w:spacing w:after="100"/>
            </w:pPr>
            <w:r>
              <w:rPr>
                <w:b/>
                <w:bCs/>
                <w:i/>
                <w:iCs/>
              </w:rPr>
              <w:t xml:space="preserve">Oral: </w:t>
            </w:r>
            <w:r>
              <w:t xml:space="preserve">"A desistência da ação antes da contestação é sempre livre? Há exceções envolvendo vulneráveis?"</w:t>
            </w:r>
          </w:p>
          <w:p>
            <w:pPr>
              <w:spacing w:after="0"/>
            </w:pPr>
            <w:r>
              <w:rPr>
                <w:b/>
                <w:bCs/>
                <w:color w:val="A9762F"/>
              </w:rPr>
              <w:t xml:space="preserve">CONEXÕES: </w:t>
            </w:r>
            <w:r>
              <w:rPr>
                <w:i/>
                <w:iCs/>
              </w:rPr>
              <w:t xml:space="preserve">art. 485, §4º, CPC; Estatuto da Pessoa com Deficiência (Lei 13.146/2015); interesse de vulneráveis como limite a atos de disposição processual.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Ação de exigir contas do alimentante contra a guardiã do alimentando: divergência entre a 3ª e a 4ª Turma do STJ</w:t>
            </w:r>
          </w:p>
          <w:p>
            <w:pPr>
              <w:spacing w:after="40"/>
            </w:pPr>
            <w:r>
              <w:rPr>
                <w:b/>
                <w:bCs/>
                <w:color w:val="555555"/>
                <w:sz w:val="19"/>
                <w:szCs w:val="19"/>
              </w:rPr>
              <w:t xml:space="preserve">Tribunal: STJ   |   Órgão: 4ª Turma (SIM) x 3ª Turma (NÃO)</w:t>
            </w:r>
          </w:p>
          <w:p>
            <w:pPr>
              <w:spacing w:after="40"/>
            </w:pPr>
            <w:r>
              <w:rPr>
                <w:color w:val="555555"/>
                <w:sz w:val="19"/>
                <w:szCs w:val="19"/>
              </w:rPr>
              <w:t xml:space="preserve">Processo: REsp 1.911.030-PR, Rel. Min. Luis Felipe Salomão, julgado em 01/06/2021 (Info 699) x REsp 1.767.456-MG, Rel. Min. Ricardo Villas Bôas Cueva, julgado em 25/11/2021 (Info 720)</w:t>
            </w:r>
          </w:p>
          <w:p>
            <w:pPr>
              <w:spacing w:after="100"/>
            </w:pPr>
            <w:r>
              <w:rPr>
                <w:i/>
                <w:iCs/>
                <w:color w:val="555555"/>
                <w:sz w:val="19"/>
                <w:szCs w:val="19"/>
              </w:rPr>
              <w:t xml:space="preserve">Sistemática: Divergência entre Turmas (caso isolado em cada colegiado)</w:t>
            </w:r>
          </w:p>
          <w:p>
            <w:pPr>
              <w:spacing w:after="100"/>
            </w:pPr>
            <w:r>
              <w:rPr>
                <w:b/>
                <w:bCs/>
              </w:rPr>
              <w:t xml:space="preserve">TESE FIXADA / DECISÃO: </w:t>
            </w:r>
            <w:r>
              <w:t xml:space="preserve">4ª Turma: o alimentante TEM interesse processual em propor ação de prestação de contas contra o guardião, com base no poder-dever fiscalizatório do art. 1.589 CC. 3ª Turma: o alimentante NÃO tem interesse processual, pois a ação de prestação de contas pressupõe apuração de crédito/débito, inexistente nos alimentos (irrepetíveis).</w:t>
            </w:r>
          </w:p>
          <w:p>
            <w:pPr>
              <w:spacing w:after="100"/>
            </w:pPr>
            <w:r>
              <w:rPr>
                <w:b/>
                <w:bCs/>
              </w:rPr>
              <w:t xml:space="preserve">RESUMO DO CASO: </w:t>
            </w:r>
            <w:r>
              <w:t xml:space="preserve">Duas Turmas do STJ divergiram, em julgados próximos, sobre se o genitor pagador de pensão pode exigir contas do genitor guardião quanto à destinação dos valores — uma reconhece o interesse fiscalizatório (art. 1.589 CC), a outra nega por ausência de utilidade jurídica (alimentos não geram crédito em favor de quem paga).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excelente questão de "pegadinha de banca" ao expor as duas posições e perguntar qual prevaleceu ou qual o fundamento de cada uma.</w:t>
            </w:r>
          </w:p>
          <w:p>
            <w:pPr>
              <w:pStyle w:val="ListParagraph"/>
              <w:numPr>
                <w:ilvl w:val="0"/>
                <w:numId w:val="2"/>
              </w:numPr>
              <w:spacing w:after="40"/>
            </w:pPr>
            <w:r>
              <w:rPr>
                <w:b/>
                <w:bCs/>
                <w:i/>
                <w:iCs/>
              </w:rPr>
              <w:t xml:space="preserve">Discursiva/Sentença: </w:t>
            </w:r>
            <w:r>
              <w:t xml:space="preserve">pedir ao candidato que discuta as duas correntes e adote fundamentadamente uma posição.</w:t>
            </w:r>
          </w:p>
          <w:p>
            <w:pPr>
              <w:pStyle w:val="ListParagraph"/>
              <w:numPr>
                <w:ilvl w:val="0"/>
                <w:numId w:val="2"/>
              </w:numPr>
              <w:spacing w:after="100"/>
            </w:pPr>
            <w:r>
              <w:rPr>
                <w:b/>
                <w:bCs/>
                <w:i/>
                <w:iCs/>
              </w:rPr>
              <w:t xml:space="preserve">Oral: </w:t>
            </w:r>
            <w:r>
              <w:t xml:space="preserve">"O alimentante pode exigir contas de quem administra a pensão paga ao filho? Há unanimidade no STJ?"</w:t>
            </w:r>
          </w:p>
          <w:p>
            <w:pPr>
              <w:spacing w:after="0"/>
            </w:pPr>
            <w:r>
              <w:rPr>
                <w:b/>
                <w:bCs/>
                <w:color w:val="A9762F"/>
              </w:rPr>
              <w:t xml:space="preserve">CONEXÕES: </w:t>
            </w:r>
            <w:r>
              <w:rPr>
                <w:i/>
                <w:iCs/>
              </w:rPr>
              <w:t xml:space="preserve">art. 1.589 CC (poder-dever fiscalizatório); art. 1.703 CC; instituto da prestação de contas (arts. 550 e ss. CPC). [VERIFICAR se há julgado mais recente pacificando a divergência]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Mesmo após a homologação de sentença estrangeira sobre alimentos, o devedor pode ajuizar ação revisional do valor da pensão</w:t>
            </w:r>
          </w:p>
          <w:p>
            <w:pPr>
              <w:spacing w:after="40"/>
            </w:pPr>
            <w:r>
              <w:rPr>
                <w:b/>
                <w:bCs/>
                <w:color w:val="555555"/>
                <w:sz w:val="19"/>
                <w:szCs w:val="19"/>
              </w:rPr>
              <w:t xml:space="preserve">Tribunal: STJ   |   Órgão: Corte Especial</w:t>
            </w:r>
          </w:p>
          <w:p>
            <w:pPr>
              <w:spacing w:after="40"/>
            </w:pPr>
            <w:r>
              <w:rPr>
                <w:color w:val="555555"/>
                <w:sz w:val="19"/>
                <w:szCs w:val="19"/>
              </w:rPr>
              <w:t xml:space="preserve">Processo: HDE 4.289-EX   |   Relator: Min. Raul Araújo   |   Data: 18/08/2021</w:t>
            </w:r>
          </w:p>
          <w:p>
            <w:pPr>
              <w:spacing w:after="100"/>
            </w:pPr>
            <w:r>
              <w:rPr>
                <w:i/>
                <w:iCs/>
                <w:color w:val="555555"/>
                <w:sz w:val="19"/>
                <w:szCs w:val="19"/>
              </w:rPr>
              <w:t xml:space="preserve">Sistemática: Julgado por Corte Especial (órgão colegiado máximo do STJ para homologação de decisão estrangeira)</w:t>
            </w:r>
          </w:p>
          <w:p>
            <w:pPr>
              <w:spacing w:after="100"/>
            </w:pPr>
            <w:r>
              <w:rPr>
                <w:b/>
                <w:bCs/>
              </w:rPr>
              <w:t xml:space="preserve">TESE FIXADA / DECISÃO: </w:t>
            </w:r>
            <w:r>
              <w:t xml:space="preserve">A homologação de sentença estrangeira sobre alimentos é ato meramente formal (juízo de delibação), sem análise de mérito; mesmo após homologada, o devedor pode ajuizar ação revisional do valor da pensão perante a Justiça brasileira.</w:t>
            </w:r>
          </w:p>
          <w:p>
            <w:pPr>
              <w:spacing w:after="100"/>
            </w:pPr>
            <w:r>
              <w:rPr>
                <w:b/>
                <w:bCs/>
              </w:rPr>
              <w:t xml:space="preserve">RESUMO DO CASO: </w:t>
            </w:r>
            <w:r>
              <w:t xml:space="preserve">Sentença estrangeira fixou pensão de 290 euros/mês; o pai se mudou para o Brasil e seu salário era inferior ao valor fixado. O STJ homologou formalmente a sentença (sem entrar no mérito da capacidade financeira), ressalvando ao devedor a via da ação revisional autônoma no Brasil.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natureza do juízo de delibação (formal, sem mérito) e possibilidade de ação revisional autônoma após homologação — combina Direito Internacional Privado com Alimentos, tema interdisciplinar típico de FGV.</w:t>
            </w:r>
          </w:p>
          <w:p>
            <w:pPr>
              <w:pStyle w:val="ListParagraph"/>
              <w:numPr>
                <w:ilvl w:val="0"/>
                <w:numId w:val="2"/>
              </w:numPr>
              <w:spacing w:after="40"/>
            </w:pPr>
            <w:r>
              <w:rPr>
                <w:b/>
                <w:bCs/>
                <w:i/>
                <w:iCs/>
              </w:rPr>
              <w:t xml:space="preserve">Discursiva/Sentença: </w:t>
            </w:r>
            <w:r>
              <w:t xml:space="preserve">caso de homologação de sentença estrangeira de alimentos incompatível com a real capacidade financeira do devedor no Brasil — orientar sobre a via adequada (ação revisional).</w:t>
            </w:r>
          </w:p>
          <w:p>
            <w:pPr>
              <w:pStyle w:val="ListParagraph"/>
              <w:numPr>
                <w:ilvl w:val="0"/>
                <w:numId w:val="2"/>
              </w:numPr>
              <w:spacing w:after="100"/>
            </w:pPr>
            <w:r>
              <w:rPr>
                <w:b/>
                <w:bCs/>
                <w:i/>
                <w:iCs/>
              </w:rPr>
              <w:t xml:space="preserve">Oral: </w:t>
            </w:r>
            <w:r>
              <w:t xml:space="preserve">"O STJ pode negar a homologação de sentença estrangeira de alimentos por ser o valor incompatível com a renda do devedor no Brasil?"</w:t>
            </w:r>
          </w:p>
          <w:p>
            <w:pPr>
              <w:spacing w:after="0"/>
            </w:pPr>
            <w:r>
              <w:rPr>
                <w:b/>
                <w:bCs/>
                <w:color w:val="A9762F"/>
              </w:rPr>
              <w:t xml:space="preserve">CONEXÕES: </w:t>
            </w:r>
            <w:r>
              <w:rPr>
                <w:i/>
                <w:iCs/>
              </w:rPr>
              <w:t xml:space="preserve">juízo de delibação; Lei de Introdução às Normas do Direito Brasileiro; Convenção de Nova York sobre alimentos no estrangeiro [VERIFICAR aplicabilidade ao caso concreto]; art. 1.699 CC (ação revisional).</w:t>
            </w:r>
          </w:p>
        </w:tc>
      </w:tr>
    </w:tbl>
    <w:p>
      <w:pPr>
        <w:spacing w:after="160"/>
      </w:pPr>
    </w:p>
    <w:p>
      <w:pPr>
        <w:pStyle w:val="Heading1"/>
        <w:pageBreakBefore/>
        <w:spacing w:after="200"/>
      </w:pPr>
      <w:r>
        <w:rPr>
          <w:color w:val="7A1F2B"/>
        </w:rPr>
        <w:t xml:space="preserve">IV. BEM DE FAMÍLIA</w:t>
      </w:r>
    </w:p>
    <w:p>
      <w:pPr>
        <w:spacing w:after="300"/>
      </w:pPr>
      <w:r>
        <w:rPr>
          <w:i/>
          <w:iCs/>
          <w:color w:val="555555"/>
        </w:rPr>
        <w:t xml:space="preserve">CC arts. 1.711 a 1.722 c/c Lei 8.009/90</w:t>
      </w:r>
    </w:p>
    <w:p>
      <w:pPr>
        <w:pStyle w:val="Heading2"/>
        <w:spacing w:after="160" w:before="200"/>
      </w:pPr>
      <w:r>
        <w:rPr>
          <w:color w:val="A9762F"/>
        </w:rPr>
        <w:t xml:space="preserve">1. Conceito e abrangência do bem de família (legal x voluntário)</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Coexistência entre bem de família voluntário (CC) e bem de família legal (Lei 8.009/90)</w:t>
            </w:r>
          </w:p>
          <w:p>
            <w:pPr>
              <w:spacing w:after="40"/>
            </w:pPr>
            <w:r>
              <w:rPr>
                <w:b/>
                <w:bCs/>
                <w:color w:val="555555"/>
                <w:sz w:val="19"/>
                <w:szCs w:val="19"/>
              </w:rPr>
              <w:t xml:space="preserve">Tribunal: STJ   |   Órgão: 1ª Turma</w:t>
            </w:r>
          </w:p>
          <w:p>
            <w:pPr>
              <w:spacing w:after="40"/>
            </w:pPr>
            <w:r>
              <w:rPr>
                <w:color w:val="555555"/>
                <w:sz w:val="19"/>
                <w:szCs w:val="19"/>
              </w:rPr>
              <w:t xml:space="preserve">Processo: REsp 2.133.984-RJ   |   Relator: Min. Paulo Sérgio Domingues   |   Data: 22/10/2024</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bem de família legal (Lei nº 8.009/90) e o bem de família voluntário (art. 1.711 do CC e art. 833, I, do CPC) coexistem no ordenamento — a Lei 8.009/90 não foi tacitamente revogada pelo CPC/2015. O devedor, mesmo sendo proprietário de mais de um imóvel residencial, pode gozar da impenhorabilidade legal, recaindo a proteção sobre o de menor valor quando houver múltiplos imóveis.</w:t>
            </w:r>
          </w:p>
          <w:p>
            <w:pPr>
              <w:spacing w:after="100"/>
            </w:pPr>
            <w:r>
              <w:rPr>
                <w:b/>
                <w:bCs/>
              </w:rPr>
              <w:t xml:space="preserve">RESUMO DO CASO: </w:t>
            </w:r>
            <w:r>
              <w:t xml:space="preserve">Fazenda Nacional executou João e penhorou o apartamento em que ele residia, alegando (i) que ele possuía outro imóvel, (ii) que o bem penhorado não estava registrado como bem de família e (iii) que a Lei 8.009/90 teria sido revogada pelo CPC/2015. O STJ rejeitou os três argumentos: a lei não foi revogada, coexiste com o regime voluntário do CPC/CC, e a titularidade de mais de um imóvel não afasta a proteção — apenas desloca a impenhorabilidade para o bem de menor valor.</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assertiva testando se a Lei 8.009/90 foi revogada pelo CPC/2015 (falso) ou se a existência de bem registrado como bem de família voluntário exclui a proteção legal (falso — coexistem).</w:t>
            </w:r>
          </w:p>
          <w:p>
            <w:pPr>
              <w:pStyle w:val="ListParagraph"/>
              <w:numPr>
                <w:ilvl w:val="0"/>
                <w:numId w:val="2"/>
              </w:numPr>
              <w:spacing w:after="40"/>
            </w:pPr>
            <w:r>
              <w:rPr>
                <w:b/>
                <w:bCs/>
                <w:i/>
                <w:iCs/>
              </w:rPr>
              <w:t xml:space="preserve">Discursiva/Sentença: </w:t>
            </w:r>
            <w:r>
              <w:t xml:space="preserve">sentença/parecer em execução fiscal em que o executado possui dois imóveis residenciais — discutir qual deles é protegido e por qual regime.</w:t>
            </w:r>
          </w:p>
          <w:p>
            <w:pPr>
              <w:pStyle w:val="ListParagraph"/>
              <w:numPr>
                <w:ilvl w:val="0"/>
                <w:numId w:val="2"/>
              </w:numPr>
              <w:spacing w:after="100"/>
            </w:pPr>
            <w:r>
              <w:rPr>
                <w:b/>
                <w:bCs/>
                <w:i/>
                <w:iCs/>
              </w:rPr>
              <w:t xml:space="preserve">Oral: </w:t>
            </w:r>
            <w:r>
              <w:t xml:space="preserve">"Bem de família legal e bem de família voluntário são institutos excludentes? Qual prevalece e sobre qual imóvel recai a impenhorabilidade quando há pluralidade de bens?"</w:t>
            </w:r>
          </w:p>
          <w:p>
            <w:pPr>
              <w:spacing w:after="0"/>
            </w:pPr>
            <w:r>
              <w:rPr>
                <w:b/>
                <w:bCs/>
                <w:color w:val="A9762F"/>
              </w:rPr>
              <w:t xml:space="preserve">CONEXÕES: </w:t>
            </w:r>
            <w:r>
              <w:rPr>
                <w:i/>
                <w:iCs/>
              </w:rPr>
              <w:t xml:space="preserve">Súmula 364-STJ (impenhorabilidade também da pessoa solteira/separada); arts. 1.711-1.722 CC; art. 833, I, CPC; Lei 8.009/90 arts. 1º e 5º.</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Impenhorabilidade do imóvel indivisível em sua integralidade, mesmo quando apenas um coproprietário nele reside</w:t>
            </w:r>
          </w:p>
          <w:p>
            <w:pPr>
              <w:spacing w:after="40"/>
            </w:pPr>
            <w:r>
              <w:rPr>
                <w:b/>
                <w:bCs/>
                <w:color w:val="555555"/>
                <w:sz w:val="19"/>
                <w:szCs w:val="19"/>
              </w:rPr>
              <w:t xml:space="preserve">Tribunal: STJ   |   Órgão: 1ª Turma</w:t>
            </w:r>
          </w:p>
          <w:p>
            <w:pPr>
              <w:spacing w:after="40"/>
            </w:pPr>
            <w:r>
              <w:rPr>
                <w:color w:val="555555"/>
                <w:sz w:val="19"/>
                <w:szCs w:val="19"/>
              </w:rPr>
              <w:t xml:space="preserve">Processo: REsp 1.861.107-RS   |   Relator: Min. Paulo Sérgio Domingues   |   Data: 10/12/2024 (Info 22 — Edição Extraordinária)</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imóvel residencial caracterizado como bem de família é impenhorável em sua integralidade, mesmo que apenas uma fração (de um dos coproprietários/herdeiros) sirva de residência, salvo se o imóvel for divisível — aplica-se a proteção mesmo à fração de quem não mais reside no local.</w:t>
            </w:r>
          </w:p>
          <w:p>
            <w:pPr>
              <w:spacing w:after="100"/>
            </w:pPr>
            <w:r>
              <w:rPr>
                <w:b/>
                <w:bCs/>
              </w:rPr>
              <w:t xml:space="preserve">RESUMO DO CASO: </w:t>
            </w:r>
            <w:r>
              <w:t xml:space="preserve">Após a morte da mãe, o imóvel único da família foi parcialmente herdado por três filhos. Falecido o pai (com dívidas tributárias), o Estado penhorou o imóvel no inventário. O TJ reconheceu a impenhorabilidade apenas para a fração da filha que ainda residia no imóvel, permitindo a penhora das frações dos demais herdeiros que não mais viviam lá. O STJ reformou, afirmando que a proteção (Lei 8.009/90 c/c art. 843, CPC/2015) abrange o bem como um todo, indivisivelmente, impedindo a alienação em hasta pública salvo se o imóvel for divisível.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pegadinha clássica — "é possível penhorar a fração ideal do coproprietário que não reside no imóvel" (falso, se indivisível).</w:t>
            </w:r>
          </w:p>
          <w:p>
            <w:pPr>
              <w:pStyle w:val="ListParagraph"/>
              <w:numPr>
                <w:ilvl w:val="0"/>
                <w:numId w:val="2"/>
              </w:numPr>
              <w:spacing w:after="40"/>
            </w:pPr>
            <w:r>
              <w:rPr>
                <w:b/>
                <w:bCs/>
                <w:i/>
                <w:iCs/>
              </w:rPr>
              <w:t xml:space="preserve">Discursiva/Sentença: </w:t>
            </w:r>
            <w:r>
              <w:t xml:space="preserve">caso de imóvel em condomínio hereditário com múltiplos herdeiros, apenas um residindo — redigir decisão sobre extensão da impenhorabilidade.</w:t>
            </w:r>
          </w:p>
          <w:p>
            <w:pPr>
              <w:pStyle w:val="ListParagraph"/>
              <w:numPr>
                <w:ilvl w:val="0"/>
                <w:numId w:val="2"/>
              </w:numPr>
              <w:spacing w:after="100"/>
            </w:pPr>
            <w:r>
              <w:rPr>
                <w:b/>
                <w:bCs/>
                <w:i/>
                <w:iCs/>
              </w:rPr>
              <w:t xml:space="preserve">Oral: </w:t>
            </w:r>
            <w:r>
              <w:t xml:space="preserve">"A impenhorabilidade do bem de família alcança a fração de coproprietário que não reside no imóvel? Há exceção?"</w:t>
            </w:r>
          </w:p>
          <w:p>
            <w:pPr>
              <w:spacing w:after="0"/>
            </w:pPr>
            <w:r>
              <w:rPr>
                <w:b/>
                <w:bCs/>
                <w:color w:val="A9762F"/>
              </w:rPr>
              <w:t xml:space="preserve">CONEXÕES: </w:t>
            </w:r>
            <w:r>
              <w:rPr>
                <w:i/>
                <w:iCs/>
              </w:rPr>
              <w:t xml:space="preserve">art. 843, CPC/2015; tema conectado ao REsp 2.111.839-RS (Info 850) e AgInt REsp 2.168.820-RS (Info 861), sobre bem de família em inventário/espólio.</w:t>
            </w:r>
          </w:p>
        </w:tc>
      </w:tr>
    </w:tbl>
    <w:p>
      <w:pPr>
        <w:spacing w:after="160"/>
      </w:pPr>
    </w:p>
    <w:p>
      <w:pPr>
        <w:pStyle w:val="Heading2"/>
        <w:spacing w:after="160" w:before="200"/>
      </w:pPr>
      <w:r>
        <w:rPr>
          <w:color w:val="A9762F"/>
        </w:rPr>
        <w:t xml:space="preserve">2. Exceções à impenhorabilidade — fiança e caução em contrato de locação (tema mais cobrado em concursos)</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Penhorabilidade do bem de família do fiador — locação residencial e comercial (constitucionalidade)</w:t>
            </w:r>
          </w:p>
          <w:p>
            <w:pPr>
              <w:spacing w:after="40"/>
            </w:pPr>
            <w:r>
              <w:rPr>
                <w:b/>
                <w:bCs/>
                <w:color w:val="555555"/>
                <w:sz w:val="19"/>
                <w:szCs w:val="19"/>
              </w:rPr>
              <w:t xml:space="preserve">Tribunal: STF e STJ   |   Órgão: STF Plenário / STJ 2ª Seção</w:t>
            </w:r>
          </w:p>
          <w:p>
            <w:pPr>
              <w:spacing w:after="40"/>
            </w:pPr>
            <w:r>
              <w:rPr>
                <w:color w:val="555555"/>
                <w:sz w:val="19"/>
                <w:szCs w:val="19"/>
              </w:rPr>
              <w:t xml:space="preserve">Processo: STF: RE 1.307.334/SP, Rel. Min. Alexandre de Moraes, julgado em 08/03/2022 (Repercussão Geral — Tema 1127) (Info 1046)   |   Relator: STJ: REsp 1.822.040-PR, Rel. Min. Luis Felipe Salomão, julgado em 08/06/2022 (Recurso Repetitivo — Tema 1091) (Info 740)</w:t>
            </w:r>
          </w:p>
          <w:p>
            <w:pPr>
              <w:spacing w:after="100"/>
            </w:pPr>
            <w:r>
              <w:rPr>
                <w:i/>
                <w:iCs/>
                <w:color w:val="555555"/>
                <w:sz w:val="19"/>
                <w:szCs w:val="19"/>
              </w:rPr>
              <w:t xml:space="preserve">Sistemática: Repercussão Geral (STF) + Recurso Repetitivo (STJ)</w:t>
            </w:r>
          </w:p>
          <w:p>
            <w:pPr>
              <w:spacing w:after="100"/>
            </w:pPr>
            <w:r>
              <w:rPr>
                <w:b/>
                <w:bCs/>
              </w:rPr>
              <w:t xml:space="preserve">TESE FIXADA / DECISÃO: </w:t>
            </w:r>
            <w:r>
              <w:t xml:space="preserve">É constitucional a penhora de bem de família pertencente a fiador de contrato de locação, seja residencial, seja comercial (Tema 1127-STF). O STJ acompanhou: é válida a penhora do bem de família do fiador em contrato de locação, residencial ou comercial, nos termos do art. 3º, VII, da Lei nº 8.009/90 (Tema 1091-STJ).</w:t>
            </w:r>
          </w:p>
          <w:p>
            <w:pPr>
              <w:spacing w:after="100"/>
            </w:pPr>
            <w:r>
              <w:rPr>
                <w:b/>
                <w:bCs/>
              </w:rPr>
              <w:t xml:space="preserve">RESUMO DO CASO: </w:t>
            </w:r>
            <w:r>
              <w:t xml:space="preserve">Consolidação, em rito de repercussão geral e de recurso repetitivo, do entendimento que já vinha sendo aplicado desde a Súmula/jurisprudência anterior (RE 612.360 e RE 407.688), agora estendendo expressamente a exceção também às locações comerciais, e não apenas às residenciais. Tema estrutural do regime de exceções do art. 3º da Lei 8.009/90.</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fiador (penhorável) de devedor solidário (não penhorável) e de locação comercial x residencial (ambas penhoráveis quanto ao fiador).</w:t>
            </w:r>
          </w:p>
          <w:p>
            <w:pPr>
              <w:pStyle w:val="ListParagraph"/>
              <w:numPr>
                <w:ilvl w:val="0"/>
                <w:numId w:val="2"/>
              </w:numPr>
              <w:spacing w:after="40"/>
            </w:pPr>
            <w:r>
              <w:rPr>
                <w:b/>
                <w:bCs/>
                <w:i/>
                <w:iCs/>
              </w:rPr>
              <w:t xml:space="preserve">Discursiva/Sentença: </w:t>
            </w:r>
            <w:r>
              <w:t xml:space="preserve">elaborar sentença em embargos de terceiro de fiador de locação comercial alegando impenhorabilidade — julgar improcedente com base no Tema 1127/1091.</w:t>
            </w:r>
          </w:p>
          <w:p>
            <w:pPr>
              <w:pStyle w:val="ListParagraph"/>
              <w:numPr>
                <w:ilvl w:val="0"/>
                <w:numId w:val="2"/>
              </w:numPr>
              <w:spacing w:after="100"/>
            </w:pPr>
            <w:r>
              <w:rPr>
                <w:b/>
                <w:bCs/>
                <w:i/>
                <w:iCs/>
              </w:rPr>
              <w:t xml:space="preserve">Oral: </w:t>
            </w:r>
            <w:r>
              <w:t xml:space="preserve">"É constitucional a penhora do bem de família do fiador? Essa exceção se estende à locação comercial? Fundamente com a tese de repercussão geral."</w:t>
            </w:r>
          </w:p>
          <w:p>
            <w:pPr>
              <w:spacing w:after="0"/>
            </w:pPr>
            <w:r>
              <w:rPr>
                <w:b/>
                <w:bCs/>
                <w:color w:val="A9762F"/>
              </w:rPr>
              <w:t xml:space="preserve">CONEXÕES: </w:t>
            </w:r>
            <w:r>
              <w:rPr>
                <w:i/>
                <w:iCs/>
              </w:rPr>
              <w:t xml:space="preserve">art. 3º, VII, Lei 8.009/90; Súmulas antigas do STF sobre fiança (RE 407.688/RE 612.360); contraponto: AgInt AREsp 2.118.730-PR (devedor solidário não se equipara a fiador); REsp 1.789.505-SP (caução não é exceção).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Devedor solidário de locação não se equipara a fiador — impenhorabilidade mantida</w:t>
            </w:r>
          </w:p>
          <w:p>
            <w:pPr>
              <w:spacing w:after="40"/>
            </w:pPr>
            <w:r>
              <w:rPr>
                <w:b/>
                <w:bCs/>
                <w:color w:val="555555"/>
                <w:sz w:val="19"/>
                <w:szCs w:val="19"/>
              </w:rPr>
              <w:t xml:space="preserve">Tribunal: STJ   |   Órgão: 4ª Turma</w:t>
            </w:r>
          </w:p>
          <w:p>
            <w:pPr>
              <w:spacing w:after="40"/>
            </w:pPr>
            <w:r>
              <w:rPr>
                <w:color w:val="555555"/>
                <w:sz w:val="19"/>
                <w:szCs w:val="19"/>
              </w:rPr>
              <w:t xml:space="preserve">Processo: AgInt no AREsp 2.118.730-PR   |   Relator: Min. Marco Buzzi   |   Data: 14/11/2022 (Info 763)</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art. 3º, VII, da Lei 8.009/90 permite a penhora do bem de família apenas do fiador em contrato de locação. Se o indivíduo figurou como "devedor solidário" (e não fiador), não se admite interpretação extensiva para permitir a penhora — as hipóteses de exceção à impenhorabilidade são taxativas e de interpretação restritiva.</w:t>
            </w:r>
          </w:p>
          <w:p>
            <w:pPr>
              <w:spacing w:after="100"/>
            </w:pPr>
            <w:r>
              <w:rPr>
                <w:b/>
                <w:bCs/>
              </w:rPr>
              <w:t xml:space="preserve">RESUMO DO CASO: </w:t>
            </w:r>
            <w:r>
              <w:t xml:space="preserve">Em execução de dívida de aluguel, buscou-se penhorar o imóvel de pessoa que figurava no contrato de locação como "devedor solidário", e não como fiadora. O STJ negou a penhora, reforçando que a posição de devedor solidário não se confunde com a de fiador para fins de incidência da norma restritiva de direitos, que deve ser interpretada de forma estrita.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pegadinha clássica trocando "fiador" por "devedor solidário" no enunciado, testando se o candidato aplica a exceção indevidamente.</w:t>
            </w:r>
          </w:p>
          <w:p>
            <w:pPr>
              <w:pStyle w:val="ListParagraph"/>
              <w:numPr>
                <w:ilvl w:val="0"/>
                <w:numId w:val="2"/>
              </w:numPr>
              <w:spacing w:after="40"/>
            </w:pPr>
            <w:r>
              <w:rPr>
                <w:b/>
                <w:bCs/>
                <w:i/>
                <w:iCs/>
              </w:rPr>
              <w:t xml:space="preserve">Discursiva/Sentença: </w:t>
            </w:r>
            <w:r>
              <w:t xml:space="preserve">caso em que o examinador cita um "codevedor solidário" de locação e pede a análise da penhorabilidade do seu imóvel único.</w:t>
            </w:r>
          </w:p>
          <w:p>
            <w:pPr>
              <w:pStyle w:val="ListParagraph"/>
              <w:numPr>
                <w:ilvl w:val="0"/>
                <w:numId w:val="2"/>
              </w:numPr>
              <w:spacing w:after="100"/>
            </w:pPr>
            <w:r>
              <w:rPr>
                <w:b/>
                <w:bCs/>
                <w:i/>
                <w:iCs/>
              </w:rPr>
              <w:t xml:space="preserve">Oral: </w:t>
            </w:r>
            <w:r>
              <w:t xml:space="preserve">"As hipóteses de exceção à impenhorabilidade do bem de família admitem interpretação extensiva? Dê um exemplo em que isso foi expressamente rejeitado pelo STJ."</w:t>
            </w:r>
          </w:p>
          <w:p>
            <w:pPr>
              <w:spacing w:after="0"/>
            </w:pPr>
            <w:r>
              <w:rPr>
                <w:b/>
                <w:bCs/>
                <w:color w:val="A9762F"/>
              </w:rPr>
              <w:t xml:space="preserve">CONEXÕES: </w:t>
            </w:r>
            <w:r>
              <w:rPr>
                <w:i/>
                <w:iCs/>
              </w:rPr>
              <w:t xml:space="preserve">Tema 1127-STF / Tema 1091-STJ (fiador é penhorável); art. 3º, VII, Lei 8.009/90; princípio da taxatividade/interpretação restritiva das exceções.</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Caução imobiliária em contrato de locação (comercial) não é hipótese de exceção — impenhorabilidade mantida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1.789.505-SP   |   Relator: Min. Marco Buzzi   |   Data: 22/03/2022 (Info 732)</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impenhorável o bem de família oferecido como caução (garantia) em contrato de locação comercial de terceiro, pois a caução imobiliária não está entre as hipóteses taxativas do art. 3º da Lei 8.009/90, que não admitem interpretação extensiva.</w:t>
            </w:r>
          </w:p>
          <w:p>
            <w:pPr>
              <w:spacing w:after="100"/>
            </w:pPr>
            <w:r>
              <w:rPr>
                <w:b/>
                <w:bCs/>
              </w:rPr>
              <w:t xml:space="preserve">RESUMO DO CASO: </w:t>
            </w:r>
            <w:r>
              <w:t xml:space="preserve">Um terceiro ofereceu sua casa como caução de contrato de locação comercial alheio (art. 37, I, Lei 8.245/91). Diante da inadimplência do locatário, o locador buscou penhorar o imóvel dado em caução. O STJ negou, distinguindo a caução (não listada nas exceções legais) da fiança (listada no inciso VII) — reforça a mesma tese já fixada anteriormente no REsp 1.873.203-SP (Info 683, locação residencial).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contrastar caução (NÃO penhorável) com fiança (penhorável) como garantias de locação — armadilha comum em provas objetivas.</w:t>
            </w:r>
          </w:p>
          <w:p>
            <w:pPr>
              <w:pStyle w:val="ListParagraph"/>
              <w:numPr>
                <w:ilvl w:val="0"/>
                <w:numId w:val="2"/>
              </w:numPr>
              <w:spacing w:after="40"/>
            </w:pPr>
            <w:r>
              <w:rPr>
                <w:b/>
                <w:bCs/>
                <w:i/>
                <w:iCs/>
              </w:rPr>
              <w:t xml:space="preserve">Discursiva/Sentença: </w:t>
            </w:r>
            <w:r>
              <w:t xml:space="preserve">questão prática pedindo para diferenciar as consequências patrimoniais de garantir uma locação por fiança versus por caução.</w:t>
            </w:r>
          </w:p>
          <w:p>
            <w:pPr>
              <w:pStyle w:val="ListParagraph"/>
              <w:numPr>
                <w:ilvl w:val="0"/>
                <w:numId w:val="2"/>
              </w:numPr>
              <w:spacing w:after="100"/>
            </w:pPr>
            <w:r>
              <w:rPr>
                <w:b/>
                <w:bCs/>
                <w:i/>
                <w:iCs/>
              </w:rPr>
              <w:t xml:space="preserve">Oral: </w:t>
            </w:r>
            <w:r>
              <w:t xml:space="preserve">"A impenhorabilidade do bem de família é afastada quando o imóvel é oferecido em caução num contrato de locação? E se for fiança?"</w:t>
            </w:r>
          </w:p>
          <w:p>
            <w:pPr>
              <w:spacing w:after="0"/>
            </w:pPr>
            <w:r>
              <w:rPr>
                <w:b/>
                <w:bCs/>
                <w:color w:val="A9762F"/>
              </w:rPr>
              <w:t xml:space="preserve">CONEXÕES: </w:t>
            </w:r>
            <w:r>
              <w:rPr>
                <w:i/>
                <w:iCs/>
              </w:rPr>
              <w:t xml:space="preserve">REsp 1.873.203-SP (Info 683, mesma tese aplicada à locação residencial); Tema 1127-STF/1091-STJ (fiança); art. 37, I, Lei 8.245/91; art. 3º, VII, Lei 8.009/90.</w:t>
            </w:r>
          </w:p>
        </w:tc>
      </w:tr>
    </w:tbl>
    <w:p>
      <w:pPr>
        <w:spacing w:after="160"/>
      </w:pPr>
    </w:p>
    <w:p>
      <w:pPr>
        <w:pStyle w:val="Heading2"/>
        <w:spacing w:after="160" w:before="200"/>
      </w:pPr>
      <w:r>
        <w:rPr>
          <w:color w:val="A9762F"/>
        </w:rPr>
        <w:t xml:space="preserve">3. Exceções à impenhorabilidade — garantia real (hipoteca/alienação fiduciária) em benefício da entidade familiar</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Penhora do bem de família hipotecado por sócio — ônus da prova do benefício à entidade familiar (Tema 1261)</w:t>
            </w:r>
          </w:p>
          <w:p>
            <w:pPr>
              <w:spacing w:after="40"/>
            </w:pPr>
            <w:r>
              <w:rPr>
                <w:b/>
                <w:bCs/>
                <w:color w:val="555555"/>
                <w:sz w:val="19"/>
                <w:szCs w:val="19"/>
              </w:rPr>
              <w:t xml:space="preserve">Tribunal: STJ   |   Órgão: 2ª Seção</w:t>
            </w:r>
          </w:p>
          <w:p>
            <w:pPr>
              <w:spacing w:after="40"/>
            </w:pPr>
            <w:r>
              <w:rPr>
                <w:color w:val="555555"/>
                <w:sz w:val="19"/>
                <w:szCs w:val="19"/>
              </w:rPr>
              <w:t xml:space="preserve">Processo: REsp 2.093.929-MG e REsp 2.105.326-SP   |   Relator: Min. Antonio Carlos Ferreira   |   Data: 05/06/2025 (Info 855)</w:t>
            </w:r>
          </w:p>
          <w:p>
            <w:pPr>
              <w:spacing w:after="100"/>
            </w:pPr>
            <w:r>
              <w:rPr>
                <w:i/>
                <w:iCs/>
                <w:color w:val="555555"/>
                <w:sz w:val="19"/>
                <w:szCs w:val="19"/>
              </w:rPr>
              <w:t xml:space="preserve">Sistemática: Recurso Repetitivo — Tema 1261</w:t>
            </w:r>
          </w:p>
          <w:p>
            <w:pPr>
              <w:spacing w:after="100"/>
            </w:pPr>
            <w:r>
              <w:rPr>
                <w:b/>
                <w:bCs/>
              </w:rPr>
              <w:t xml:space="preserve">TESE FIXADA / DECISÃO: </w:t>
            </w:r>
            <w:r>
              <w:t xml:space="preserve">(I) A exceção do art. 3º, V, da Lei 8.009/90 (execução de hipoteca sobre imóvel dado em garantia pelo casal/entidade familiar) restringe-se às dívidas constituídas em benefício da entidade familiar; (II) quanto ao ônus da prova: (a) se o bem foi dado em garantia por um dos sócios de PJ, é em regra impenhorável, cabendo ao credor provar que o débito reverteu em benefício da família; (b) se os únicos sócios da PJ são os titulares do imóvel hipotecado, a regra é a penhorabilidade, cabendo aos proprietários provar que o débito NÃO reverteu em seu benefício.</w:t>
            </w:r>
          </w:p>
          <w:p>
            <w:pPr>
              <w:spacing w:after="100"/>
            </w:pPr>
            <w:r>
              <w:rPr>
                <w:b/>
                <w:bCs/>
              </w:rPr>
              <w:t xml:space="preserve">RESUMO DO CASO: </w:t>
            </w:r>
            <w:r>
              <w:t xml:space="preserve">Julgamento repetitivo que uniformiza a distribuição do ônus probatório nos casos de hipoteca de bem de família dada em garantia de dívida de pessoa jurídica da qual o proprietário é sócio. A tese distingue duas situações-padrão: sócio minoritário/não exclusivo (presunção de impenhorabilidade, ônus do credor) e sócios que são os únicos titulares da empresa e do imóvel (presunção de penhorabilidade, ônus do devedor).</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questão testando a inversão do ônus da prova conforme o devedor seja sócio único ou não da PJ devedora — tema de repetitivo, altíssima probabilidade de cair.</w:t>
            </w:r>
          </w:p>
          <w:p>
            <w:pPr>
              <w:pStyle w:val="ListParagraph"/>
              <w:numPr>
                <w:ilvl w:val="0"/>
                <w:numId w:val="2"/>
              </w:numPr>
              <w:spacing w:after="40"/>
            </w:pPr>
            <w:r>
              <w:rPr>
                <w:b/>
                <w:bCs/>
                <w:i/>
                <w:iCs/>
              </w:rPr>
              <w:t xml:space="preserve">Discursiva/Sentença: </w:t>
            </w:r>
            <w:r>
              <w:t xml:space="preserve">sentença em embargos de terceiro envolvendo hipoteca de imóvel de sócio de sociedade limitada, exigindo aplicação do Tema 1261 com distribuição correta do ônus da prova.</w:t>
            </w:r>
          </w:p>
          <w:p>
            <w:pPr>
              <w:pStyle w:val="ListParagraph"/>
              <w:numPr>
                <w:ilvl w:val="0"/>
                <w:numId w:val="2"/>
              </w:numPr>
              <w:spacing w:after="100"/>
            </w:pPr>
            <w:r>
              <w:rPr>
                <w:b/>
                <w:bCs/>
                <w:i/>
                <w:iCs/>
              </w:rPr>
              <w:t xml:space="preserve">Oral: </w:t>
            </w:r>
            <w:r>
              <w:t xml:space="preserve">"Explique a tese do Tema 1261 do STJ sobre penhora de bem de família hipotecado por sócio de pessoa jurídica. Como se distribui o ônus da prova?"</w:t>
            </w:r>
          </w:p>
          <w:p>
            <w:pPr>
              <w:spacing w:after="0"/>
            </w:pPr>
            <w:r>
              <w:rPr>
                <w:b/>
                <w:bCs/>
                <w:color w:val="A9762F"/>
              </w:rPr>
              <w:t xml:space="preserve">CONEXÕES: </w:t>
            </w:r>
            <w:r>
              <w:rPr>
                <w:i/>
                <w:iCs/>
              </w:rPr>
              <w:t xml:space="preserve">art. 3º, V, Lei 8.009/90; EAREsp 848.498-PR (Info 627, precedente que originou a tese); REsp 2.011.981-SP (Info 875, hipoteca anterior à constituição da família).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Hipoteca anterior à constituição da família — reconhecimento superveniente do bem de família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2.011.981-SP   |   Relator: Min. Ricardo Villas Bôas Cueva   |   Data: 09/12/2025 (Info 875)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fato de a união estável e o nascimento de filho terem ocorrido depois da constituição da hipoteca não impede o reconhecimento da impenhorabilidade como bem de família, desde que comprovada a utilização do imóvel como residência da entidade familiar — a proteção se estende a situações supervenientes, inclusive posteriores à própria penhora.</w:t>
            </w:r>
          </w:p>
          <w:p>
            <w:pPr>
              <w:spacing w:after="100"/>
            </w:pPr>
            <w:r>
              <w:rPr>
                <w:b/>
                <w:bCs/>
              </w:rPr>
              <w:t xml:space="preserve">RESUMO DO CASO: </w:t>
            </w:r>
            <w:r>
              <w:t xml:space="preserve">Sócio ofereceu apartamento em hipoteca (2009/2010), quando ainda solteiro e sem filhos, como garantia de empréstimo da empresa. Depois, em 2011, constituiu união estável e teve filho, passando a família a residir no imóvel. Diante da execução, os familiares opuseram embargos de terceiro alegando bem de família (o empréstimo não beneficiara a família). O STJ acolheu, priorizando a proteção ao direito fundamental à moradia e à dignidade humana mesmo diante de fatos supervenientes à garantia.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superveniência da constituição familiar após a garantia real afasta a proteção (não afasta).</w:t>
            </w:r>
          </w:p>
          <w:p>
            <w:pPr>
              <w:pStyle w:val="ListParagraph"/>
              <w:numPr>
                <w:ilvl w:val="0"/>
                <w:numId w:val="2"/>
              </w:numPr>
              <w:spacing w:after="40"/>
            </w:pPr>
            <w:r>
              <w:rPr>
                <w:b/>
                <w:bCs/>
                <w:i/>
                <w:iCs/>
              </w:rPr>
              <w:t xml:space="preserve">Discursiva/Sentença: </w:t>
            </w:r>
            <w:r>
              <w:t xml:space="preserve">caso em que a garantia foi dada antes do casamento/união estável — discutir o momento relevante para aferição do bem de família.</w:t>
            </w:r>
          </w:p>
          <w:p>
            <w:pPr>
              <w:pStyle w:val="ListParagraph"/>
              <w:numPr>
                <w:ilvl w:val="0"/>
                <w:numId w:val="2"/>
              </w:numPr>
              <w:spacing w:after="100"/>
            </w:pPr>
            <w:r>
              <w:rPr>
                <w:b/>
                <w:bCs/>
                <w:i/>
                <w:iCs/>
              </w:rPr>
              <w:t xml:space="preserve">Oral: </w:t>
            </w:r>
            <w:r>
              <w:t xml:space="preserve">"O bem de família deve existir no momento da constituição da garantia ou pode ser reconhecido supervenientemente?"</w:t>
            </w:r>
          </w:p>
          <w:p>
            <w:pPr>
              <w:spacing w:after="0"/>
            </w:pPr>
            <w:r>
              <w:rPr>
                <w:b/>
                <w:bCs/>
                <w:color w:val="A9762F"/>
              </w:rPr>
              <w:t xml:space="preserve">CONEXÕES: </w:t>
            </w:r>
            <w:r>
              <w:rPr>
                <w:i/>
                <w:iCs/>
              </w:rPr>
              <w:t xml:space="preserve">Tema 1261-STJ (Info 855, ônus da prova de benefício à família); Súmula 364-STJ (conceito ampliado de entidade familiar).</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Impenhorabilidade da pequena propriedade rural também na consolidação extrajudicial de alienação fiduciária</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2.233.886-RS   |   Relator: Min. Nancy Andrighi   |   Data: 09/12/2025 (Info 875)</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impenhorabilidade da pequena propriedade rural (até 4 módulos fiscais, explorada pela família — art. 5º, XXVI, CF e art. 833, VIII, CPC) é direito fundamental indisponível, que não pode ser afastado por vontade das partes, ainda que o bem tenha sido voluntariamente dado em garantia. A proteção é oponível tanto à penhora judicial quanto à consolidação extrajudicial da propriedade fiduciária.</w:t>
            </w:r>
          </w:p>
          <w:p>
            <w:pPr>
              <w:spacing w:after="100"/>
            </w:pPr>
            <w:r>
              <w:rPr>
                <w:b/>
                <w:bCs/>
              </w:rPr>
              <w:t xml:space="preserve">RESUMO DO CASO: </w:t>
            </w:r>
            <w:r>
              <w:t xml:space="preserve">Casal ofereceu pequena propriedade rural em alienação fiduciária como garantia de empréstimo a cooperativa de crédito. Diante da inadimplência, a cooperativa iniciou consolidação extrajudicial da propriedade fiduciária. O STJ impediu, equiparando a alienação fiduciária a uma "hipoteca moderna" e afirmando que a impenhorabilidade prevalece sobre atos extrajudiciais de expropriação, e não apenas sobre a penhora judicial.</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impenhorabilidade da pequena propriedade rural pode ser afastada por vontade do proprietário (não pode) e se abrange também procedimentos extrajudiciais (abrange).</w:t>
            </w:r>
          </w:p>
          <w:p>
            <w:pPr>
              <w:pStyle w:val="ListParagraph"/>
              <w:numPr>
                <w:ilvl w:val="0"/>
                <w:numId w:val="2"/>
              </w:numPr>
              <w:spacing w:after="40"/>
            </w:pPr>
            <w:r>
              <w:rPr>
                <w:b/>
                <w:bCs/>
                <w:i/>
                <w:iCs/>
              </w:rPr>
              <w:t xml:space="preserve">Discursiva/Sentença: </w:t>
            </w:r>
            <w:r>
              <w:t xml:space="preserve">parecer sobre consolidação extrajudicial de propriedade fiduciária de imóvel rural familiar dado em garantia — aplicar a tese analogamente ao bem de família urbano.</w:t>
            </w:r>
          </w:p>
          <w:p>
            <w:pPr>
              <w:pStyle w:val="ListParagraph"/>
              <w:numPr>
                <w:ilvl w:val="0"/>
                <w:numId w:val="2"/>
              </w:numPr>
              <w:spacing w:after="100"/>
            </w:pPr>
            <w:r>
              <w:rPr>
                <w:b/>
                <w:bCs/>
                <w:i/>
                <w:iCs/>
              </w:rPr>
              <w:t xml:space="preserve">Oral: </w:t>
            </w:r>
            <w:r>
              <w:t xml:space="preserve">"A impenhorabilidade de bens protegidos alcança apenas a penhora judicial ou também atos extrajudiciais como a consolidação da propriedade fiduciária?"</w:t>
            </w:r>
          </w:p>
          <w:p>
            <w:pPr>
              <w:spacing w:after="0"/>
            </w:pPr>
            <w:r>
              <w:rPr>
                <w:b/>
                <w:bCs/>
                <w:color w:val="A9762F"/>
              </w:rPr>
              <w:t xml:space="preserve">CONEXÕES: </w:t>
            </w:r>
            <w:r>
              <w:rPr>
                <w:i/>
                <w:iCs/>
              </w:rPr>
              <w:t xml:space="preserve">art. 5º, XXVI, CF; art. 833, VIII, CPC; tema análogo ao regime do bem de família da Lei 8.009/90 (mesma lógica de norma de ordem pública protetiva).</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Oferta voluntária do único imóvel em garantia de alienação fiduciária para beneficiar pessoa jurídica</w:t>
            </w:r>
          </w:p>
          <w:p>
            <w:pPr>
              <w:spacing w:after="40"/>
            </w:pPr>
            <w:r>
              <w:rPr>
                <w:b/>
                <w:bCs/>
                <w:color w:val="555555"/>
                <w:sz w:val="19"/>
                <w:szCs w:val="19"/>
              </w:rPr>
              <w:t xml:space="preserve">Tribunal: STJ   |   Órgão: 2ª Seção</w:t>
            </w:r>
          </w:p>
          <w:p>
            <w:pPr>
              <w:spacing w:after="40"/>
            </w:pPr>
            <w:r>
              <w:rPr>
                <w:color w:val="555555"/>
                <w:sz w:val="19"/>
                <w:szCs w:val="19"/>
              </w:rPr>
              <w:t xml:space="preserve">Processo: EREsp 1.559.348-DF   |   Relator: Min. Moura Ribeiro   |   Data: 24/05/2023 (Info 776)</w:t>
            </w:r>
          </w:p>
          <w:p>
            <w:pPr>
              <w:spacing w:after="100"/>
            </w:pPr>
            <w:r>
              <w:rPr>
                <w:i/>
                <w:iCs/>
                <w:color w:val="555555"/>
                <w:sz w:val="19"/>
                <w:szCs w:val="19"/>
              </w:rPr>
              <w:t xml:space="preserve">Sistemática: Embargos de Divergência — uniformização por Seção</w:t>
            </w:r>
          </w:p>
          <w:p>
            <w:pPr>
              <w:spacing w:after="100"/>
            </w:pPr>
            <w:r>
              <w:rPr>
                <w:b/>
                <w:bCs/>
              </w:rPr>
              <w:t xml:space="preserve">TESE FIXADA / DECISÃO: </w:t>
            </w:r>
            <w:r>
              <w:t xml:space="preserve">A oferta voluntária do único imóvel residencial em garantia de contrato de mútuo, por alienação fiduciária, para favorecer pessoa jurídica da qual os proprietários são sócios, não conta com a proteção irrestrita do bem de família.</w:t>
            </w:r>
          </w:p>
          <w:p>
            <w:pPr>
              <w:spacing w:after="100"/>
            </w:pPr>
            <w:r>
              <w:rPr>
                <w:b/>
                <w:bCs/>
              </w:rPr>
              <w:t xml:space="preserve">RESUMO DO CASO: </w:t>
            </w:r>
            <w:r>
              <w:t xml:space="preserve">Casal sócio de empresa deu seu apartamento (onde residiam) em alienação fiduciária como garantia de empréstimo de R$ 1 milhão tomado pela pessoa jurídica. Diante do inadimplemento, o banco iniciou a consolidação da propriedade em seu nome. O STJ, em embargos de divergência, decidiu que não há proteção irrestrita nesse cenário, alinhando-se à lógica de que garantias reais dadas para beneficiar a PJ da qual os proprietários são únicos sócios afastam, em regra, a impenhorabilidade.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relacionar este caso ao Tema 1261 (ônus da prova quando os proprietários são os únicos sócios da PJ beneficiada).</w:t>
            </w:r>
          </w:p>
          <w:p>
            <w:pPr>
              <w:pStyle w:val="ListParagraph"/>
              <w:numPr>
                <w:ilvl w:val="0"/>
                <w:numId w:val="2"/>
              </w:numPr>
              <w:spacing w:after="40"/>
            </w:pPr>
            <w:r>
              <w:rPr>
                <w:b/>
                <w:bCs/>
                <w:i/>
                <w:iCs/>
              </w:rPr>
              <w:t xml:space="preserve">Discursiva/Sentença: </w:t>
            </w:r>
            <w:r>
              <w:t xml:space="preserve">caso de casal sócio único de empresa que oferece a residência em alienação fiduciária para garantir mútuo empresarial — discutir a penhorabilidade.</w:t>
            </w:r>
          </w:p>
          <w:p>
            <w:pPr>
              <w:pStyle w:val="ListParagraph"/>
              <w:numPr>
                <w:ilvl w:val="0"/>
                <w:numId w:val="2"/>
              </w:numPr>
              <w:spacing w:after="100"/>
            </w:pPr>
            <w:r>
              <w:rPr>
                <w:b/>
                <w:bCs/>
                <w:i/>
                <w:iCs/>
              </w:rPr>
              <w:t xml:space="preserve">Oral: </w:t>
            </w:r>
            <w:r>
              <w:t xml:space="preserve">"A alienação fiduciária de bem de família em garantia de dívida de pessoa jurídica da qual o proprietário é sócio goza de proteção irrestrita?"</w:t>
            </w:r>
          </w:p>
          <w:p>
            <w:pPr>
              <w:spacing w:after="0"/>
            </w:pPr>
            <w:r>
              <w:rPr>
                <w:b/>
                <w:bCs/>
                <w:color w:val="A9762F"/>
              </w:rPr>
              <w:t xml:space="preserve">CONEXÕES: </w:t>
            </w:r>
            <w:r>
              <w:rPr>
                <w:i/>
                <w:iCs/>
              </w:rPr>
              <w:t xml:space="preserve">Tema 1261-STJ (Info 855); EAREsp 848.498-PR (Info 627); REsp 2.233.886-RS (Info 875, alienação fiduciária e impenhorabilidade rural).</w:t>
            </w:r>
          </w:p>
        </w:tc>
      </w:tr>
    </w:tbl>
    <w:p>
      <w:pPr>
        <w:spacing w:after="160"/>
      </w:pPr>
    </w:p>
    <w:p>
      <w:pPr>
        <w:pStyle w:val="Heading2"/>
        <w:spacing w:after="160" w:before="200"/>
      </w:pPr>
      <w:r>
        <w:rPr>
          <w:color w:val="A9762F"/>
        </w:rPr>
        <w:t xml:space="preserve">4. Exceções à impenhorabilidade — crédito para construção, aquisição ou reforma do próprio imóvel (art. 3º, II)</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Penhora do bem de família para pagamento de dívida de reforma do próprio imóvel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2.082.860-RS   |   Relator: Min. Nancy Andrighi   |   Data: 06/02/2024 (Info 800)</w:t>
            </w:r>
          </w:p>
          <w:p>
            <w:pPr>
              <w:spacing w:after="100"/>
            </w:pPr>
            <w:r>
              <w:rPr>
                <w:i/>
                <w:iCs/>
                <w:color w:val="555555"/>
                <w:sz w:val="19"/>
                <w:szCs w:val="19"/>
              </w:rPr>
              <w:t xml:space="preserve">Sistemática: Caso isolado</w:t>
            </w:r>
          </w:p>
          <w:p>
            <w:pPr>
              <w:spacing w:after="100"/>
            </w:pPr>
            <w:r>
              <w:rPr>
                <w:b/>
                <w:bCs/>
              </w:rPr>
              <w:t xml:space="preserve">TESE FIXADA / DECISÃO: </w:t>
            </w:r>
            <w:r>
              <w:t xml:space="preserve">É possível a penhora do bem de família para assegurar o pagamento de dívida contraída para a reforma desse mesmo imóvel, com base na exceção do art. 3º, II, da Lei 8.009/90 (crédito decorrente de financiamento para construção/aquisição do imóvel).</w:t>
            </w:r>
          </w:p>
          <w:p>
            <w:pPr>
              <w:spacing w:after="100"/>
            </w:pPr>
            <w:r>
              <w:rPr>
                <w:b/>
                <w:bCs/>
              </w:rPr>
              <w:t xml:space="preserve">RESUMO DO CASO: </w:t>
            </w:r>
            <w:r>
              <w:t xml:space="preserve">Arquiteta contratada para projeto e coordenação de reforma de apartamento não recebeu o pagamento e obteve título executivo judicial. Em cumprimento de sentença, pediu a penhora do próprio apartamento reformado, mesmo sendo bem de família da devedora. O STJ deferiu, afirmando que a norma visa impedir que o devedor use a impenhorabilidade como escudo contra dívida relativa ao próprio bem (construção, aquisição ou, por extensão, reforma).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exceção do inciso II abrange também dívidas de reforma (abrange, por interpretação finalística) e não apenas financiamento para aquisição/construção.</w:t>
            </w:r>
          </w:p>
          <w:p>
            <w:pPr>
              <w:pStyle w:val="ListParagraph"/>
              <w:numPr>
                <w:ilvl w:val="0"/>
                <w:numId w:val="2"/>
              </w:numPr>
              <w:spacing w:after="40"/>
            </w:pPr>
            <w:r>
              <w:rPr>
                <w:b/>
                <w:bCs/>
                <w:i/>
                <w:iCs/>
              </w:rPr>
              <w:t xml:space="preserve">Discursiva/Sentença: </w:t>
            </w:r>
            <w:r>
              <w:t xml:space="preserve">caso de dívida com profissional que reformou o imóvel do devedor — analisar a penhorabilidade.</w:t>
            </w:r>
          </w:p>
          <w:p>
            <w:pPr>
              <w:pStyle w:val="ListParagraph"/>
              <w:numPr>
                <w:ilvl w:val="0"/>
                <w:numId w:val="2"/>
              </w:numPr>
              <w:spacing w:after="100"/>
            </w:pPr>
            <w:r>
              <w:rPr>
                <w:b/>
                <w:bCs/>
                <w:i/>
                <w:iCs/>
              </w:rPr>
              <w:t xml:space="preserve">Oral: </w:t>
            </w:r>
            <w:r>
              <w:t xml:space="preserve">"A exceção do art. 3º, II, da Lei 8.009/90 se limita ao financiamento de aquisição/construção ou também abrange dívidas de reforma do imóvel?"</w:t>
            </w:r>
          </w:p>
          <w:p>
            <w:pPr>
              <w:spacing w:after="0"/>
            </w:pPr>
            <w:r>
              <w:rPr>
                <w:b/>
                <w:bCs/>
                <w:color w:val="A9762F"/>
              </w:rPr>
              <w:t xml:space="preserve">CONEXÕES: </w:t>
            </w:r>
            <w:r>
              <w:rPr>
                <w:i/>
                <w:iCs/>
              </w:rPr>
              <w:t xml:space="preserve">REsp 1.976.743-SC (Info 728, empreitada global); REsp 1.221.372-RS (Info 658, empreitada parcial); REsp 1.935.842-PR (Info 702, sub-rogação real).</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Penhora do bem de família por dívida de contrato de empreitada global para construção do imóvel</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1.976.743-SC   |   Relator: Min. Nancy Andrighi   |   Data: 08/03/2022 (Info 728)</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Admite-se a penhora do bem de família para saldar débito originado de contrato de empreitada global celebrado para a construção do próprio imóvel, com fundamento no art. 3º, II, da Lei 8.009/90.</w:t>
            </w:r>
          </w:p>
          <w:p>
            <w:pPr>
              <w:spacing w:after="100"/>
            </w:pPr>
            <w:r>
              <w:rPr>
                <w:b/>
                <w:bCs/>
              </w:rPr>
              <w:t xml:space="preserve">RESUMO DO CASO: </w:t>
            </w:r>
            <w:r>
              <w:t xml:space="preserve">Proprietário contratou construtora, em regime de empreitada global (com fornecimento de material), para edificar sua casa em terreno próprio. Deixou de pagar as últimas parcelas, e a construtora obteve penhora do imóvel construído. O STJ confirmou a penhora, para evitar que o devedor se beneficiasse da construção sem contrapartida ao credor que viabilizou a própria existência do bem.</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distinguir "empreitada global" (financiamento indireto da construção, penhorável) de dívidas genéricas do proprietário (protegidas).</w:t>
            </w:r>
          </w:p>
          <w:p>
            <w:pPr>
              <w:pStyle w:val="ListParagraph"/>
              <w:numPr>
                <w:ilvl w:val="0"/>
                <w:numId w:val="2"/>
              </w:numPr>
              <w:spacing w:after="40"/>
            </w:pPr>
            <w:r>
              <w:rPr>
                <w:b/>
                <w:bCs/>
                <w:i/>
                <w:iCs/>
              </w:rPr>
              <w:t xml:space="preserve">Discursiva/Sentença: </w:t>
            </w:r>
            <w:r>
              <w:t xml:space="preserve">elaboração de sentença em execução de dívida de empreitada de construção residencial.</w:t>
            </w:r>
          </w:p>
          <w:p>
            <w:pPr>
              <w:pStyle w:val="ListParagraph"/>
              <w:numPr>
                <w:ilvl w:val="0"/>
                <w:numId w:val="2"/>
              </w:numPr>
              <w:spacing w:after="100"/>
            </w:pPr>
            <w:r>
              <w:rPr>
                <w:b/>
                <w:bCs/>
                <w:i/>
                <w:iCs/>
              </w:rPr>
              <w:t xml:space="preserve">Oral: </w:t>
            </w:r>
            <w:r>
              <w:t xml:space="preserve">"Dívidas de empreitada para construção do imóvel se enquadram nas exceções à impenhorabilidade do bem de família? Cite o fundamento legal."</w:t>
            </w:r>
          </w:p>
          <w:p>
            <w:pPr>
              <w:spacing w:after="0"/>
            </w:pPr>
            <w:r>
              <w:rPr>
                <w:b/>
                <w:bCs/>
                <w:color w:val="A9762F"/>
              </w:rPr>
              <w:t xml:space="preserve">CONEXÕES: </w:t>
            </w:r>
            <w:r>
              <w:rPr>
                <w:i/>
                <w:iCs/>
              </w:rPr>
              <w:t xml:space="preserve">REsp 2.082.860-RS (Info 800, extensão à reforma); REsp 1.221.372-RS (Info 658, empreitada parcial); art. 3º, II, Lei 8.009/90.</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Sub-rogação real da exceção do art. 3º, II — imóvel adquirido com produto da venda do bem originalmente financiado</w:t>
            </w:r>
          </w:p>
          <w:p>
            <w:pPr>
              <w:spacing w:after="40"/>
            </w:pPr>
            <w:r>
              <w:rPr>
                <w:b/>
                <w:bCs/>
                <w:color w:val="555555"/>
                <w:sz w:val="19"/>
                <w:szCs w:val="19"/>
              </w:rPr>
              <w:t xml:space="preserve">Tribunal: STJ   |   Órgão: 3ª Turma</w:t>
            </w:r>
          </w:p>
          <w:p>
            <w:pPr>
              <w:spacing w:after="40"/>
            </w:pPr>
            <w:r>
              <w:rPr>
                <w:color w:val="555555"/>
                <w:sz w:val="19"/>
                <w:szCs w:val="19"/>
              </w:rPr>
              <w:t xml:space="preserve">Processo: REsp 1.935.842-PR   |   Relator: Min. Nancy Andrighi   |   Data: 22/06/2021 (Info 702)</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exceção à impenhorabilidade prevista para o crédito decorrente de financiamento destinado à construção ou aquisição do imóvel (art. 3º, II, Lei 8.009/90) estende-se ao novo imóvel adquirido com os recursos oriundos da venda do bem originalmente financiado.</w:t>
            </w:r>
          </w:p>
          <w:p>
            <w:pPr>
              <w:spacing w:after="100"/>
            </w:pPr>
            <w:r>
              <w:rPr>
                <w:b/>
                <w:bCs/>
              </w:rPr>
              <w:t xml:space="preserve">RESUMO DO CASO: </w:t>
            </w:r>
            <w:r>
              <w:t xml:space="preserve">Devedor obteve financiamento bancário para comprar apartamento; posteriormente vendeu esse apartamento e, com o dinheiro, comprou uma casa. Diante do inadimplemento das parcelas do financiamento original, o banco buscou penhorar a nova casa (bem sub-rogado). O STJ admitiu a penhora, entendendo que a exceção acompanha a sub-rogação real do bem originalmente financiado para o bem adquirido com o produto de sua venda.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a extensão da exceção legal para além do bem originalmente financiado, alcançando o bem sub-rogado.</w:t>
            </w:r>
          </w:p>
          <w:p>
            <w:pPr>
              <w:pStyle w:val="ListParagraph"/>
              <w:numPr>
                <w:ilvl w:val="0"/>
                <w:numId w:val="2"/>
              </w:numPr>
              <w:spacing w:after="40"/>
            </w:pPr>
            <w:r>
              <w:rPr>
                <w:b/>
                <w:bCs/>
                <w:i/>
                <w:iCs/>
              </w:rPr>
              <w:t xml:space="preserve">Discursiva/Sentença: </w:t>
            </w:r>
            <w:r>
              <w:t xml:space="preserve">caso em que o devedor trocou de imóvel após financiar o primeiro — discutir se a exceção "segue" o novo bem.</w:t>
            </w:r>
          </w:p>
          <w:p>
            <w:pPr>
              <w:pStyle w:val="ListParagraph"/>
              <w:numPr>
                <w:ilvl w:val="0"/>
                <w:numId w:val="2"/>
              </w:numPr>
              <w:spacing w:after="100"/>
            </w:pPr>
            <w:r>
              <w:rPr>
                <w:b/>
                <w:bCs/>
                <w:i/>
                <w:iCs/>
              </w:rPr>
              <w:t xml:space="preserve">Oral: </w:t>
            </w:r>
            <w:r>
              <w:t xml:space="preserve">"A exceção do art. 3º, II, da Lei 8.009/90 se limita ao imóvel originalmente financiado ou pode alcançar outro bem adquirido com o produto de sua venda?"</w:t>
            </w:r>
          </w:p>
          <w:p>
            <w:pPr>
              <w:spacing w:after="0"/>
            </w:pPr>
            <w:r>
              <w:rPr>
                <w:b/>
                <w:bCs/>
                <w:color w:val="A9762F"/>
              </w:rPr>
              <w:t xml:space="preserve">CONEXÕES: </w:t>
            </w:r>
            <w:r>
              <w:rPr>
                <w:i/>
                <w:iCs/>
              </w:rPr>
              <w:t xml:space="preserve">REsp 2.082.860-RS (Info 800); REsp 1.976.743-SC (Info 728); art. 3º, II, Lei 8.009/90.</w:t>
            </w:r>
          </w:p>
        </w:tc>
      </w:tr>
    </w:tbl>
    <w:p>
      <w:pPr>
        <w:spacing w:after="160"/>
      </w:pPr>
    </w:p>
    <w:p>
      <w:pPr>
        <w:pStyle w:val="Heading2"/>
        <w:spacing w:after="160" w:before="200"/>
      </w:pPr>
      <w:r>
        <w:rPr>
          <w:color w:val="A9762F"/>
        </w:rPr>
        <w:t xml:space="preserve">5. Bem de família, sucessão e espólio</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Impenhorabilidade do bem de família ainda no inventário, sem partilha formal</w:t>
            </w:r>
          </w:p>
          <w:p>
            <w:pPr>
              <w:spacing w:after="40"/>
            </w:pPr>
            <w:r>
              <w:rPr>
                <w:b/>
                <w:bCs/>
                <w:color w:val="555555"/>
                <w:sz w:val="19"/>
                <w:szCs w:val="19"/>
              </w:rPr>
              <w:t xml:space="preserve">Tribunal: STJ   |   Órgão: 1ª Turma</w:t>
            </w:r>
          </w:p>
          <w:p>
            <w:pPr>
              <w:spacing w:after="40"/>
            </w:pPr>
            <w:r>
              <w:rPr>
                <w:color w:val="555555"/>
                <w:sz w:val="19"/>
                <w:szCs w:val="19"/>
              </w:rPr>
              <w:t xml:space="preserve">Processo: AgInt no REsp 2.168.820-RS   |   Relator: Min. Benedito Gonçalves   |   Data: 18/08/2025 (Info 861)</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Ainda que o imóvel esteja incluído em ação de inventário (sem partilha formal), deve ser assegurada sua impenhorabilidade em processo executivo fiscal, caso qualificado como bem de família. A morte do devedor não faz cessar automaticamente a impenhorabilidade nem a torna apta a garantir dívidas futuras de credores.</w:t>
            </w:r>
          </w:p>
          <w:p>
            <w:pPr>
              <w:spacing w:after="100"/>
            </w:pPr>
            <w:r>
              <w:rPr>
                <w:b/>
                <w:bCs/>
              </w:rPr>
              <w:t xml:space="preserve">RESUMO DO CASO: </w:t>
            </w:r>
            <w:r>
              <w:t xml:space="preserve">Falecido deixou como único bem o apartamento onde residia com uma filha solteira. Aberto o inventário, a Fazenda Pública executou dívida tributária do espólio e obteve a penhora do imóvel. O inventariante alegou impenhorabilidade por bem de família (residência da filha) e direito real de habitação. O STJ acolheu, afastando a penhora mesmo com o imóvel ainda sob inventário/sem partilha.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ausência de partilha formal afasta a proteção do bem de família (não afasta).</w:t>
            </w:r>
          </w:p>
          <w:p>
            <w:pPr>
              <w:pStyle w:val="ListParagraph"/>
              <w:numPr>
                <w:ilvl w:val="0"/>
                <w:numId w:val="2"/>
              </w:numPr>
              <w:spacing w:after="40"/>
            </w:pPr>
            <w:r>
              <w:rPr>
                <w:b/>
                <w:bCs/>
                <w:i/>
                <w:iCs/>
              </w:rPr>
              <w:t xml:space="preserve">Discursiva/Sentença: </w:t>
            </w:r>
            <w:r>
              <w:t xml:space="preserve">caso de execução fiscal contra espólio cujo único bem é o imóvel residencial de herdeiro — discutir a impenhorabilidade e o direito real de habitação.</w:t>
            </w:r>
          </w:p>
          <w:p>
            <w:pPr>
              <w:pStyle w:val="ListParagraph"/>
              <w:numPr>
                <w:ilvl w:val="0"/>
                <w:numId w:val="2"/>
              </w:numPr>
              <w:spacing w:after="100"/>
            </w:pPr>
            <w:r>
              <w:rPr>
                <w:b/>
                <w:bCs/>
                <w:i/>
                <w:iCs/>
              </w:rPr>
              <w:t xml:space="preserve">Oral: </w:t>
            </w:r>
            <w:r>
              <w:t xml:space="preserve">"A morte do titular do bem de família e a pendência de partilha afastam a impenhorabilidade legal?"</w:t>
            </w:r>
          </w:p>
          <w:p>
            <w:pPr>
              <w:spacing w:after="0"/>
            </w:pPr>
            <w:r>
              <w:rPr>
                <w:b/>
                <w:bCs/>
                <w:color w:val="A9762F"/>
              </w:rPr>
              <w:t xml:space="preserve">CONEXÕES: </w:t>
            </w:r>
            <w:r>
              <w:rPr>
                <w:i/>
                <w:iCs/>
              </w:rPr>
              <w:t xml:space="preserve">REsp 2.111.839-RS (Info 850, transmissão hereditária); REsp 1.861.107-RS (Info 22, indivisibilidade); direito real de habitação (art. 1.831, CC).</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Transmissão hereditária não desconfigura, por si só, a natureza de bem de família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2.111.839-RS   |   Relator: Min. Antonio Carlos Ferreira   |   Data: 06/05/2025 (Info 850)</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transmissão hereditária, por si só, não tem a capacidade de desconfigurar ou afastar a natureza de bem de família, se mantidas as características de imóvel residencial próprio da entidade familiar. A impenhorabilidade se aplica ao espólio, independentemente de partilha formal ou registro.</w:t>
            </w:r>
          </w:p>
          <w:p>
            <w:pPr>
              <w:spacing w:after="100"/>
            </w:pPr>
            <w:r>
              <w:rPr>
                <w:b/>
                <w:bCs/>
              </w:rPr>
              <w:t xml:space="preserve">RESUMO DO CASO: </w:t>
            </w:r>
            <w:r>
              <w:t xml:space="preserve">Falecido deixou dois filhos herdeiros e uma dívida anterior à morte. O credor pediu arresto do imóvel único, sustentando que, sem partilha, o bem integrava o espólio e podia ser usado para quitar dívidas do falecido. O STJ, aplicando o princípio da saisine, decidiu que a impenhorabilidade prevalece desde que o imóvel continue servindo de residência a um dos herdeiros, independentemente de formalização da partilha ou registro.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relacionar princípio da saisine (art. 1.784, CC) à manutenção da proteção do bem de família após a morte do titular.</w:t>
            </w:r>
          </w:p>
          <w:p>
            <w:pPr>
              <w:pStyle w:val="ListParagraph"/>
              <w:numPr>
                <w:ilvl w:val="0"/>
                <w:numId w:val="2"/>
              </w:numPr>
              <w:spacing w:after="40"/>
            </w:pPr>
            <w:r>
              <w:rPr>
                <w:b/>
                <w:bCs/>
                <w:i/>
                <w:iCs/>
              </w:rPr>
              <w:t xml:space="preserve">Discursiva/Sentença: </w:t>
            </w:r>
            <w:r>
              <w:t xml:space="preserve">questão de arresto/penhora de imóvel do espólio, exigindo análise conjunta do princípio da saisine e da Lei 8.009/90.</w:t>
            </w:r>
          </w:p>
          <w:p>
            <w:pPr>
              <w:pStyle w:val="ListParagraph"/>
              <w:numPr>
                <w:ilvl w:val="0"/>
                <w:numId w:val="2"/>
              </w:numPr>
              <w:spacing w:after="100"/>
            </w:pPr>
            <w:r>
              <w:rPr>
                <w:b/>
                <w:bCs/>
                <w:i/>
                <w:iCs/>
              </w:rPr>
              <w:t xml:space="preserve">Oral: </w:t>
            </w:r>
            <w:r>
              <w:t xml:space="preserve">"O princípio da saisine tem relação com a manutenção da proteção do bem de família após o falecimento do titular? Explique."</w:t>
            </w:r>
          </w:p>
          <w:p>
            <w:pPr>
              <w:spacing w:after="0"/>
            </w:pPr>
            <w:r>
              <w:rPr>
                <w:b/>
                <w:bCs/>
                <w:color w:val="A9762F"/>
              </w:rPr>
              <w:t xml:space="preserve">CONEXÕES: </w:t>
            </w:r>
            <w:r>
              <w:rPr>
                <w:i/>
                <w:iCs/>
              </w:rPr>
              <w:t xml:space="preserve">art. 1.784, CC (saisine); AgInt REsp 2.168.820-RS (Info 861); REsp 1.861.107-RS (Info 22).</w:t>
            </w:r>
          </w:p>
        </w:tc>
      </w:tr>
    </w:tbl>
    <w:p>
      <w:pPr>
        <w:spacing w:after="160"/>
      </w:pPr>
    </w:p>
    <w:p>
      <w:pPr>
        <w:pStyle w:val="Heading2"/>
        <w:spacing w:after="160" w:before="200"/>
      </w:pPr>
      <w:r>
        <w:rPr>
          <w:color w:val="A9762F"/>
        </w:rPr>
        <w:t xml:space="preserve">6. Fraude à execução, disposição do bem de família e má-fé (art. 4º)</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Doação de bem de família em fraude à execução não afasta a proteção legal se o imóvel segue como moradia</w:t>
            </w:r>
          </w:p>
          <w:p>
            <w:pPr>
              <w:spacing w:after="40"/>
            </w:pPr>
            <w:r>
              <w:rPr>
                <w:b/>
                <w:bCs/>
                <w:color w:val="555555"/>
                <w:sz w:val="19"/>
                <w:szCs w:val="19"/>
              </w:rPr>
              <w:t xml:space="preserve">Tribunal: STJ   |   Órgão: 2ª Seção</w:t>
            </w:r>
          </w:p>
          <w:p>
            <w:pPr>
              <w:spacing w:after="40"/>
            </w:pPr>
            <w:r>
              <w:rPr>
                <w:color w:val="555555"/>
                <w:sz w:val="19"/>
                <w:szCs w:val="19"/>
              </w:rPr>
              <w:t xml:space="preserve">Processo: EAREsp 2.141.032-GO   |   Relator: Min. Nancy Andrighi   |   Data: 06/02/2025 (Info 840)</w:t>
            </w:r>
          </w:p>
          <w:p>
            <w:pPr>
              <w:spacing w:after="100"/>
            </w:pPr>
            <w:r>
              <w:rPr>
                <w:i/>
                <w:iCs/>
                <w:color w:val="555555"/>
                <w:sz w:val="19"/>
                <w:szCs w:val="19"/>
              </w:rPr>
              <w:t xml:space="preserve">Sistemática: Embargos de Divergência — uniformização por Seção</w:t>
            </w:r>
          </w:p>
          <w:p>
            <w:pPr>
              <w:spacing w:after="100"/>
            </w:pPr>
            <w:r>
              <w:rPr>
                <w:b/>
                <w:bCs/>
              </w:rPr>
              <w:t xml:space="preserve">TESE FIXADA / DECISÃO: </w:t>
            </w:r>
            <w:r>
              <w:t xml:space="preserve">É possível reconhecer a manutenção da proteção do bem de família ainda que o imóvel tenha sido doado aos filhos em fraude à execução, desde que continue sendo utilizado pela família como moradia. A fraude à execução torna a alienação ineficaz perante o credor, mas não afasta, por si só, a impenhorabilidade do bem de família.</w:t>
            </w:r>
          </w:p>
          <w:p>
            <w:pPr>
              <w:spacing w:after="100"/>
            </w:pPr>
            <w:r>
              <w:rPr>
                <w:b/>
                <w:bCs/>
              </w:rPr>
              <w:t xml:space="preserve">RESUMO DO CASO: </w:t>
            </w:r>
            <w:r>
              <w:t xml:space="preserve">Casal com filho pequeno doou sua única casa (bem de família) ao filho, após citação em execução de R$ 500 mil que não se enquadrava nas exceções do art. 3º da Lei 8.009/90 — ou seja, o imóvel já era impenhorável antes da doação, tornando a operação irrelevante para o credor. O banco alegou fraude à execução. O STJ negou a penhora: mesmo ineficaz a doação, o imóvel retornaria ao patrimônio dos pais ainda protegido, e a residência familiar se manteve intacta.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o reconhecimento de fraude à execução automaticamente afasta a impenhorabilidade do bem de família (não afasta, se mantida a destinação residencial).</w:t>
            </w:r>
          </w:p>
          <w:p>
            <w:pPr>
              <w:pStyle w:val="ListParagraph"/>
              <w:numPr>
                <w:ilvl w:val="0"/>
                <w:numId w:val="2"/>
              </w:numPr>
              <w:spacing w:after="40"/>
            </w:pPr>
            <w:r>
              <w:rPr>
                <w:b/>
                <w:bCs/>
                <w:i/>
                <w:iCs/>
              </w:rPr>
              <w:t xml:space="preserve">Discursiva/Sentença: </w:t>
            </w:r>
            <w:r>
              <w:t xml:space="preserve">caso de doação de imóvel único a herdeiros após citação em execução — discutir os efeitos da fraude à execução sobre a impenhorabilidade.</w:t>
            </w:r>
          </w:p>
          <w:p>
            <w:pPr>
              <w:pStyle w:val="ListParagraph"/>
              <w:numPr>
                <w:ilvl w:val="0"/>
                <w:numId w:val="2"/>
              </w:numPr>
              <w:spacing w:after="100"/>
            </w:pPr>
            <w:r>
              <w:rPr>
                <w:b/>
                <w:bCs/>
                <w:i/>
                <w:iCs/>
              </w:rPr>
              <w:t xml:space="preserve">Oral: </w:t>
            </w:r>
            <w:r>
              <w:t xml:space="preserve">"A fraude à execução, uma vez reconhecida, sempre resulta na penhora do bem transferido? Há exceção quando se trata de bem de família?"</w:t>
            </w:r>
          </w:p>
          <w:p>
            <w:pPr>
              <w:spacing w:after="0"/>
            </w:pPr>
            <w:r>
              <w:rPr>
                <w:b/>
                <w:bCs/>
                <w:color w:val="A9762F"/>
              </w:rPr>
              <w:t xml:space="preserve">CONEXÕES: </w:t>
            </w:r>
            <w:r>
              <w:rPr>
                <w:i/>
                <w:iCs/>
              </w:rPr>
              <w:t xml:space="preserve">REsp 1.792.265-SP (Info 723/771, art. 4º da Lei 8.009/90 — má-fé); EDcl AREsp 2.244.832-SP (Info 23, proteção da meação do cônjuge não devedor); AgInt AREsp 2.174.427-RJ (Info 791, manutenção da cláusula de impenhorabilidade após alienação).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Proteção da meação do cônjuge não devedor se estende à totalidade do bem de família</w:t>
            </w:r>
          </w:p>
          <w:p>
            <w:pPr>
              <w:spacing w:after="40"/>
            </w:pPr>
            <w:r>
              <w:rPr>
                <w:b/>
                <w:bCs/>
                <w:color w:val="555555"/>
                <w:sz w:val="19"/>
                <w:szCs w:val="19"/>
              </w:rPr>
              <w:t xml:space="preserve">Tribunal: STJ   |   Órgão: 3ª Turma</w:t>
            </w:r>
          </w:p>
          <w:p>
            <w:pPr>
              <w:spacing w:after="40"/>
            </w:pPr>
            <w:r>
              <w:rPr>
                <w:color w:val="555555"/>
                <w:sz w:val="19"/>
                <w:szCs w:val="19"/>
              </w:rPr>
              <w:t xml:space="preserve">Processo: EDcl no AgInt no AREsp 2.244.832-SP   |   Relator: Min. Humberto Martins   |   Data: 23/09/2024 (Info 23 — Edição Extraordinária)</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reconhecimento da proteção do bem de família em relação à meação do cônjuge não devedor se estende à totalidade do bem, pois a Lei 8.009/90 visa resguardar a família contra o desabrigo, e não apenas prevenir a perda patrimonial da meeira.</w:t>
            </w:r>
          </w:p>
          <w:p>
            <w:pPr>
              <w:spacing w:after="100"/>
            </w:pPr>
            <w:r>
              <w:rPr>
                <w:b/>
                <w:bCs/>
              </w:rPr>
              <w:t xml:space="preserve">RESUMO DO CASO: </w:t>
            </w:r>
            <w:r>
              <w:t xml:space="preserve">Após ser citado em ação de cobrança, o marido devedor doou a casa do casal aos filhos, reservando usufruto, e o credor obteve reconhecimento de fraude à execução com penhora de 50% (parte do marido). A esposa, não devedora, opôs embargos de terceiro alegando bem de família. O STJ acolheu, afirmando que a proteção do bem de família se estende à totalidade do imóvel, mesmo diante de fraude à execução, desde que mantida a destinação residencial familiar e ausente desvio de proveito econômico em prejuízo do credor.</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penhora pode recair apenas sobre a meação do cônjuge devedor quando o imóvel é bem de família (não pode, protege-se o todo).</w:t>
            </w:r>
          </w:p>
          <w:p>
            <w:pPr>
              <w:pStyle w:val="ListParagraph"/>
              <w:numPr>
                <w:ilvl w:val="0"/>
                <w:numId w:val="2"/>
              </w:numPr>
              <w:spacing w:after="40"/>
            </w:pPr>
            <w:r>
              <w:rPr>
                <w:b/>
                <w:bCs/>
                <w:i/>
                <w:iCs/>
              </w:rPr>
              <w:t xml:space="preserve">Discursiva/Sentença: </w:t>
            </w:r>
            <w:r>
              <w:t xml:space="preserve">caso de doação com reserva de usufruto por cônjuge devedor, com embargos de terceiro do cônjuge não devedor — discutir extensão da proteção.</w:t>
            </w:r>
          </w:p>
          <w:p>
            <w:pPr>
              <w:pStyle w:val="ListParagraph"/>
              <w:numPr>
                <w:ilvl w:val="0"/>
                <w:numId w:val="2"/>
              </w:numPr>
              <w:spacing w:after="100"/>
            </w:pPr>
            <w:r>
              <w:rPr>
                <w:b/>
                <w:bCs/>
                <w:i/>
                <w:iCs/>
              </w:rPr>
              <w:t xml:space="preserve">Oral: </w:t>
            </w:r>
            <w:r>
              <w:t xml:space="preserve">"A impenhorabilidade do bem de família, quando arguida por cônjuge não devedor, protege apenas a meação dele ou o imóvel como um todo?"</w:t>
            </w:r>
          </w:p>
          <w:p>
            <w:pPr>
              <w:spacing w:after="0"/>
            </w:pPr>
            <w:r>
              <w:rPr>
                <w:b/>
                <w:bCs/>
                <w:color w:val="A9762F"/>
              </w:rPr>
              <w:t xml:space="preserve">CONEXÕES: </w:t>
            </w:r>
            <w:r>
              <w:rPr>
                <w:i/>
                <w:iCs/>
              </w:rPr>
              <w:t xml:space="preserve">EAREsp 2.141.032-GO (Info 840); REsp 1.792.265-SP (Info 723/771).</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Aquisição de imóvel no curso de demanda executiva não afasta a impenhorabilidade, salvo má-fé (art. 4º)</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1.792.265-SP, Rel. Min. Luis Felipe Salomão, julgado em 14/12/2021 (Info 723) — confirmado em AgInt nos EDcl no AREsp 2.182.745-BA, Rel. Min. Raul Araújo, julgado em 18/04/2023 (Info 771)</w:t>
            </w:r>
          </w:p>
          <w:p>
            <w:pPr>
              <w:spacing w:after="100"/>
            </w:pPr>
            <w:r>
              <w:rPr>
                <w:i/>
                <w:iCs/>
                <w:color w:val="555555"/>
                <w:sz w:val="19"/>
                <w:szCs w:val="19"/>
              </w:rPr>
              <w:t xml:space="preserve">Sistemática: Caso isolado (reiterado)</w:t>
            </w:r>
          </w:p>
          <w:p>
            <w:pPr>
              <w:spacing w:after="100"/>
            </w:pPr>
            <w:r>
              <w:rPr>
                <w:b/>
                <w:bCs/>
              </w:rPr>
              <w:t xml:space="preserve">TESE FIXADA / DECISÃO: </w:t>
            </w:r>
            <w:r>
              <w:t xml:space="preserve">O benefício da impenhorabilidade do bem de família deve ser concedido ainda que o imóvel tenha sido adquirido no curso de demanda executiva, salvo na hipótese do art. 4º da Lei 8.009/90 (aquisição de má-fé de imóvel mais valioso para transferir a residência, desfazendo-se ou não da moradia antiga, pelo devedor que sabe ser insolvente).</w:t>
            </w:r>
          </w:p>
          <w:p>
            <w:pPr>
              <w:spacing w:after="100"/>
            </w:pPr>
            <w:r>
              <w:rPr>
                <w:b/>
                <w:bCs/>
              </w:rPr>
              <w:t xml:space="preserve">RESUMO DO CASO: </w:t>
            </w:r>
            <w:r>
              <w:t xml:space="preserve">Discutiu-se se a aquisição de imóvel para moradia durante o curso de execução, sem alienação ou oneração de outros bens, configuraria fraude ou afastaria a impenhorabilidade. O STJ definiu que, em regra, a proteção subsiste, restringindo-se a exceção à hipótese específica de má-fé descrita no art. 4º (imóvel "mais valioso" adquirido para blindar patrimônio do devedor insolvente).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os requisitos cumulativos do art. 4º da Lei 8.009/90 (insolvência conhecida + má-fé + imóvel mais valioso) para afastar a proteção.</w:t>
            </w:r>
          </w:p>
          <w:p>
            <w:pPr>
              <w:pStyle w:val="ListParagraph"/>
              <w:numPr>
                <w:ilvl w:val="0"/>
                <w:numId w:val="2"/>
              </w:numPr>
              <w:spacing w:after="40"/>
            </w:pPr>
            <w:r>
              <w:rPr>
                <w:b/>
                <w:bCs/>
                <w:i/>
                <w:iCs/>
              </w:rPr>
              <w:t xml:space="preserve">Discursiva/Sentença: </w:t>
            </w:r>
            <w:r>
              <w:t xml:space="preserve">caso de devedor que compra novo imóvel durante execução — analisar se há fraude nos moldes do art. 4º ou se a proteção subsiste.</w:t>
            </w:r>
          </w:p>
          <w:p>
            <w:pPr>
              <w:pStyle w:val="ListParagraph"/>
              <w:numPr>
                <w:ilvl w:val="0"/>
                <w:numId w:val="2"/>
              </w:numPr>
              <w:spacing w:after="100"/>
            </w:pPr>
            <w:r>
              <w:rPr>
                <w:b/>
                <w:bCs/>
                <w:i/>
                <w:iCs/>
              </w:rPr>
              <w:t xml:space="preserve">Oral: </w:t>
            </w:r>
            <w:r>
              <w:t xml:space="preserve">"Quais os requisitos para que a aquisição de novo imóvel durante o curso de uma execução afaste a proteção do bem de família, nos termos do art. 4º da Lei 8.009/90?"</w:t>
            </w:r>
          </w:p>
          <w:p>
            <w:pPr>
              <w:spacing w:after="0"/>
            </w:pPr>
            <w:r>
              <w:rPr>
                <w:b/>
                <w:bCs/>
                <w:color w:val="A9762F"/>
              </w:rPr>
              <w:t xml:space="preserve">CONEXÕES: </w:t>
            </w:r>
            <w:r>
              <w:rPr>
                <w:i/>
                <w:iCs/>
              </w:rPr>
              <w:t xml:space="preserve">art. 4º, Lei 8.009/90; EAREsp 2.141.032-GO (Info 840); AgInt AREsp 2.174.427-RJ (Info 791, manutenção da impenhorabilidade mesmo após alienação do bem).</w:t>
            </w:r>
          </w:p>
        </w:tc>
      </w:tr>
    </w:tbl>
    <w:p>
      <w:pPr>
        <w:spacing w:after="160"/>
      </w:pPr>
    </w:p>
    <w:p>
      <w:pPr>
        <w:pStyle w:val="Heading2"/>
        <w:spacing w:after="160" w:before="200"/>
      </w:pPr>
      <w:r>
        <w:rPr>
          <w:color w:val="A9762F"/>
        </w:rPr>
        <w:t xml:space="preserve">7. Outros temas relevantes (imóvel em nome de pessoa jurídica; construção em andamento)</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Confusão entre moradia da família e sede da empresa não é requisito para a proteção do bem de família</w:t>
            </w:r>
          </w:p>
          <w:p>
            <w:pPr>
              <w:spacing w:after="40"/>
            </w:pPr>
            <w:r>
              <w:rPr>
                <w:b/>
                <w:bCs/>
                <w:color w:val="555555"/>
                <w:sz w:val="19"/>
                <w:szCs w:val="19"/>
              </w:rPr>
              <w:t xml:space="preserve">Tribunal: STJ   |   Órgão: 2ª Turma</w:t>
            </w:r>
          </w:p>
          <w:p>
            <w:pPr>
              <w:spacing w:after="40"/>
            </w:pPr>
            <w:r>
              <w:rPr>
                <w:color w:val="555555"/>
                <w:sz w:val="19"/>
                <w:szCs w:val="19"/>
              </w:rPr>
              <w:t xml:space="preserve">Processo: AgInt no AREsp 2.360.631-RJ   |   Relator: Min. Herman Benjamin   |   Data: 08/04/2024 (Info 811)</w:t>
            </w:r>
          </w:p>
          <w:p>
            <w:pPr>
              <w:spacing w:after="100"/>
            </w:pPr>
            <w:r>
              <w:rPr>
                <w:i/>
                <w:iCs/>
                <w:color w:val="555555"/>
                <w:sz w:val="19"/>
                <w:szCs w:val="19"/>
              </w:rPr>
              <w:t xml:space="preserve">Sistemática: Caso isolado</w:t>
            </w:r>
          </w:p>
          <w:p>
            <w:pPr>
              <w:spacing w:after="100"/>
            </w:pPr>
            <w:r>
              <w:rPr>
                <w:b/>
                <w:bCs/>
              </w:rPr>
              <w:t xml:space="preserve">TESE FIXADA / DECISÃO: </w:t>
            </w:r>
            <w:r>
              <w:t xml:space="preserve">A simples comprovação de que o imóvel constitui moradia é suficiente para conferir a proteção do bem de família, ainda que o imóvel esteja registrado em nome de pessoa jurídica da qual o morador é sócio. Não se exige "confusão" (coincidência) entre a moradia da família e o local de funcionamento da empresa.</w:t>
            </w:r>
          </w:p>
          <w:p>
            <w:pPr>
              <w:spacing w:after="100"/>
            </w:pPr>
            <w:r>
              <w:rPr>
                <w:b/>
                <w:bCs/>
              </w:rPr>
              <w:t xml:space="preserve">RESUMO DO CASO: </w:t>
            </w:r>
            <w:r>
              <w:t xml:space="preserve">Imóvel adquirido por sócia para moradia foi posteriormente integralizado ao capital social de sua empresa, passando a figurar em nome da PJ, mas ela continuou residindo no local com a família. Diante de indisponibilidade de bens decretada em investigação por fraude tributária da empresa, a sócia opôs embargos de terceiro alegando bem de família. O juízo de origem exigia "confusão" entre moradia e sede da empresa; o STJ afastou essa exigência, por se tratar de interpretação extensiva vedada a norma protetiva de ordem pública.</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 proteção do bem de família em imóvel de titularidade de PJ exige que a empresa também funcione no local (não exige).</w:t>
            </w:r>
          </w:p>
          <w:p>
            <w:pPr>
              <w:pStyle w:val="ListParagraph"/>
              <w:numPr>
                <w:ilvl w:val="0"/>
                <w:numId w:val="2"/>
              </w:numPr>
              <w:spacing w:after="40"/>
            </w:pPr>
            <w:r>
              <w:rPr>
                <w:b/>
                <w:bCs/>
                <w:i/>
                <w:iCs/>
              </w:rPr>
              <w:t xml:space="preserve">Discursiva/Sentença: </w:t>
            </w:r>
            <w:r>
              <w:t xml:space="preserve">caso de imóvel integralizado ao capital social de empresa em que o sócio reside — discutir a impenhorabilidade em face de dívidas da PJ.</w:t>
            </w:r>
          </w:p>
          <w:p>
            <w:pPr>
              <w:pStyle w:val="ListParagraph"/>
              <w:numPr>
                <w:ilvl w:val="0"/>
                <w:numId w:val="2"/>
              </w:numPr>
              <w:spacing w:after="100"/>
            </w:pPr>
            <w:r>
              <w:rPr>
                <w:b/>
                <w:bCs/>
                <w:i/>
                <w:iCs/>
              </w:rPr>
              <w:t xml:space="preserve">Oral: </w:t>
            </w:r>
            <w:r>
              <w:t xml:space="preserve">"É possível reconhecer bem de família em imóvel registrado em nome de pessoa jurídica? Quais os requisitos?"</w:t>
            </w:r>
          </w:p>
          <w:p>
            <w:pPr>
              <w:spacing w:after="0"/>
            </w:pPr>
            <w:r>
              <w:rPr>
                <w:b/>
                <w:bCs/>
                <w:color w:val="A9762F"/>
              </w:rPr>
              <w:t xml:space="preserve">CONEXÕES: </w:t>
            </w:r>
            <w:r>
              <w:rPr>
                <w:i/>
                <w:iCs/>
              </w:rPr>
              <w:t xml:space="preserve">EDcl AREsp 511.486-SC (Info 579, imóvel de sociedade empresária em que reside o sócio); Tema 1261-STJ (Info 855, hipoteca por sócio).</w:t>
            </w:r>
          </w:p>
        </w:tc>
      </w:tr>
    </w:tbl>
    <w:p>
      <w:pPr>
        <w:spacing w:after="160"/>
      </w:pP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Imóvel em construção destinado à moradia é bem de família antecipado</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1.960.026-SP   |   Relator: Min. Marco Buzzi   |   Data: 11/10/2022 (Info 753)</w:t>
            </w:r>
          </w:p>
          <w:p>
            <w:pPr>
              <w:spacing w:after="100"/>
            </w:pPr>
            <w:r>
              <w:rPr>
                <w:i/>
                <w:iCs/>
                <w:color w:val="555555"/>
                <w:sz w:val="19"/>
                <w:szCs w:val="19"/>
              </w:rPr>
              <w:t xml:space="preserve">Sistemática: Caso isolado</w:t>
            </w:r>
          </w:p>
          <w:p>
            <w:pPr>
              <w:spacing w:after="100"/>
            </w:pPr>
            <w:r>
              <w:rPr>
                <w:b/>
                <w:bCs/>
              </w:rPr>
              <w:t xml:space="preserve">TESE FIXADA / DECISÃO: </w:t>
            </w:r>
            <w:r>
              <w:t xml:space="preserve">O terreno cuja unidade habitacional está em fase de construção, destinada à residência, está protegido pela impenhorabilidade por dívidas, presumindo-se, desde logo, como bem de família — adotando-se interpretação finalística e valorativa da Lei 8.009/90.</w:t>
            </w:r>
          </w:p>
          <w:p>
            <w:pPr>
              <w:spacing w:after="100"/>
            </w:pPr>
            <w:r>
              <w:rPr>
                <w:b/>
                <w:bCs/>
              </w:rPr>
              <w:t xml:space="preserve">RESUMO DO CASO: </w:t>
            </w:r>
            <w:r>
              <w:t xml:space="preserve">Discutiu-se a penhorabilidade de terreno com obra inacabada, ainda sem condições de habitação, mas destinado à futura moradia do devedor. O STJ decidiu que a etapa de construção não afasta a proteção, considerando o contexto socioeconômico brasileiro em que a construção da casa própria muitas vezes leva anos, sendo desproporcional exigir que o imóvel já esteja pronto para gozar da impenhorabilidade.</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testar se apenas o imóvel já habitável goza da proteção (não — imóvel em construção também, se destinado à moradia).</w:t>
            </w:r>
          </w:p>
          <w:p>
            <w:pPr>
              <w:pStyle w:val="ListParagraph"/>
              <w:numPr>
                <w:ilvl w:val="0"/>
                <w:numId w:val="2"/>
              </w:numPr>
              <w:spacing w:after="40"/>
            </w:pPr>
            <w:r>
              <w:rPr>
                <w:b/>
                <w:bCs/>
                <w:i/>
                <w:iCs/>
              </w:rPr>
              <w:t xml:space="preserve">Discursiva/Sentença: </w:t>
            </w:r>
            <w:r>
              <w:t xml:space="preserve">caso de execução contra devedor que possui apenas terreno com obra em andamento — discutir a impenhorabilidade.</w:t>
            </w:r>
          </w:p>
          <w:p>
            <w:pPr>
              <w:pStyle w:val="ListParagraph"/>
              <w:numPr>
                <w:ilvl w:val="0"/>
                <w:numId w:val="2"/>
              </w:numPr>
              <w:spacing w:after="100"/>
            </w:pPr>
            <w:r>
              <w:rPr>
                <w:b/>
                <w:bCs/>
                <w:i/>
                <w:iCs/>
              </w:rPr>
              <w:t xml:space="preserve">Oral: </w:t>
            </w:r>
            <w:r>
              <w:t xml:space="preserve">"O bem de família pressupõe que o imóvel já esteja habitável? Explique a posição do STJ sobre imóveis em construção."</w:t>
            </w:r>
          </w:p>
          <w:p>
            <w:pPr>
              <w:spacing w:after="0"/>
            </w:pPr>
            <w:r>
              <w:rPr>
                <w:b/>
                <w:bCs/>
                <w:color w:val="A9762F"/>
              </w:rPr>
              <w:t xml:space="preserve">CONEXÕES: </w:t>
            </w:r>
            <w:r>
              <w:rPr>
                <w:i/>
                <w:iCs/>
              </w:rPr>
              <w:t xml:space="preserve">art. 1º, Lei 8.009/90; princípio da dignidade da pessoa humana e direito à moradia (art. 6º, CF).</w:t>
            </w:r>
          </w:p>
        </w:tc>
      </w:tr>
    </w:tbl>
    <w:p>
      <w:pPr>
        <w:spacing w:after="160"/>
      </w:pPr>
    </w:p>
    <w:p>
      <w:pPr>
        <w:pStyle w:val="Heading1"/>
        <w:pageBreakBefore/>
        <w:spacing w:after="200"/>
      </w:pPr>
      <w:r>
        <w:rPr>
          <w:color w:val="7A1F2B"/>
        </w:rPr>
        <w:t xml:space="preserve">V. TUTELA, CURATELA E TOMADA DE DECISÃO APOIADA</w:t>
      </w:r>
    </w:p>
    <w:p>
      <w:pPr>
        <w:spacing w:after="300"/>
      </w:pPr>
      <w:r>
        <w:rPr>
          <w:i/>
          <w:iCs/>
          <w:color w:val="555555"/>
        </w:rPr>
        <w:t xml:space="preserve">CC arts. 1.728 a 1.783-A</w:t>
      </w:r>
    </w:p>
    <w:p>
      <w:pPr>
        <w:pStyle w:val="Heading2"/>
        <w:spacing w:after="160" w:before="200"/>
      </w:pPr>
      <w:r>
        <w:rPr>
          <w:color w:val="A9762F"/>
        </w:rPr>
        <w:t xml:space="preserve">Curatela e capacidade civil</w:t>
      </w:r>
    </w:p>
    <w:tbl>
      <w:tblPr>
        <w:tblW w:type="pct" w:w="100%"/>
        <w:tblBorders>
          <w:top w:val="single" w:color="C9B78C" w:sz="8"/>
          <w:left w:val="single" w:color="C9B78C" w:sz="8"/>
          <w:bottom w:val="single" w:color="C9B78C" w:sz="8"/>
          <w:right w:val="single" w:color="C9B78C" w:sz="8"/>
          <w:insideH w:val="none"/>
          <w:insideV w:val="none"/>
        </w:tblBorders>
      </w:tblPr>
      <w:tblGrid>
        <w:gridCol w:w="100"/>
      </w:tblGrid>
      <w:tr>
        <w:tc>
          <w:tcPr>
            <w:tcW w:type="pct" w:w="100%"/>
            <w:shd w:fill="F6F1E8" w:color="auto" w:val="clear"/>
            <w:tcMar>
              <w:top w:type="dxa" w:w="160"/>
              <w:left w:type="dxa" w:w="200"/>
              <w:bottom w:type="dxa" w:w="160"/>
              <w:right w:type="dxa" w:w="200"/>
            </w:tcMar>
          </w:tcPr>
          <w:p>
            <w:pPr>
              <w:pStyle w:val="Heading3"/>
              <w:spacing w:after="80"/>
            </w:pPr>
            <w:r>
              <w:rPr>
                <w:color w:val="7A1F2B"/>
              </w:rPr>
              <w:t xml:space="preserve">Curatela provisória e restrição da capacidade civil do testador — nulidade do testamento lavrado na sua vigência</w:t>
            </w:r>
          </w:p>
          <w:p>
            <w:pPr>
              <w:spacing w:after="40"/>
            </w:pPr>
            <w:r>
              <w:rPr>
                <w:b/>
                <w:bCs/>
                <w:color w:val="555555"/>
                <w:sz w:val="19"/>
                <w:szCs w:val="19"/>
              </w:rPr>
              <w:t xml:space="preserve">Tribunal: STJ   |   Órgão: 4ª Turma</w:t>
            </w:r>
          </w:p>
          <w:p>
            <w:pPr>
              <w:spacing w:after="40"/>
            </w:pPr>
            <w:r>
              <w:rPr>
                <w:color w:val="555555"/>
                <w:sz w:val="19"/>
                <w:szCs w:val="19"/>
              </w:rPr>
              <w:t xml:space="preserve">Processo: REsp 2.080.527-MG   |   Relator: Min. João Otávio de Noronha   |   Data: 06/05/2025</w:t>
            </w:r>
          </w:p>
          <w:p>
            <w:pPr>
              <w:spacing w:after="100"/>
            </w:pPr>
            <w:r>
              <w:rPr>
                <w:i/>
                <w:iCs/>
                <w:color w:val="555555"/>
                <w:sz w:val="19"/>
                <w:szCs w:val="19"/>
              </w:rPr>
              <w:t xml:space="preserve">Sistemática: Caso isolado (decisão de Turma; sem indicação, no texto-fonte, de julgamento em rito de recurso repetitivo ou repercussão geral) [VERIFICAR eventual afetação a repetitivo no inteiro teor]</w:t>
            </w:r>
          </w:p>
          <w:p>
            <w:pPr>
              <w:spacing w:after="100"/>
            </w:pPr>
            <w:r>
              <w:rPr>
                <w:b/>
                <w:bCs/>
              </w:rPr>
              <w:t xml:space="preserve">TESE FIXADA / DECISÃO: </w:t>
            </w:r>
            <w:r>
              <w:t xml:space="preserve">A curatela provisória, decretada em ação de interdição, restringe a capacidade civil da pessoa, tornando nulo o testamento assinado durante sua vigência. A própria decisão judicial que decreta a curatela provisória já constitui prova suficiente da restrição da capacidade civil do testador no momento em que firmou o ato, dispensando a necessidade de dilação probatória ou de ação anulatória autônoma para contestar a validade do testamento.</w:t>
            </w:r>
          </w:p>
          <w:p>
            <w:pPr>
              <w:spacing w:after="100"/>
            </w:pPr>
            <w:r>
              <w:rPr>
                <w:b/>
                <w:bCs/>
              </w:rPr>
              <w:t xml:space="preserve">RESUMO DO CASO: </w:t>
            </w:r>
            <w:r>
              <w:t xml:space="preserve">Uma pessoa estava sob curatela provisória, decretada em ação de interdição em curso, e, durante a vigência dessa medida, lavrou testamento. Discutia-se se seria necessária uma ação anulatória autônoma (com produção de prova pericial retroativa sobre o estado mental do testador à época do ato) para reconhecer a invalidade do testamento, ou se a decisão de curatela provisória, por si só, já seria prova bastante da incapacidade. O STJ decidiu que a decisão que decreta a curatela provisória já demonstra, per se, a restrição da capacidade civil da pessoa naquele período, de modo que o testamento lavrado durante sua vigência é nulo, sem necessidade de dilação probatória ou de ação anulatória própria. [VERIFICAR no inteiro teor eventuais detalhes fáticos adicionais — nomes das partes e contexto sucessório não constavam no resumo-fonte consultado.]</w:t>
            </w:r>
          </w:p>
          <w:p>
            <w:pPr>
              <w:spacing w:after="40"/>
            </w:pPr>
            <w:r>
              <w:rPr>
                <w:b/>
                <w:bCs/>
              </w:rPr>
              <w:t xml:space="preserve">COMO PODE SER COBRADO EM PROVA:</w:t>
            </w:r>
          </w:p>
          <w:p>
            <w:pPr>
              <w:pStyle w:val="ListParagraph"/>
              <w:numPr>
                <w:ilvl w:val="0"/>
                <w:numId w:val="2"/>
              </w:numPr>
              <w:spacing w:after="40"/>
            </w:pPr>
            <w:r>
              <w:rPr>
                <w:b/>
                <w:bCs/>
                <w:i/>
                <w:iCs/>
              </w:rPr>
              <w:t xml:space="preserve">Objetiva: </w:t>
            </w:r>
            <w:r>
              <w:t xml:space="preserve">alternativa afirmando corretamente que "a decisão que decreta a curatela provisória já é prova suficiente da incapacidade do testador, dispensando ação anulatória autônoma para invalidar o testamento lavrado em sua vigência" (correta) versus distratora sustentando a necessidade de perícia retroativa ou de ação anulatória própria (incorreta).</w:t>
            </w:r>
          </w:p>
          <w:p>
            <w:pPr>
              <w:pStyle w:val="ListParagraph"/>
              <w:numPr>
                <w:ilvl w:val="0"/>
                <w:numId w:val="2"/>
              </w:numPr>
              <w:spacing w:after="40"/>
            </w:pPr>
            <w:r>
              <w:rPr>
                <w:b/>
                <w:bCs/>
                <w:i/>
                <w:iCs/>
              </w:rPr>
              <w:t xml:space="preserve">Discursiva/Sentença: </w:t>
            </w:r>
            <w:r>
              <w:t xml:space="preserve">caso prático envolvendo sucessão em que um herdeiro impugna testamento lavrado por pessoa que já estava sob curatela provisória, exigindo do candidato articular capacidade civil (arts. 1.767 e 1.772, CC), capacidade testamentária ativa (art. 1.860, CC) e os efeitos probatórios da decisão de curatela provisória sobre atos praticados durante sua vigência.</w:t>
            </w:r>
          </w:p>
          <w:p>
            <w:pPr>
              <w:pStyle w:val="ListParagraph"/>
              <w:numPr>
                <w:ilvl w:val="0"/>
                <w:numId w:val="2"/>
              </w:numPr>
              <w:spacing w:after="100"/>
            </w:pPr>
            <w:r>
              <w:rPr>
                <w:b/>
                <w:bCs/>
                <w:i/>
                <w:iCs/>
              </w:rPr>
              <w:t xml:space="preserve">Oral: </w:t>
            </w:r>
            <w:r>
              <w:t xml:space="preserve">"Qual a diferença entre os efeitos da curatela provisória sobre atos praticados durante sua vigência e os efeitos da sentença de interdição sobre atos anteriores à sua prolação? A decisão de curatela provisória basta, por si só, para comprovar a incapacidade do agente enquanto vigente?"</w:t>
            </w:r>
          </w:p>
          <w:p>
            <w:pPr>
              <w:spacing w:after="0"/>
            </w:pPr>
            <w:r>
              <w:rPr>
                <w:b/>
                <w:bCs/>
                <w:color w:val="A9762F"/>
              </w:rPr>
              <w:t xml:space="preserve">CONEXÕES: </w:t>
            </w:r>
            <w:r>
              <w:rPr>
                <w:i/>
                <w:iCs/>
              </w:rPr>
              <w:t xml:space="preserve">arts. 1.767, 1.772 e 1.860 do CC; arts. 749, 750 e 758 do CPC/2015 (procedimento de interdição e curatela provisória); Lei 13.146/2015 (Estatuto da Pessoa com Deficiência) — natureza excepcional e patrimonial da curatela; tema clássico dos "efeitos da sentença de interdição sobre atos praticados antes da sentença" (presunção relativa/absoluta de incapacidade) — aqui a situação é distinta e mais forte, pois já havia decisão judicial de curatela provisória vigente no momento do ato.</w:t>
            </w:r>
          </w:p>
        </w:tc>
      </w:tr>
    </w:tbl>
    <w:p>
      <w:pPr>
        <w:spacing w:after="160"/>
      </w:pPr>
    </w:p>
    <w:p>
      <w:pPr>
        <w:pStyle w:val="Heading1"/>
        <w:pageBreakBefore/>
        <w:spacing w:after="200"/>
      </w:pPr>
      <w:r>
        <w:rPr>
          <w:color w:val="7A1F2B"/>
        </w:rPr>
        <w:t xml:space="preserve">TOP 10 IMPERDÍVEIS DESTA MATÉRIA</w:t>
      </w:r>
    </w:p>
    <w:p>
      <w:pPr>
        <w:spacing w:after="240"/>
      </w:pPr>
      <w:r>
        <w:rPr>
          <w:i/>
          <w:iCs/>
          <w:color w:val="555555"/>
        </w:rPr>
        <w:t xml:space="preserve">Seleção dos julgados com maior probabilidade de cobrança em prova de Magistratura (FGV), considerando sistemática vinculante (repercussão geral, repetitivo, controle concentrado, súmula), centralidade do tema e atualidade.</w:t>
      </w:r>
    </w:p>
    <w:p>
      <w:pPr>
        <w:spacing w:after="60" w:before="160"/>
      </w:pPr>
      <w:r>
        <w:rPr>
          <w:b/>
          <w:bCs/>
          <w:color w:val="7A1F2B"/>
        </w:rPr>
        <w:t xml:space="preserve">1. Separação obrigatória de bens para maiores de 70 anos pode ser afastada por escritura pública</w:t>
      </w:r>
    </w:p>
    <w:p>
      <w:pPr>
        <w:spacing w:after="80"/>
        <w:ind w:left="300"/>
      </w:pPr>
      <w:r>
        <w:t xml:space="preserve">STF, Plenário, ARE 1.309.642/SP — Tema 1236 de Repercussão Geral. Reescreve um dos temas mais clássicos e mais cobrados da matéria (art. 1.641, II, CC); combina-se diretamente com a Súmula 377-STF e a Súmula 655-STJ.</w:t>
      </w:r>
    </w:p>
    <w:p>
      <w:pPr>
        <w:spacing w:after="60" w:before="160"/>
      </w:pPr>
      <w:r>
        <w:rPr>
          <w:b/>
          <w:bCs/>
          <w:color w:val="7A1F2B"/>
        </w:rPr>
        <w:t xml:space="preserve">2. Fim da separação judicial como figura autônoma após a EC 66/2010</w:t>
      </w:r>
    </w:p>
    <w:p>
      <w:pPr>
        <w:spacing w:after="80"/>
        <w:ind w:left="300"/>
      </w:pPr>
      <w:r>
        <w:t xml:space="preserve">STF, Plenário, RE 1.167.478/RJ — Tema 1053 de Repercussão Geral. Tese vinculante sobre um dos institutos mais cobrados em provas de sentença cível de família.</w:t>
      </w:r>
    </w:p>
    <w:p>
      <w:pPr>
        <w:spacing w:after="60" w:before="160"/>
      </w:pPr>
      <w:r>
        <w:rPr>
          <w:b/>
          <w:bCs/>
          <w:color w:val="7A1F2B"/>
        </w:rPr>
        <w:t xml:space="preserve">3. Súmula 655-STJ — separação obrigatória de bens na união estável de septuagenário</w:t>
      </w:r>
    </w:p>
    <w:p>
      <w:pPr>
        <w:spacing w:after="80"/>
        <w:ind w:left="300"/>
      </w:pPr>
      <w:r>
        <w:t xml:space="preserve">Enunciado sumular de aplicação direta; altíssima chance de cobrança literal em prova objetiva, cruzando união estável com regime de bens.</w:t>
      </w:r>
    </w:p>
    <w:p>
      <w:pPr>
        <w:spacing w:after="60" w:before="160"/>
      </w:pPr>
      <w:r>
        <w:rPr>
          <w:b/>
          <w:bCs/>
          <w:color w:val="7A1F2B"/>
        </w:rPr>
        <w:t xml:space="preserve">4. Penhorabilidade do bem de família do fiador em locação residencial e comercial</w:t>
      </w:r>
    </w:p>
    <w:p>
      <w:pPr>
        <w:spacing w:after="80"/>
        <w:ind w:left="300"/>
      </w:pPr>
      <w:r>
        <w:t xml:space="preserve">STF (RE 1.307.334/SP — Tema 1127 RG) e STJ (REsp 1.822.040-PR — Tema 1091 repetitivo). Dupla consolidação (RG + repetitivo) do tema mais cobrado de bem de família em concursos.</w:t>
      </w:r>
    </w:p>
    <w:p>
      <w:pPr>
        <w:spacing w:after="60" w:before="160"/>
      </w:pPr>
      <w:r>
        <w:rPr>
          <w:b/>
          <w:bCs/>
          <w:color w:val="7A1F2B"/>
        </w:rPr>
        <w:t xml:space="preserve">5. Ônus da prova na penhora de bem de família hipotecado por sócio de pessoa jurídica</w:t>
      </w:r>
    </w:p>
    <w:p>
      <w:pPr>
        <w:spacing w:after="80"/>
        <w:ind w:left="300"/>
      </w:pPr>
      <w:r>
        <w:t xml:space="preserve">STJ, 2ª Seção, REsp 2.093.929-MG / REsp 2.105.326-SP — Tema 1261 (repetitivo, 2025). Tema muito recente e de aplicação prática intensa em varas cíveis e de família.</w:t>
      </w:r>
    </w:p>
    <w:p>
      <w:pPr>
        <w:spacing w:after="60" w:before="160"/>
      </w:pPr>
      <w:r>
        <w:rPr>
          <w:b/>
          <w:bCs/>
          <w:color w:val="7A1F2B"/>
        </w:rPr>
        <w:t xml:space="preserve">6. Multiparentalidade — equivalência de efeitos entre paternidade biológica e socioafetiva</w:t>
      </w:r>
    </w:p>
    <w:p>
      <w:pPr>
        <w:spacing w:after="80"/>
        <w:ind w:left="300"/>
      </w:pPr>
      <w:r>
        <w:t xml:space="preserve">Reafirma o Tema 622 de Repercussão Geral do STF (RE 898.060/SC) em julgado do STJ (REsp 1.487.596-MG); tema estrutural e recorrente de Direito de Família, com reflexos sucessórios.</w:t>
      </w:r>
    </w:p>
    <w:p>
      <w:pPr>
        <w:spacing w:after="60" w:before="160"/>
      </w:pPr>
      <w:r>
        <w:rPr>
          <w:b/>
          <w:bCs/>
          <w:color w:val="7A1F2B"/>
        </w:rPr>
        <w:t xml:space="preserve">7. Dispensa de advogado na audiência inicial da ação de alimentos é constitucional</w:t>
      </w:r>
    </w:p>
    <w:p>
      <w:pPr>
        <w:spacing w:after="80"/>
        <w:ind w:left="300"/>
      </w:pPr>
      <w:r>
        <w:t xml:space="preserve">STF, Plenário, ADPF 591/DF — controle concentrado. Cruza processo civil e alimentos; alta probabilidade de cobrança por envolver exceção à indispensabilidade do advogado (art. 133, CF).</w:t>
      </w:r>
    </w:p>
    <w:p>
      <w:pPr>
        <w:spacing w:after="60" w:before="160"/>
      </w:pPr>
      <w:r>
        <w:rPr>
          <w:b/>
          <w:bCs/>
          <w:color w:val="7A1F2B"/>
        </w:rPr>
        <w:t xml:space="preserve">8. Nulidade da partilha de bens do casamento feita por instrumento particular</w:t>
      </w:r>
    </w:p>
    <w:p>
      <w:pPr>
        <w:spacing w:after="80"/>
        <w:ind w:left="300"/>
      </w:pPr>
      <w:r>
        <w:t xml:space="preserve">STJ, 3ª Turma, REsp 2.206.085-RJ. Tema estrutural sobre a forma correta de partilha extrajudicial (escritura pública x instrumento particular), com altíssimo potencial para sentença e questão objetiva.</w:t>
      </w:r>
    </w:p>
    <w:p>
      <w:pPr>
        <w:spacing w:after="60" w:before="160"/>
      </w:pPr>
      <w:r>
        <w:rPr>
          <w:b/>
          <w:bCs/>
          <w:color w:val="7A1F2B"/>
        </w:rPr>
        <w:t xml:space="preserve">9. (In)transmissibilidade dos alimentos vencidos aos herdeiros — divergência interna no STJ</w:t>
      </w:r>
    </w:p>
    <w:p>
      <w:pPr>
        <w:spacing w:after="80"/>
        <w:ind w:left="300"/>
      </w:pPr>
      <w:r>
        <w:t xml:space="preserve">REsp 2.010.219-MG (Info 870) x AgInt nos EDcl no AREsp 2.412.253-RS (Info 830), ambos da 4ª Turma, em sentidos opostos. Material de altíssimo valor para "pegadinha" de prova objetiva.</w:t>
      </w:r>
    </w:p>
    <w:p>
      <w:pPr>
        <w:spacing w:after="60" w:before="160"/>
      </w:pPr>
      <w:r>
        <w:rPr>
          <w:b/>
          <w:bCs/>
          <w:color w:val="7A1F2B"/>
        </w:rPr>
        <w:t xml:space="preserve">10. Relativização do requisito da publicidade no reconhecimento de união estável homoafetiva</w:t>
      </w:r>
    </w:p>
    <w:p>
      <w:pPr>
        <w:spacing w:after="80"/>
        <w:ind w:left="300"/>
      </w:pPr>
      <w:r>
        <w:t xml:space="preserve">STJ, 3ª Turma, REsp 2.203.770-GO. Tema recente, sensível e vocacionado a cair em prova discursiva/sentença, por envolver ponderação de direitos fundamentais.</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Página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5"/>
        <w:szCs w:val="15"/>
      </w:rPr>
      <w:t xml:space="preserve">Curadoria de Jurisprudência — Direito de Família (FGV) · Curadoria: 12/07/2026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Calibri" w:cs="Calibri" w:eastAsia="Calibri" w:hAnsi="Calibri"/>
      <w:b/>
      <w:bCs/>
      <w:color w:val="7A1F2B"/>
      <w:sz w:val="30"/>
      <w:szCs w:val="30"/>
    </w:rPr>
  </w:style>
  <w:style w:type="paragraph" w:styleId="Heading2">
    <w:name w:val="Heading 2"/>
    <w:basedOn w:val="Normal"/>
    <w:next w:val="Normal"/>
    <w:qFormat/>
    <w:pPr>
      <w:spacing w:after="120" w:before="200"/>
      <w:outlineLvl w:val="1"/>
    </w:pPr>
    <w:rPr>
      <w:rFonts w:ascii="Calibri" w:cs="Calibri" w:eastAsia="Calibri" w:hAnsi="Calibri"/>
      <w:b/>
      <w:bCs/>
      <w:color w:val="A9762F"/>
      <w:sz w:val="25"/>
      <w:szCs w:val="25"/>
    </w:rPr>
  </w:style>
  <w:style w:type="paragraph" w:styleId="Heading3">
    <w:name w:val="Heading 3"/>
    <w:basedOn w:val="Normal"/>
    <w:next w:val="Normal"/>
    <w:qFormat/>
    <w:pPr>
      <w:spacing w:after="60" w:before="60"/>
      <w:outlineLvl w:val="2"/>
    </w:pPr>
    <w:rPr>
      <w:rFonts w:ascii="Calibri" w:cs="Calibri" w:eastAsia="Calibri" w:hAnsi="Calibri"/>
      <w:b/>
      <w:bCs/>
      <w:color w:val="7A1F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Direito Civil - Direito de Família - Julgados Curados</dc:title>
  <dc:creator>Curadoria de Jurisprudência — Cowork</dc:creator>
  <cp:lastModifiedBy>Un-named</cp:lastModifiedBy>
  <cp:revision>1</cp:revision>
  <dcterms:created xsi:type="dcterms:W3CDTF">2026-07-12T18:19:10.195Z</dcterms:created>
  <dcterms:modified xsi:type="dcterms:W3CDTF">2026-07-12T18:19:10.195Z</dcterms:modified>
</cp:coreProperties>
</file>

<file path=docProps/custom.xml><?xml version="1.0" encoding="utf-8"?>
<Properties xmlns="http://schemas.openxmlformats.org/officeDocument/2006/custom-properties" xmlns:vt="http://schemas.openxmlformats.org/officeDocument/2006/docPropsVTypes"/>
</file>