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Projeto Tech Challenge – Fase 03 - Dezembro/2024</w:t>
      </w:r>
    </w:p>
    <w:p>
      <w:pPr>
        <w:pStyle w:val="Normal"/>
        <w:spacing w:before="0" w:after="286"/>
        <w:jc w:val="left"/>
        <w:rPr>
          <w:b w:val="false"/>
          <w:bCs w:val="false"/>
        </w:rPr>
      </w:pPr>
      <w:r>
        <w:rPr>
          <w:b w:val="false"/>
          <w:bCs w:val="false"/>
        </w:rPr>
        <w:t>Os responsáveis pelo projeto são:</w:t>
        <w:br/>
        <w:br/>
        <w:t>Everton Ferreira Alves (RM357837)</w:t>
        <w:br/>
        <w:t>Felipe Saraiva Lisboa (RM357647)</w:t>
        <w:br/>
        <w:t>Jéssyca Dias Matos Lima (RM357221)</w:t>
        <w:br/>
        <w:t>Renato Batista dos Santos (RM358000)</w:t>
        <w:br/>
        <w:t>Roberto Silva de Sá Barreto (RM357023)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Endereço do GitHub para consulta dos entregáveis: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rStyle w:val="LinkdaInternet"/>
          <w:b/>
          <w:bCs/>
        </w:rPr>
        <w:t>https://github.com/felipeslisboa99/Postech---Tech-Challenge---Fase-3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Objetivo do Estudo</w:t>
      </w:r>
    </w:p>
    <w:p>
      <w:pPr>
        <w:pStyle w:val="Normal"/>
        <w:spacing w:before="0" w:after="286"/>
        <w:jc w:val="both"/>
        <w:rPr/>
      </w:pPr>
      <w:r>
        <w:rPr/>
        <w:t>O presente estudo tem como objetivo oferecer um panorama detalhado dos principais indicadores relacionados à COVID-19, identificar o perfil dos potenciais pacientes e propor diretrizes práticas para que o hospital esteja preparado para enfrentar uma nova onda de contaminação. Serão abordados fatores como volume de participantes, perfil sociodemográfico, sintomas predominantes, capacidade de acesso ao sistema de saúde e características econômicas que impactam a demanda por atendimento privado.</w:t>
      </w:r>
    </w:p>
    <w:p>
      <w:pPr>
        <w:pStyle w:val="Normal"/>
        <w:spacing w:before="0" w:after="286"/>
        <w:jc w:val="both"/>
        <w:rPr/>
      </w:pPr>
      <w:r>
        <w:rPr/>
        <w:t>Com base nessa análise, espera-se fornecer insights valiosos para otimizar recursos, capacitar a equipe médica e aprimorar a infraestrutura hospitalar, garantindo um atendimento eficiente e de qualidade em um cenário de alta demanda.</w:t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Panorama Geral da Pesquisa</w:t>
      </w:r>
    </w:p>
    <w:p>
      <w:pPr>
        <w:pStyle w:val="Normal"/>
        <w:spacing w:before="0" w:after="286"/>
        <w:jc w:val="both"/>
        <w:rPr/>
      </w:pPr>
      <w:r>
        <w:rPr/>
        <w:t>A pesquisa contou com 1.157.984 participantes, fornecendo uma amostra ampla e representativa da população brasileira no contexto da pandemia de COVID-19. O perfil dos participantes foi analisado sob diferentes perspectivas, levando em consideração fatores demográficos, econômicos e geográficos.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Comentários sobre a Diversidade Amostral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 xml:space="preserve">                            </w:t>
      </w:r>
      <w:r>
        <w:rPr/>
        <w:drawing>
          <wp:inline distT="0" distB="0" distL="0" distR="0">
            <wp:extent cx="3726180" cy="2880360"/>
            <wp:effectExtent l="0" t="0" r="0" b="0"/>
            <wp:docPr id="1" name="Gráfico 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286"/>
        <w:jc w:val="both"/>
        <w:rPr/>
      </w:pPr>
      <w:r>
        <w:rPr>
          <w:b/>
          <w:bCs/>
        </w:rPr>
        <w:t>Diversidade Amostral</w:t>
      </w:r>
      <w:r>
        <w:rPr/>
        <w:t>: A amostra inclui uma boa diversidade em termos de idade, gênero e região, garantindo que diferentes perspectivas demográficas estejam contempladas.</w:t>
      </w:r>
    </w:p>
    <w:p>
      <w:pPr>
        <w:pStyle w:val="Normal"/>
        <w:numPr>
          <w:ilvl w:val="0"/>
          <w:numId w:val="1"/>
        </w:numPr>
        <w:spacing w:before="0" w:after="286"/>
        <w:jc w:val="both"/>
        <w:rPr/>
      </w:pPr>
      <w:r>
        <w:rPr>
          <w:b/>
          <w:bCs/>
        </w:rPr>
        <w:t>Relevância Etária</w:t>
      </w:r>
      <w:r>
        <w:rPr/>
        <w:t>: As faixas etárias predominantes (adultos e idosos) refletem populações que podem ter maior risco de complicações pela COVID-19, especialmente os idosos.</w:t>
      </w:r>
    </w:p>
    <w:p>
      <w:pPr>
        <w:pStyle w:val="Normal"/>
        <w:numPr>
          <w:ilvl w:val="0"/>
          <w:numId w:val="1"/>
        </w:numPr>
        <w:spacing w:before="0" w:after="286"/>
        <w:jc w:val="both"/>
        <w:rPr/>
      </w:pPr>
      <w:r>
        <w:rPr>
          <w:b/>
          <w:bCs/>
        </w:rPr>
        <w:t>Foco Regional</w:t>
      </w:r>
      <w:r>
        <w:rPr/>
        <w:t>: Como o Nordeste e Sudeste possuem os maiores números de participantes, o hospital deve considerar dados epidemiológicos locais dessas regiões para otimizar recursos.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Distribuição por Gênero</w:t>
      </w:r>
    </w:p>
    <w:p>
      <w:pPr>
        <w:pStyle w:val="Normal"/>
        <w:numPr>
          <w:ilvl w:val="0"/>
          <w:numId w:val="2"/>
        </w:numPr>
        <w:spacing w:before="0" w:after="286"/>
        <w:jc w:val="both"/>
        <w:rPr/>
      </w:pPr>
      <w:r>
        <w:rPr>
          <w:b/>
          <w:bCs/>
        </w:rPr>
        <w:t>Mulheres</w:t>
      </w:r>
      <w:r>
        <w:rPr/>
        <w:t>: 602.248 (52,01%)</w:t>
      </w:r>
    </w:p>
    <w:p>
      <w:pPr>
        <w:pStyle w:val="Normal"/>
        <w:numPr>
          <w:ilvl w:val="0"/>
          <w:numId w:val="2"/>
        </w:numPr>
        <w:spacing w:before="0" w:after="286"/>
        <w:jc w:val="both"/>
        <w:rPr/>
      </w:pPr>
      <w:r>
        <w:rPr>
          <w:b/>
          <w:bCs/>
        </w:rPr>
        <w:t>Homens</w:t>
      </w:r>
      <w:r>
        <w:rPr/>
        <w:t>: 555.736 (47,99%)</w:t>
      </w:r>
    </w:p>
    <w:p>
      <w:pPr>
        <w:pStyle w:val="Normal"/>
        <w:spacing w:before="0" w:after="286"/>
        <w:jc w:val="both"/>
        <w:rPr/>
      </w:pPr>
      <w:r>
        <w:rPr/>
        <w:t>A distribuição de gênero é equilibrada, com uma ligeira predominância de mulheres, o que pode refletir diferenças demográficas ou na participação em pesquisas.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Classificação por Faixa Etária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 xml:space="preserve">               </w:t>
      </w:r>
      <w:r>
        <w:rPr/>
        <w:drawing>
          <wp:inline distT="0" distB="0" distL="0" distR="0">
            <wp:extent cx="4159250" cy="2872740"/>
            <wp:effectExtent l="0" t="0" r="0" b="0"/>
            <wp:docPr id="2" name="Objeto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spacing w:before="0" w:after="286"/>
        <w:jc w:val="both"/>
        <w:rPr/>
      </w:pPr>
      <w:r>
        <w:rPr>
          <w:b/>
          <w:bCs/>
        </w:rPr>
        <w:t>26-59 anos (Adultos)</w:t>
      </w:r>
      <w:r>
        <w:rPr/>
        <w:t>: 547.866 (47,31%)</w:t>
      </w:r>
    </w:p>
    <w:p>
      <w:pPr>
        <w:pStyle w:val="Normal"/>
        <w:numPr>
          <w:ilvl w:val="0"/>
          <w:numId w:val="3"/>
        </w:numPr>
        <w:spacing w:before="0" w:after="286"/>
        <w:jc w:val="both"/>
        <w:rPr/>
      </w:pPr>
      <w:r>
        <w:rPr>
          <w:b/>
          <w:bCs/>
        </w:rPr>
        <w:t>60+ anos (Idosos)</w:t>
      </w:r>
      <w:r>
        <w:rPr/>
        <w:t>: 201.015 (17,36%)</w:t>
      </w:r>
    </w:p>
    <w:p>
      <w:pPr>
        <w:pStyle w:val="Normal"/>
        <w:numPr>
          <w:ilvl w:val="0"/>
          <w:numId w:val="3"/>
        </w:numPr>
        <w:spacing w:before="0" w:after="286"/>
        <w:jc w:val="both"/>
        <w:rPr/>
      </w:pPr>
      <w:r>
        <w:rPr>
          <w:b/>
          <w:bCs/>
        </w:rPr>
        <w:t>0-12 anos (Crianças)</w:t>
      </w:r>
      <w:r>
        <w:rPr/>
        <w:t>: 187.258 (16,17%)</w:t>
      </w:r>
    </w:p>
    <w:p>
      <w:pPr>
        <w:pStyle w:val="Normal"/>
        <w:numPr>
          <w:ilvl w:val="0"/>
          <w:numId w:val="3"/>
        </w:numPr>
        <w:spacing w:before="0" w:after="286"/>
        <w:jc w:val="both"/>
        <w:rPr/>
      </w:pPr>
      <w:r>
        <w:rPr>
          <w:b/>
          <w:bCs/>
        </w:rPr>
        <w:t>18-25 anos (Jovens)</w:t>
      </w:r>
      <w:r>
        <w:rPr/>
        <w:t>: 133.844 (11,56%)</w:t>
      </w:r>
    </w:p>
    <w:p>
      <w:pPr>
        <w:pStyle w:val="Normal"/>
        <w:numPr>
          <w:ilvl w:val="0"/>
          <w:numId w:val="3"/>
        </w:numPr>
        <w:spacing w:before="0" w:after="286"/>
        <w:jc w:val="both"/>
        <w:rPr/>
      </w:pPr>
      <w:r>
        <w:rPr>
          <w:b/>
          <w:bCs/>
        </w:rPr>
        <w:t>13-17 anos (Adolescentes)</w:t>
      </w:r>
      <w:r>
        <w:rPr/>
        <w:t>: 88.001 (7,60%)</w:t>
      </w:r>
    </w:p>
    <w:p>
      <w:pPr>
        <w:pStyle w:val="Normal"/>
        <w:spacing w:before="0" w:after="286"/>
        <w:jc w:val="both"/>
        <w:rPr/>
      </w:pPr>
      <w:r>
        <w:rPr/>
        <w:t>A maioria dos participantes está na faixa de 26 a 59 anos (adultos), seguida pelos idosos. Crianças e adolescentes têm menor representatividade, o que pode ser relevante ao considerar a exposição ou impacto da COVID-19.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Distribuição Regional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>
        <w:rPr/>
        <w:drawing>
          <wp:inline distT="0" distB="0" distL="0" distR="0">
            <wp:extent cx="4155440" cy="2872740"/>
            <wp:effectExtent l="0" t="0" r="0" b="0"/>
            <wp:docPr id="3" name="Objeto3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0" w:after="286"/>
        <w:jc w:val="both"/>
        <w:rPr/>
      </w:pPr>
      <w:r>
        <w:rPr>
          <w:b/>
          <w:bCs/>
        </w:rPr>
        <w:t>Nordeste</w:t>
      </w:r>
      <w:r>
        <w:rPr/>
        <w:t>: 354.632 (30,62%)</w:t>
      </w:r>
    </w:p>
    <w:p>
      <w:pPr>
        <w:pStyle w:val="Normal"/>
        <w:numPr>
          <w:ilvl w:val="0"/>
          <w:numId w:val="4"/>
        </w:numPr>
        <w:spacing w:before="0" w:after="286"/>
        <w:jc w:val="both"/>
        <w:rPr/>
      </w:pPr>
      <w:r>
        <w:rPr>
          <w:b/>
          <w:bCs/>
        </w:rPr>
        <w:t>Sudeste</w:t>
      </w:r>
      <w:r>
        <w:rPr/>
        <w:t>: 340.583 (29,41%)</w:t>
      </w:r>
    </w:p>
    <w:p>
      <w:pPr>
        <w:pStyle w:val="Normal"/>
        <w:numPr>
          <w:ilvl w:val="0"/>
          <w:numId w:val="4"/>
        </w:numPr>
        <w:spacing w:before="0" w:after="286"/>
        <w:jc w:val="both"/>
        <w:rPr/>
      </w:pPr>
      <w:r>
        <w:rPr>
          <w:b/>
          <w:bCs/>
        </w:rPr>
        <w:t>Sul</w:t>
      </w:r>
      <w:r>
        <w:rPr/>
        <w:t>: 199.020 (17,19%)</w:t>
      </w:r>
    </w:p>
    <w:p>
      <w:pPr>
        <w:pStyle w:val="Normal"/>
        <w:numPr>
          <w:ilvl w:val="0"/>
          <w:numId w:val="4"/>
        </w:numPr>
        <w:spacing w:before="0" w:after="286"/>
        <w:jc w:val="both"/>
        <w:rPr/>
      </w:pPr>
      <w:r>
        <w:rPr>
          <w:b/>
          <w:bCs/>
        </w:rPr>
        <w:t>Norte</w:t>
      </w:r>
      <w:r>
        <w:rPr/>
        <w:t>: 141.413 (12,21%)</w:t>
      </w:r>
    </w:p>
    <w:p>
      <w:pPr>
        <w:pStyle w:val="Normal"/>
        <w:numPr>
          <w:ilvl w:val="0"/>
          <w:numId w:val="4"/>
        </w:numPr>
        <w:spacing w:before="0" w:after="286"/>
        <w:jc w:val="both"/>
        <w:rPr/>
      </w:pPr>
      <w:r>
        <w:rPr>
          <w:b/>
          <w:bCs/>
        </w:rPr>
        <w:t>Centro-Oeste</w:t>
      </w:r>
      <w:r>
        <w:rPr/>
        <w:t>: 122.336 (10,56%)</w:t>
      </w:r>
    </w:p>
    <w:p>
      <w:pPr>
        <w:pStyle w:val="Normal"/>
        <w:spacing w:before="0" w:after="286"/>
        <w:jc w:val="both"/>
        <w:rPr/>
      </w:pPr>
      <w:r>
        <w:rPr/>
        <w:t>A maior parte dos participantes reside nas regiões Nordeste e Sudeste, que juntas representam aproximadamente 60% do total. Essas regiões devem ser priorizadas em ações e estratégias hospitalares, pois concentram um volume significativo da população atendida.</w:t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Características dos Participantes</w:t>
      </w:r>
    </w:p>
    <w:p>
      <w:pPr>
        <w:pStyle w:val="Normal"/>
        <w:spacing w:before="0" w:after="286"/>
        <w:jc w:val="both"/>
        <w:rPr>
          <w:b/>
          <w:bCs/>
        </w:rPr>
      </w:pPr>
      <w:r>
        <w:rPr/>
        <w:drawing>
          <wp:inline distT="0" distB="0" distL="0" distR="0">
            <wp:extent cx="5400040" cy="2981325"/>
            <wp:effectExtent l="0" t="0" r="0" b="0"/>
            <wp:docPr id="4" name="Objeto4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Média Salarial por Faixa Etária</w:t>
      </w:r>
    </w:p>
    <w:p>
      <w:pPr>
        <w:pStyle w:val="Normal"/>
        <w:numPr>
          <w:ilvl w:val="0"/>
          <w:numId w:val="5"/>
        </w:numPr>
        <w:spacing w:before="0" w:after="286"/>
        <w:jc w:val="both"/>
        <w:rPr/>
      </w:pPr>
      <w:r>
        <w:rPr>
          <w:b/>
          <w:bCs/>
        </w:rPr>
        <w:t>Faixa 26-59 anos (Adulto)</w:t>
      </w:r>
      <w:r>
        <w:rPr/>
        <w:t>: A faixa etária 26-59 anos apresenta a maior média salarial (R$ 1.268,86), destacando-se como a mais economicamente ativa.</w:t>
      </w:r>
    </w:p>
    <w:p>
      <w:pPr>
        <w:pStyle w:val="Normal"/>
        <w:numPr>
          <w:ilvl w:val="0"/>
          <w:numId w:val="5"/>
        </w:numPr>
        <w:spacing w:before="0" w:after="286"/>
        <w:jc w:val="both"/>
        <w:rPr/>
      </w:pPr>
      <w:r>
        <w:rPr>
          <w:b/>
          <w:bCs/>
        </w:rPr>
        <w:t>Faixa 60+ anos (Idoso)</w:t>
      </w:r>
      <w:r>
        <w:rPr/>
        <w:t>: A faixa 60+ possui uma média de R$ 398,81, provavelmente refletindo aposentadorias ou pensões.</w:t>
      </w:r>
    </w:p>
    <w:p>
      <w:pPr>
        <w:pStyle w:val="Normal"/>
        <w:numPr>
          <w:ilvl w:val="0"/>
          <w:numId w:val="5"/>
        </w:numPr>
        <w:spacing w:before="0" w:after="286"/>
        <w:jc w:val="both"/>
        <w:rPr/>
      </w:pPr>
      <w:r>
        <w:rPr>
          <w:b/>
          <w:bCs/>
        </w:rPr>
        <w:t>Faixas 13-17 (Adolescente) e 18-25 (Jovem)</w:t>
      </w:r>
      <w:r>
        <w:rPr/>
        <w:t>: As faixas mais jovens têm médias bem menores, com R$ 27,42 e R$ 478,06, indicando baixa inserção ou salários iniciais no mercado de trabalho.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Diferenças Regionais na Renda</w:t>
      </w:r>
    </w:p>
    <w:p>
      <w:pPr>
        <w:pStyle w:val="Normal"/>
        <w:numPr>
          <w:ilvl w:val="0"/>
          <w:numId w:val="6"/>
        </w:numPr>
        <w:spacing w:before="0" w:after="286"/>
        <w:jc w:val="both"/>
        <w:rPr/>
      </w:pPr>
      <w:r>
        <w:rPr>
          <w:b/>
          <w:bCs/>
        </w:rPr>
        <w:t>Centro-Oeste</w:t>
      </w:r>
      <w:r>
        <w:rPr/>
        <w:t xml:space="preserve"> (R$ 1.179,67) e </w:t>
      </w:r>
      <w:r>
        <w:rPr>
          <w:b/>
          <w:bCs/>
        </w:rPr>
        <w:t>Sul</w:t>
      </w:r>
      <w:r>
        <w:rPr/>
        <w:t xml:space="preserve"> (R$ 1.147,98) possuem as maiores médias salariais.</w:t>
      </w:r>
    </w:p>
    <w:p>
      <w:pPr>
        <w:pStyle w:val="Normal"/>
        <w:numPr>
          <w:ilvl w:val="0"/>
          <w:numId w:val="6"/>
        </w:numPr>
        <w:spacing w:before="0" w:after="286"/>
        <w:jc w:val="both"/>
        <w:rPr/>
      </w:pPr>
      <w:r>
        <w:rPr>
          <w:b/>
          <w:bCs/>
        </w:rPr>
        <w:t>Nordeste</w:t>
      </w:r>
      <w:r>
        <w:rPr/>
        <w:t xml:space="preserve"> (R$ 511,31) apresenta a menor média salarial geral, indicando uma situação econômica mais vulnerável na região.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Maior Grupo Ocupacional</w:t>
      </w:r>
    </w:p>
    <w:p>
      <w:pPr>
        <w:pStyle w:val="Normal"/>
        <w:spacing w:before="0" w:after="286"/>
        <w:jc w:val="both"/>
        <w:rPr/>
      </w:pPr>
      <w:r>
        <w:rPr/>
        <w:t xml:space="preserve">A maioria dos participantes está concentrada na categoria </w:t>
      </w:r>
      <w:r>
        <w:rPr>
          <w:b/>
          <w:bCs/>
        </w:rPr>
        <w:t>"Empregado do Setor Privado"</w:t>
      </w:r>
      <w:r>
        <w:rPr/>
        <w:t xml:space="preserve">, representando 41% do total. A média salarial desse grupo é de </w:t>
      </w:r>
      <w:r>
        <w:rPr>
          <w:b/>
          <w:bCs/>
        </w:rPr>
        <w:t>R$ 1.817,92</w:t>
      </w:r>
      <w:r>
        <w:rPr/>
        <w:t>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Conta Própria</w:t>
      </w:r>
    </w:p>
    <w:p>
      <w:pPr>
        <w:pStyle w:val="Normal"/>
        <w:spacing w:before="0" w:after="286"/>
        <w:jc w:val="both"/>
        <w:rPr/>
      </w:pPr>
      <w:r>
        <w:rPr/>
        <w:t xml:space="preserve">A segunda maior categoria é </w:t>
      </w:r>
      <w:r>
        <w:rPr>
          <w:b/>
          <w:bCs/>
        </w:rPr>
        <w:t>"Conta Própria"</w:t>
      </w:r>
      <w:r>
        <w:rPr/>
        <w:t xml:space="preserve">, com 29% dos participantes, mas com uma média salarial de </w:t>
      </w:r>
      <w:r>
        <w:rPr>
          <w:b/>
          <w:bCs/>
        </w:rPr>
        <w:t>R$ 1.362,86</w:t>
      </w:r>
      <w:r>
        <w:rPr/>
        <w:t>, indicando maior vulnerabilidade financeira.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Ocupações com Altas Médias Salariais</w:t>
      </w:r>
    </w:p>
    <w:p>
      <w:pPr>
        <w:pStyle w:val="Normal"/>
        <w:spacing w:before="0" w:after="286"/>
        <w:jc w:val="both"/>
        <w:rPr/>
      </w:pPr>
      <w:r>
        <w:rPr/>
        <w:t xml:space="preserve">As maiores médias salariais estão entre </w:t>
      </w:r>
      <w:r>
        <w:rPr>
          <w:b/>
          <w:bCs/>
        </w:rPr>
        <w:t>"Polícia ou Bombeiro Militar"</w:t>
      </w:r>
      <w:r>
        <w:rPr/>
        <w:t xml:space="preserve"> (R$ 5.140,84), </w:t>
      </w:r>
      <w:r>
        <w:rPr>
          <w:b/>
          <w:bCs/>
        </w:rPr>
        <w:t>"Empregador"</w:t>
      </w:r>
      <w:r>
        <w:rPr/>
        <w:t xml:space="preserve"> (R$ 4.627,98) e </w:t>
      </w:r>
      <w:r>
        <w:rPr>
          <w:b/>
          <w:bCs/>
        </w:rPr>
        <w:t>"Militar do Exército"</w:t>
      </w:r>
      <w:r>
        <w:rPr/>
        <w:t xml:space="preserve"> (R$ 4.394,75), mas representam pequenas parcelas da amostra (0% a 3%).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Situações de Vulnerabilidade</w:t>
      </w:r>
    </w:p>
    <w:p>
      <w:pPr>
        <w:pStyle w:val="Normal"/>
        <w:spacing w:before="0" w:after="286"/>
        <w:jc w:val="both"/>
        <w:rPr/>
      </w:pPr>
      <w:r>
        <w:rPr/>
        <w:t xml:space="preserve">Grupos como </w:t>
      </w:r>
      <w:r>
        <w:rPr>
          <w:b/>
          <w:bCs/>
        </w:rPr>
        <w:t>"Trabalhador Doméstico"</w:t>
      </w:r>
      <w:r>
        <w:rPr/>
        <w:t xml:space="preserve"> (5%) e </w:t>
      </w:r>
      <w:r>
        <w:rPr>
          <w:b/>
          <w:bCs/>
        </w:rPr>
        <w:t>"Do Lar"</w:t>
      </w:r>
      <w:r>
        <w:rPr/>
        <w:t xml:space="preserve"> (2%) têm médias salariais muito baixas, de </w:t>
      </w:r>
      <w:r>
        <w:rPr>
          <w:b/>
          <w:bCs/>
        </w:rPr>
        <w:t>R$ 813,65</w:t>
      </w:r>
      <w:r>
        <w:rPr/>
        <w:t xml:space="preserve"> e </w:t>
      </w:r>
      <w:r>
        <w:rPr>
          <w:b/>
          <w:bCs/>
        </w:rPr>
        <w:t>R$ 7,29</w:t>
      </w:r>
      <w:r>
        <w:rPr/>
        <w:t>, respectivamente.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Plano de Saúde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 xml:space="preserve">                 </w:t>
      </w:r>
      <w:r>
        <w:rPr/>
        <w:drawing>
          <wp:inline distT="0" distB="0" distL="0" distR="0">
            <wp:extent cx="4545965" cy="2884170"/>
            <wp:effectExtent l="0" t="0" r="0" b="0"/>
            <wp:docPr id="5" name="Objeto5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spacing w:before="0" w:after="286"/>
        <w:jc w:val="both"/>
        <w:rPr/>
      </w:pPr>
      <w:r>
        <w:rPr>
          <w:b/>
          <w:bCs/>
        </w:rPr>
        <w:t>Sem plano de saúde</w:t>
      </w:r>
      <w:r>
        <w:rPr/>
        <w:t>: A grande maioria dos participantes (77%) não possui plano de saúde, reforçando a dependência dessa população em relação ao Sistema Único de Saúde (SUS).</w:t>
      </w:r>
    </w:p>
    <w:p>
      <w:pPr>
        <w:pStyle w:val="Normal"/>
        <w:numPr>
          <w:ilvl w:val="0"/>
          <w:numId w:val="7"/>
        </w:numPr>
        <w:spacing w:before="0" w:after="286"/>
        <w:jc w:val="both"/>
        <w:rPr/>
      </w:pPr>
      <w:r>
        <w:rPr>
          <w:b/>
          <w:bCs/>
        </w:rPr>
        <w:t>Com plano de saúde</w:t>
      </w:r>
      <w:r>
        <w:rPr/>
        <w:t>: Apenas 22% possuem cobertura, o que representa uma minoria, principalmente entre os grupos de menor renda e nas regiões com menores médias salariais.</w:t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  <w:br/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Potenciais Pacientes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 xml:space="preserve">                    </w:t>
      </w:r>
      <w:r>
        <w:rPr/>
        <w:drawing>
          <wp:inline distT="0" distB="0" distL="0" distR="0">
            <wp:extent cx="4464050" cy="2893695"/>
            <wp:effectExtent l="0" t="0" r="0" b="0"/>
            <wp:docPr id="6" name="Objeto6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ab/>
        <w:tab/>
        <w:t>Gráfico 1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 xml:space="preserve">                    </w:t>
      </w:r>
      <w:r>
        <w:rPr/>
        <w:drawing>
          <wp:inline distT="0" distB="0" distL="0" distR="0">
            <wp:extent cx="4495165" cy="2893695"/>
            <wp:effectExtent l="0" t="0" r="0" b="0"/>
            <wp:docPr id="7" name="Objeto7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ab/>
        <w:tab/>
        <w:t>Gráfico 2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Busca por Atendimento Médico</w:t>
      </w:r>
    </w:p>
    <w:p>
      <w:pPr>
        <w:pStyle w:val="Normal"/>
        <w:spacing w:lineRule="auto" w:line="276"/>
        <w:rPr/>
      </w:pPr>
      <w:r>
        <w:rPr/>
        <w:t xml:space="preserve">Apesar do número significativo de participantes relatando sintomas, a busca por atendimento médico foi baixa, representando apenas </w:t>
      </w:r>
      <w:r>
        <w:rPr>
          <w:b/>
          <w:bCs/>
        </w:rPr>
        <w:t>1,31%</w:t>
      </w:r>
      <w:r>
        <w:rPr/>
        <w:t xml:space="preserve"> dos participantes. Isso pode refletir a percepção de sintomas leves ou desafios no acesso ao sistema de saúde.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Utilização de Serviços Privados</w:t>
      </w:r>
    </w:p>
    <w:p>
      <w:pPr>
        <w:pStyle w:val="Normal"/>
        <w:spacing w:lineRule="auto" w:line="276"/>
        <w:rPr/>
      </w:pPr>
      <w:r>
        <w:rPr/>
        <w:t>A baixa procura por atendimento privado ou militar (</w:t>
      </w:r>
      <w:r>
        <w:rPr>
          <w:b/>
          <w:bCs/>
        </w:rPr>
        <w:t>0,05%</w:t>
      </w:r>
      <w:r>
        <w:rPr/>
        <w:t>) pode estar relacionada ao custo ou à localização desses serviços. Como o hospital é privado, entender os motivos dessa baixa utilização é essencial para atrair mais pacientes em futuros surtos.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Atenção à Subnotificação e Desinformação</w:t>
      </w:r>
    </w:p>
    <w:p>
      <w:pPr>
        <w:pStyle w:val="Normal"/>
        <w:spacing w:lineRule="auto" w:line="276"/>
        <w:rPr/>
      </w:pPr>
      <w:r>
        <w:rPr/>
        <w:t>Os dados sugerem que muitos pacientes não buscaram nenhum tipo de atendimento (</w:t>
      </w:r>
      <w:r>
        <w:rPr>
          <w:b/>
          <w:bCs/>
        </w:rPr>
        <w:t>4,29%</w:t>
      </w:r>
      <w:r>
        <w:rPr/>
        <w:t>) ou ignoraram os sintomas. Isso reforça a necessidade de campanhas educativas que incentivem a busca precoce por assistência médica, incluindo o setor privado.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Planejamento Hospitalar</w:t>
      </w:r>
    </w:p>
    <w:p>
      <w:pPr>
        <w:pStyle w:val="Normal"/>
        <w:spacing w:lineRule="auto" w:line="276"/>
        <w:rPr/>
      </w:pPr>
      <w:r>
        <w:rPr/>
        <w:t>Embora a proporção que buscou atendimento privado seja pequena, é crucial entender o perfil desses pacientes e suas expectativas, garantindo que o hospital privado possa oferecer serviços atrativos e adaptados às demandas específicas em um futuro surto.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Procuraram Atendimento Médico</w:t>
      </w:r>
    </w:p>
    <w:p>
      <w:pPr>
        <w:pStyle w:val="Normal"/>
        <w:spacing w:lineRule="auto" w:line="276"/>
        <w:rPr/>
      </w:pPr>
      <w:r>
        <w:rPr/>
        <w:t>Entre os participantes que apresentaram sintomas:</w:t>
      </w:r>
    </w:p>
    <w:p>
      <w:pPr>
        <w:pStyle w:val="Normal"/>
        <w:numPr>
          <w:ilvl w:val="0"/>
          <w:numId w:val="16"/>
        </w:numPr>
        <w:spacing w:lineRule="auto" w:line="276"/>
        <w:rPr/>
      </w:pPr>
      <w:r>
        <w:rPr>
          <w:b/>
          <w:bCs/>
        </w:rPr>
        <w:t>Buscaram um estabelecimento de saúde</w:t>
      </w:r>
      <w:r>
        <w:rPr/>
        <w:t xml:space="preserve">: </w:t>
      </w:r>
      <w:r>
        <w:rPr>
          <w:b/>
          <w:bCs/>
        </w:rPr>
        <w:t>15.180</w:t>
      </w:r>
      <w:r>
        <w:rPr/>
        <w:t xml:space="preserve"> (1,31%)</w:t>
      </w:r>
    </w:p>
    <w:p>
      <w:pPr>
        <w:pStyle w:val="Normal"/>
        <w:numPr>
          <w:ilvl w:val="0"/>
          <w:numId w:val="16"/>
        </w:numPr>
        <w:spacing w:lineRule="auto" w:line="276"/>
        <w:rPr/>
      </w:pPr>
      <w:r>
        <w:rPr>
          <w:b/>
          <w:bCs/>
        </w:rPr>
        <w:t>Não buscaram atendimento</w:t>
      </w:r>
      <w:r>
        <w:rPr/>
        <w:t xml:space="preserve">: </w:t>
      </w:r>
      <w:r>
        <w:rPr>
          <w:b/>
          <w:bCs/>
        </w:rPr>
        <w:t>49.641</w:t>
      </w:r>
      <w:r>
        <w:rPr/>
        <w:t xml:space="preserve"> (4,29%)</w:t>
      </w:r>
    </w:p>
    <w:p>
      <w:pPr>
        <w:pStyle w:val="Normal"/>
        <w:numPr>
          <w:ilvl w:val="0"/>
          <w:numId w:val="16"/>
        </w:numPr>
        <w:spacing w:lineRule="auto" w:line="276"/>
        <w:rPr/>
      </w:pPr>
      <w:r>
        <w:rPr>
          <w:b/>
          <w:bCs/>
        </w:rPr>
        <w:t>Ignoraram os sintomas</w:t>
      </w:r>
      <w:r>
        <w:rPr/>
        <w:t xml:space="preserve">: </w:t>
      </w:r>
      <w:r>
        <w:rPr>
          <w:b/>
          <w:bCs/>
        </w:rPr>
        <w:t>25</w:t>
      </w:r>
      <w:r>
        <w:rPr/>
        <w:t xml:space="preserve"> (0,00%)</w:t>
      </w:r>
    </w:p>
    <w:p>
      <w:pPr>
        <w:pStyle w:val="Normal"/>
        <w:spacing w:lineRule="auto" w:line="276"/>
        <w:rPr/>
      </w:pPr>
      <w:r>
        <w:rPr/>
        <w:t>O baixo percentual de pessoas que buscaram atendimento médico, comparado ao total de participantes, indica que muitos indivíduos podem ter subestimado a gravidade dos sintomas ou enfrentado barreiras ao acesso à saúde.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Tipos de Atendimento</w:t>
      </w:r>
    </w:p>
    <w:p>
      <w:pPr>
        <w:pStyle w:val="Normal"/>
        <w:spacing w:lineRule="auto" w:line="276"/>
        <w:rPr/>
      </w:pPr>
      <w:r>
        <w:rPr/>
        <w:t>Dos que buscaram algum tipo de assistência:</w:t>
      </w:r>
    </w:p>
    <w:p>
      <w:pPr>
        <w:pStyle w:val="Normal"/>
        <w:numPr>
          <w:ilvl w:val="0"/>
          <w:numId w:val="17"/>
        </w:numPr>
        <w:spacing w:lineRule="auto" w:line="276"/>
        <w:rPr/>
      </w:pPr>
      <w:r>
        <w:rPr>
          <w:b/>
          <w:bCs/>
        </w:rPr>
        <w:t>Hospital do SUS</w:t>
      </w:r>
      <w:r>
        <w:rPr/>
        <w:t xml:space="preserve">: </w:t>
      </w:r>
      <w:r>
        <w:rPr>
          <w:b/>
          <w:bCs/>
        </w:rPr>
        <w:t>2.822</w:t>
      </w:r>
      <w:r>
        <w:rPr/>
        <w:t xml:space="preserve"> (0,24%)</w:t>
      </w:r>
    </w:p>
    <w:p>
      <w:pPr>
        <w:pStyle w:val="Normal"/>
        <w:numPr>
          <w:ilvl w:val="0"/>
          <w:numId w:val="17"/>
        </w:numPr>
        <w:spacing w:lineRule="auto" w:line="276"/>
        <w:rPr/>
      </w:pPr>
      <w:r>
        <w:rPr>
          <w:b/>
          <w:bCs/>
        </w:rPr>
        <w:t>Não era hospital do SUS</w:t>
      </w:r>
      <w:r>
        <w:rPr/>
        <w:t xml:space="preserve">: </w:t>
      </w:r>
      <w:r>
        <w:rPr>
          <w:b/>
          <w:bCs/>
        </w:rPr>
        <w:t>12.265</w:t>
      </w:r>
      <w:r>
        <w:rPr/>
        <w:t xml:space="preserve"> (1,06%)</w:t>
      </w:r>
    </w:p>
    <w:p>
      <w:pPr>
        <w:pStyle w:val="Normal"/>
        <w:numPr>
          <w:ilvl w:val="0"/>
          <w:numId w:val="17"/>
        </w:numPr>
        <w:spacing w:lineRule="auto" w:line="276"/>
        <w:rPr/>
      </w:pPr>
      <w:r>
        <w:rPr>
          <w:b/>
          <w:bCs/>
        </w:rPr>
        <w:t>Ignoraram se era do SUS</w:t>
      </w:r>
      <w:r>
        <w:rPr/>
        <w:t xml:space="preserve">: </w:t>
      </w:r>
      <w:r>
        <w:rPr>
          <w:b/>
          <w:bCs/>
        </w:rPr>
        <w:t>93</w:t>
      </w:r>
      <w:r>
        <w:rPr/>
        <w:t xml:space="preserve"> (0,01%)</w:t>
      </w:r>
    </w:p>
    <w:p>
      <w:pPr>
        <w:pStyle w:val="Normal"/>
        <w:numPr>
          <w:ilvl w:val="0"/>
          <w:numId w:val="17"/>
        </w:numPr>
        <w:spacing w:lineRule="auto" w:line="276"/>
        <w:rPr/>
      </w:pPr>
      <w:r>
        <w:rPr>
          <w:b/>
          <w:bCs/>
        </w:rPr>
        <w:t>Atendimento privado ou militar</w:t>
      </w:r>
      <w:r>
        <w:rPr/>
        <w:t xml:space="preserve">: </w:t>
      </w:r>
      <w:r>
        <w:rPr>
          <w:b/>
          <w:bCs/>
        </w:rPr>
        <w:t>534</w:t>
      </w:r>
      <w:r>
        <w:rPr/>
        <w:t xml:space="preserve"> (0,05%)</w:t>
      </w:r>
    </w:p>
    <w:p>
      <w:pPr>
        <w:pStyle w:val="Normal"/>
        <w:numPr>
          <w:ilvl w:val="0"/>
          <w:numId w:val="17"/>
        </w:numPr>
        <w:spacing w:lineRule="auto" w:line="276"/>
        <w:rPr/>
      </w:pPr>
      <w:r>
        <w:rPr>
          <w:b/>
          <w:bCs/>
        </w:rPr>
        <w:t>Não buscaram atendimento privado</w:t>
      </w:r>
      <w:r>
        <w:rPr/>
        <w:t xml:space="preserve">: </w:t>
      </w:r>
      <w:r>
        <w:rPr>
          <w:b/>
          <w:bCs/>
        </w:rPr>
        <w:t>14.547</w:t>
      </w:r>
      <w:r>
        <w:rPr/>
        <w:t xml:space="preserve"> (1,26%)</w:t>
      </w:r>
    </w:p>
    <w:p>
      <w:pPr>
        <w:pStyle w:val="Normal"/>
        <w:numPr>
          <w:ilvl w:val="0"/>
          <w:numId w:val="17"/>
        </w:numPr>
        <w:spacing w:lineRule="auto" w:line="276"/>
        <w:rPr/>
      </w:pPr>
      <w:r>
        <w:rPr>
          <w:b/>
          <w:bCs/>
        </w:rPr>
        <w:t>Não responderam sobre atendimento privado</w:t>
      </w:r>
      <w:r>
        <w:rPr/>
        <w:t xml:space="preserve">: </w:t>
      </w:r>
      <w:r>
        <w:rPr>
          <w:b/>
          <w:bCs/>
        </w:rPr>
        <w:t>99</w:t>
      </w:r>
      <w:r>
        <w:rPr/>
        <w:t xml:space="preserve"> (0,01%)</w:t>
      </w:r>
    </w:p>
    <w:p>
      <w:pPr>
        <w:pStyle w:val="Normal"/>
        <w:spacing w:lineRule="auto" w:line="276"/>
        <w:rPr/>
      </w:pPr>
      <w:r>
        <w:rPr/>
        <w:t>A maioria dos atendimentos ocorreu fora de hospitais do SUS, com uma pequena parcela recorrendo a atendimento privado ou militar. Isso sugere uma dependência considerável de unidades públicas não hospitalares.</w:t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Sintomas Relatados pela População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/>
        <w:drawing>
          <wp:inline distT="0" distB="0" distL="0" distR="0">
            <wp:extent cx="5400040" cy="2002790"/>
            <wp:effectExtent l="0" t="0" r="0" b="0"/>
            <wp:docPr id="8" name="Objeto8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Sintomas Mais Prevalentes</w:t>
      </w:r>
    </w:p>
    <w:p>
      <w:pPr>
        <w:pStyle w:val="Normal"/>
        <w:numPr>
          <w:ilvl w:val="0"/>
          <w:numId w:val="8"/>
        </w:numPr>
        <w:spacing w:before="0" w:after="286"/>
        <w:jc w:val="both"/>
        <w:rPr/>
      </w:pPr>
      <w:r>
        <w:rPr/>
        <w:t xml:space="preserve">Os sintomas mais relatados foram </w:t>
      </w:r>
      <w:r>
        <w:rPr>
          <w:b/>
          <w:bCs/>
        </w:rPr>
        <w:t>nariz escorrendo ou entupido</w:t>
      </w:r>
      <w:r>
        <w:rPr/>
        <w:t xml:space="preserve"> (17%), </w:t>
      </w:r>
      <w:r>
        <w:rPr>
          <w:b/>
          <w:bCs/>
        </w:rPr>
        <w:t>tosse</w:t>
      </w:r>
      <w:r>
        <w:rPr/>
        <w:t xml:space="preserve"> (15%) e </w:t>
      </w:r>
      <w:r>
        <w:rPr>
          <w:b/>
          <w:bCs/>
        </w:rPr>
        <w:t>dor de garganta</w:t>
      </w:r>
      <w:r>
        <w:rPr/>
        <w:t xml:space="preserve"> (12%). Estes sintomas são leves e comuns em infecções respiratórias, o que pode dificultar o diagnóstico precoce da COVID-19 sem exames específicos.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Sintomas Moderados e Musculares</w:t>
      </w:r>
    </w:p>
    <w:p>
      <w:pPr>
        <w:pStyle w:val="Normal"/>
        <w:numPr>
          <w:ilvl w:val="0"/>
          <w:numId w:val="9"/>
        </w:numPr>
        <w:spacing w:before="0" w:after="286"/>
        <w:jc w:val="both"/>
        <w:rPr/>
      </w:pPr>
      <w:r>
        <w:rPr>
          <w:b/>
          <w:bCs/>
        </w:rPr>
        <w:t>Dores musculares</w:t>
      </w:r>
      <w:r>
        <w:rPr/>
        <w:t xml:space="preserve"> e </w:t>
      </w:r>
      <w:r>
        <w:rPr>
          <w:b/>
          <w:bCs/>
        </w:rPr>
        <w:t>diarreia</w:t>
      </w:r>
      <w:r>
        <w:rPr/>
        <w:t xml:space="preserve"> (12%) aparecem com a mesma frequência, indicando que sintomas além das vias respiratórias também foram relevantes durante o período de análise.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Sintomas Graves</w:t>
      </w:r>
    </w:p>
    <w:p>
      <w:pPr>
        <w:pStyle w:val="Normal"/>
        <w:numPr>
          <w:ilvl w:val="0"/>
          <w:numId w:val="10"/>
        </w:numPr>
        <w:spacing w:before="0" w:after="286"/>
        <w:jc w:val="both"/>
        <w:rPr/>
      </w:pPr>
      <w:r>
        <w:rPr/>
        <w:t xml:space="preserve">Sintomas que podem indicar casos mais críticos, como </w:t>
      </w:r>
      <w:r>
        <w:rPr>
          <w:b/>
          <w:bCs/>
        </w:rPr>
        <w:t>dificuldade para respirar</w:t>
      </w:r>
      <w:r>
        <w:rPr/>
        <w:t xml:space="preserve"> (5%) e </w:t>
      </w:r>
      <w:r>
        <w:rPr>
          <w:b/>
          <w:bCs/>
        </w:rPr>
        <w:t>dor no peito</w:t>
      </w:r>
      <w:r>
        <w:rPr/>
        <w:t xml:space="preserve"> (4%), são menos frequentes. No entanto, sua presença exige atenção especial, pois geralmente estão associados à progressão mais grave da doença, com necessidade de atendimento hospitalar e suporte médico avançado.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Perda de Olfato ou Paladar</w:t>
      </w:r>
    </w:p>
    <w:p>
      <w:pPr>
        <w:pStyle w:val="Normal"/>
        <w:numPr>
          <w:ilvl w:val="0"/>
          <w:numId w:val="11"/>
        </w:numPr>
        <w:spacing w:before="0" w:after="286"/>
        <w:jc w:val="both"/>
        <w:rPr/>
      </w:pPr>
      <w:r>
        <w:rPr/>
        <w:t xml:space="preserve">Apenas </w:t>
      </w:r>
      <w:r>
        <w:rPr>
          <w:b/>
          <w:bCs/>
        </w:rPr>
        <w:t>5%</w:t>
      </w:r>
      <w:r>
        <w:rPr/>
        <w:t xml:space="preserve"> dos participantes relataram </w:t>
      </w:r>
      <w:r>
        <w:rPr>
          <w:b/>
          <w:bCs/>
        </w:rPr>
        <w:t>perda de olfato ou paladar</w:t>
      </w:r>
      <w:r>
        <w:rPr/>
        <w:t>, um sintoma característico da COVID-19, sugerindo que nem todos os infectados apresentaram essa manifestação clínica específica.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Diretrizes de Preparação para o Hospital</w:t>
      </w:r>
    </w:p>
    <w:p>
      <w:pPr>
        <w:pStyle w:val="Normal"/>
        <w:numPr>
          <w:ilvl w:val="0"/>
          <w:numId w:val="15"/>
        </w:numPr>
        <w:spacing w:before="0" w:after="286"/>
        <w:jc w:val="both"/>
        <w:rPr/>
      </w:pPr>
      <w:r>
        <w:rPr>
          <w:b/>
          <w:bCs/>
        </w:rPr>
        <w:t>Infraestrutura e Capacidade de Atendimento</w:t>
      </w:r>
      <w:r>
        <w:rPr/>
        <w:t>:</w:t>
      </w:r>
    </w:p>
    <w:p>
      <w:pPr>
        <w:pStyle w:val="Normal"/>
        <w:numPr>
          <w:ilvl w:val="1"/>
          <w:numId w:val="15"/>
        </w:numPr>
        <w:spacing w:before="0" w:after="286"/>
        <w:jc w:val="both"/>
        <w:rPr/>
      </w:pPr>
      <w:r>
        <w:rPr/>
        <w:t>Reforçar a estrutura para atendimento de casos leves e moderados, que representam a maioria dos sintomas relatados.</w:t>
      </w:r>
    </w:p>
    <w:p>
      <w:pPr>
        <w:pStyle w:val="Normal"/>
        <w:numPr>
          <w:ilvl w:val="1"/>
          <w:numId w:val="15"/>
        </w:numPr>
        <w:spacing w:before="0" w:after="286"/>
        <w:jc w:val="both"/>
        <w:rPr/>
      </w:pPr>
      <w:r>
        <w:rPr/>
        <w:t>Preparar salas de triagem e atendimento rápido para sintomas comuns, como tosse, dor de garganta e febre, a fim de evitar sobrecarga em setores críticos.</w:t>
      </w:r>
    </w:p>
    <w:p>
      <w:pPr>
        <w:pStyle w:val="Normal"/>
        <w:numPr>
          <w:ilvl w:val="0"/>
          <w:numId w:val="15"/>
        </w:numPr>
        <w:spacing w:before="0" w:after="286"/>
        <w:jc w:val="both"/>
        <w:rPr/>
      </w:pPr>
      <w:r>
        <w:rPr>
          <w:b/>
          <w:bCs/>
        </w:rPr>
        <w:t>Preparação para Casos Graves</w:t>
      </w:r>
      <w:r>
        <w:rPr/>
        <w:t>:</w:t>
      </w:r>
    </w:p>
    <w:p>
      <w:pPr>
        <w:pStyle w:val="Normal"/>
        <w:numPr>
          <w:ilvl w:val="1"/>
          <w:numId w:val="15"/>
        </w:numPr>
        <w:spacing w:before="0" w:after="286"/>
        <w:jc w:val="both"/>
        <w:rPr/>
      </w:pPr>
      <w:r>
        <w:rPr/>
        <w:t xml:space="preserve">Ampliar e garantir a disponibilidade de leitos de </w:t>
      </w:r>
      <w:r>
        <w:rPr>
          <w:b/>
          <w:bCs/>
        </w:rPr>
        <w:t>UTI</w:t>
      </w:r>
      <w:r>
        <w:rPr/>
        <w:t xml:space="preserve">, considerando que </w:t>
      </w:r>
      <w:r>
        <w:rPr>
          <w:b/>
          <w:bCs/>
        </w:rPr>
        <w:t>5%</w:t>
      </w:r>
      <w:r>
        <w:rPr/>
        <w:t xml:space="preserve"> dos pacientes podem apresentar dificuldade para respirar e </w:t>
      </w:r>
      <w:r>
        <w:rPr>
          <w:b/>
          <w:bCs/>
        </w:rPr>
        <w:t>4%</w:t>
      </w:r>
      <w:r>
        <w:rPr/>
        <w:t xml:space="preserve"> podem ter dor no peito, exigindo suporte ventilatório e acompanhamento intensivo.</w:t>
      </w:r>
    </w:p>
    <w:p>
      <w:pPr>
        <w:pStyle w:val="Normal"/>
        <w:numPr>
          <w:ilvl w:val="1"/>
          <w:numId w:val="15"/>
        </w:numPr>
        <w:spacing w:before="0" w:after="286"/>
        <w:jc w:val="both"/>
        <w:rPr/>
      </w:pPr>
      <w:r>
        <w:rPr/>
        <w:t>Reforçar o estoque de equipamentos respiratórios (ventiladores, oxigênio) e insumos necessários para o manejo de quadros graves.</w:t>
      </w:r>
    </w:p>
    <w:p>
      <w:pPr>
        <w:pStyle w:val="Normal"/>
        <w:numPr>
          <w:ilvl w:val="0"/>
          <w:numId w:val="15"/>
        </w:numPr>
        <w:spacing w:before="0" w:after="286"/>
        <w:jc w:val="both"/>
        <w:rPr/>
      </w:pPr>
      <w:r>
        <w:rPr>
          <w:b/>
          <w:bCs/>
        </w:rPr>
        <w:t>Capacitação da Equipe</w:t>
      </w:r>
      <w:r>
        <w:rPr/>
        <w:t>:</w:t>
      </w:r>
    </w:p>
    <w:p>
      <w:pPr>
        <w:pStyle w:val="Normal"/>
        <w:numPr>
          <w:ilvl w:val="1"/>
          <w:numId w:val="15"/>
        </w:numPr>
        <w:spacing w:before="0" w:after="286"/>
        <w:jc w:val="both"/>
        <w:rPr/>
      </w:pPr>
      <w:r>
        <w:rPr/>
        <w:t>Capacitar profissionais de saúde para o diagnóstico rápido e o monitoramento de sintomas críticos, priorizando a identificação precoce de complicações.</w:t>
      </w:r>
    </w:p>
    <w:p>
      <w:pPr>
        <w:pStyle w:val="Normal"/>
        <w:numPr>
          <w:ilvl w:val="0"/>
          <w:numId w:val="15"/>
        </w:numPr>
        <w:spacing w:before="0" w:after="286"/>
        <w:jc w:val="both"/>
        <w:rPr/>
      </w:pPr>
      <w:r>
        <w:rPr>
          <w:b/>
          <w:bCs/>
        </w:rPr>
        <w:t>Monitoramento e Prevenção</w:t>
      </w:r>
      <w:r>
        <w:rPr/>
        <w:t>:</w:t>
      </w:r>
    </w:p>
    <w:p>
      <w:pPr>
        <w:pStyle w:val="Normal"/>
        <w:numPr>
          <w:ilvl w:val="1"/>
          <w:numId w:val="15"/>
        </w:numPr>
        <w:spacing w:before="0" w:after="286"/>
        <w:jc w:val="both"/>
        <w:rPr/>
      </w:pPr>
      <w:r>
        <w:rPr/>
        <w:t>Implementar um sistema de triagem avançada para diferenciar casos leves e graves, garantindo atendimento eficiente.</w:t>
      </w:r>
    </w:p>
    <w:p>
      <w:pPr>
        <w:pStyle w:val="Normal"/>
        <w:numPr>
          <w:ilvl w:val="1"/>
          <w:numId w:val="15"/>
        </w:numPr>
        <w:spacing w:before="0" w:after="286"/>
        <w:jc w:val="both"/>
        <w:rPr/>
      </w:pPr>
      <w:r>
        <w:rPr/>
        <w:t>Estabelecer estratégias de comunicação para orientar a população sobre os sintomas e quando procurar atendimento no hospital, evitando sobrecarga desnecessária.</w:t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/>
      </w:pPr>
      <w:r>
        <w:rPr/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Conclusão e Direcionamento Estratégico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Volume Estimado de Pacientes</w:t>
      </w:r>
    </w:p>
    <w:p>
      <w:pPr>
        <w:pStyle w:val="Normal"/>
        <w:numPr>
          <w:ilvl w:val="0"/>
          <w:numId w:val="12"/>
        </w:numPr>
        <w:spacing w:before="0" w:after="286"/>
        <w:jc w:val="both"/>
        <w:rPr/>
      </w:pPr>
      <w:r>
        <w:rPr/>
        <w:t xml:space="preserve">Apenas </w:t>
      </w:r>
      <w:r>
        <w:rPr>
          <w:b/>
          <w:bCs/>
        </w:rPr>
        <w:t>22%</w:t>
      </w:r>
      <w:r>
        <w:rPr/>
        <w:t xml:space="preserve"> da população possui plano de saúde, o que indica que uma parcela limitada dos pacientes buscará atendimento em hospitais privados. No entanto, considerando o volume total de participantes da pesquisa (</w:t>
      </w:r>
      <w:r>
        <w:rPr>
          <w:b/>
          <w:bCs/>
        </w:rPr>
        <w:t>1.157.984</w:t>
      </w:r>
      <w:r>
        <w:rPr/>
        <w:t xml:space="preserve">), essa proporção representa aproximadamente </w:t>
      </w:r>
      <w:r>
        <w:rPr>
          <w:b/>
          <w:bCs/>
        </w:rPr>
        <w:t>254 mil potenciais pacientes</w:t>
      </w:r>
      <w:r>
        <w:rPr/>
        <w:t xml:space="preserve"> com maior probabilidade de buscar serviços privados.</w:t>
      </w:r>
    </w:p>
    <w:p>
      <w:pPr>
        <w:pStyle w:val="Normal"/>
        <w:numPr>
          <w:ilvl w:val="0"/>
          <w:numId w:val="12"/>
        </w:numPr>
        <w:spacing w:before="0" w:after="286"/>
        <w:jc w:val="both"/>
        <w:rPr/>
      </w:pPr>
      <w:r>
        <w:rPr/>
        <w:t xml:space="preserve">Além disso, </w:t>
      </w:r>
      <w:r>
        <w:rPr>
          <w:b/>
          <w:bCs/>
        </w:rPr>
        <w:t>1,31%</w:t>
      </w:r>
      <w:r>
        <w:rPr/>
        <w:t xml:space="preserve"> dos entrevistados relataram ter procurado atendimento médico, o que em uma nova onda pode representar um fluxo inicial significativo de pacientes com sintomas leves e moderados.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Características dos Pacientes</w:t>
      </w:r>
    </w:p>
    <w:p>
      <w:pPr>
        <w:pStyle w:val="Normal"/>
        <w:numPr>
          <w:ilvl w:val="0"/>
          <w:numId w:val="13"/>
        </w:numPr>
        <w:spacing w:before="0" w:after="286"/>
        <w:jc w:val="both"/>
        <w:rPr/>
      </w:pPr>
      <w:r>
        <w:rPr/>
        <w:t>Os pacientes em faixa etária adulta (</w:t>
      </w:r>
      <w:r>
        <w:rPr>
          <w:b/>
          <w:bCs/>
        </w:rPr>
        <w:t>26-59 anos</w:t>
      </w:r>
      <w:r>
        <w:rPr/>
        <w:t xml:space="preserve">) representam </w:t>
      </w:r>
      <w:r>
        <w:rPr>
          <w:b/>
          <w:bCs/>
        </w:rPr>
        <w:t>47%</w:t>
      </w:r>
      <w:r>
        <w:rPr/>
        <w:t xml:space="preserve"> da população e possuem média salarial mais elevada (</w:t>
      </w:r>
      <w:r>
        <w:rPr>
          <w:b/>
          <w:bCs/>
        </w:rPr>
        <w:t>R$ 1.268,86</w:t>
      </w:r>
      <w:r>
        <w:rPr/>
        <w:t>), o que sugere que esta faixa etária será a principal demanda no hospital privado.</w:t>
      </w:r>
    </w:p>
    <w:p>
      <w:pPr>
        <w:pStyle w:val="Normal"/>
        <w:numPr>
          <w:ilvl w:val="0"/>
          <w:numId w:val="13"/>
        </w:numPr>
        <w:spacing w:before="0" w:after="286"/>
        <w:jc w:val="both"/>
        <w:rPr/>
      </w:pPr>
      <w:r>
        <w:rPr/>
        <w:t xml:space="preserve">Sintomas como </w:t>
      </w:r>
      <w:r>
        <w:rPr>
          <w:b/>
          <w:bCs/>
        </w:rPr>
        <w:t>nariz entupido</w:t>
      </w:r>
      <w:r>
        <w:rPr/>
        <w:t xml:space="preserve"> (17%), </w:t>
      </w:r>
      <w:r>
        <w:rPr>
          <w:b/>
          <w:bCs/>
        </w:rPr>
        <w:t>tosse</w:t>
      </w:r>
      <w:r>
        <w:rPr/>
        <w:t xml:space="preserve"> (15%), e </w:t>
      </w:r>
      <w:r>
        <w:rPr>
          <w:b/>
          <w:bCs/>
        </w:rPr>
        <w:t>dor de garganta</w:t>
      </w:r>
      <w:r>
        <w:rPr/>
        <w:t xml:space="preserve"> (12%) são predominantes e representam manifestações leves a moderadas. Por outro lado, sintomas graves, como </w:t>
      </w:r>
      <w:r>
        <w:rPr>
          <w:b/>
          <w:bCs/>
        </w:rPr>
        <w:t>dificuldade para respirar</w:t>
      </w:r>
      <w:r>
        <w:rPr/>
        <w:t xml:space="preserve"> (5%) e </w:t>
      </w:r>
      <w:r>
        <w:rPr>
          <w:b/>
          <w:bCs/>
        </w:rPr>
        <w:t>dor no peito</w:t>
      </w:r>
      <w:r>
        <w:rPr/>
        <w:t xml:space="preserve"> (4%), demandam estrutura hospitalar avançada para suporte respiratório e atendimento em UTI.</w:t>
      </w:r>
    </w:p>
    <w:p>
      <w:pPr>
        <w:pStyle w:val="Normal"/>
        <w:spacing w:before="0" w:after="286"/>
        <w:jc w:val="both"/>
        <w:rPr>
          <w:b/>
          <w:bCs/>
        </w:rPr>
      </w:pPr>
      <w:r>
        <w:rPr>
          <w:b/>
          <w:bCs/>
        </w:rPr>
        <w:t>Capacidade Regional e Renda</w:t>
      </w:r>
    </w:p>
    <w:p>
      <w:pPr>
        <w:pStyle w:val="Normal"/>
        <w:numPr>
          <w:ilvl w:val="0"/>
          <w:numId w:val="14"/>
        </w:numPr>
        <w:spacing w:before="0" w:after="286"/>
        <w:jc w:val="both"/>
        <w:rPr/>
      </w:pPr>
      <w:r>
        <w:rPr/>
        <w:t xml:space="preserve">Regiões com maior média salarial, como </w:t>
      </w:r>
      <w:r>
        <w:rPr>
          <w:b/>
          <w:bCs/>
        </w:rPr>
        <w:t>Sul</w:t>
      </w:r>
      <w:r>
        <w:rPr/>
        <w:t xml:space="preserve"> (</w:t>
      </w:r>
      <w:r>
        <w:rPr>
          <w:b/>
          <w:bCs/>
        </w:rPr>
        <w:t>R$ 1.147,98</w:t>
      </w:r>
      <w:r>
        <w:rPr/>
        <w:t xml:space="preserve">) e </w:t>
      </w:r>
      <w:r>
        <w:rPr>
          <w:b/>
          <w:bCs/>
        </w:rPr>
        <w:t>Centro-Oeste</w:t>
      </w:r>
      <w:r>
        <w:rPr/>
        <w:t xml:space="preserve"> (</w:t>
      </w:r>
      <w:r>
        <w:rPr>
          <w:b/>
          <w:bCs/>
        </w:rPr>
        <w:t>R$ 1.179,67</w:t>
      </w:r>
      <w:r>
        <w:rPr/>
        <w:t xml:space="preserve">), têm maior potencial de demanda por serviços privados. Por outro lado, o </w:t>
      </w:r>
      <w:r>
        <w:rPr>
          <w:b/>
          <w:bCs/>
        </w:rPr>
        <w:t>Nordeste</w:t>
      </w:r>
      <w:r>
        <w:rPr/>
        <w:t xml:space="preserve"> (</w:t>
      </w:r>
      <w:r>
        <w:rPr>
          <w:b/>
          <w:bCs/>
        </w:rPr>
        <w:t>R$ 511,31</w:t>
      </w:r>
      <w:r>
        <w:rPr/>
        <w:t xml:space="preserve">) e </w:t>
      </w:r>
      <w:r>
        <w:rPr>
          <w:b/>
          <w:bCs/>
        </w:rPr>
        <w:t>Norte</w:t>
      </w:r>
      <w:r>
        <w:rPr/>
        <w:t xml:space="preserve"> (</w:t>
      </w:r>
      <w:r>
        <w:rPr>
          <w:b/>
          <w:bCs/>
        </w:rPr>
        <w:t>R$ 730,23</w:t>
      </w:r>
      <w:r>
        <w:rPr/>
        <w:t>) têm populações mais dependentes do sistema público, mas podem gerar procura em hospitais privados caso haja saturação do SUS.</w:t>
      </w:r>
    </w:p>
    <w:p>
      <w:pPr>
        <w:pStyle w:val="Normal"/>
        <w:spacing w:before="0" w:after="286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7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7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4f98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96c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Gênero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Mulheres</c:v>
                </c:pt>
                <c:pt idx="1">
                  <c:v>Homens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602248</c:v>
                </c:pt>
                <c:pt idx="1">
                  <c:v>555736</c:v>
                </c:pt>
              </c:numCache>
            </c:numRef>
          </c:val>
        </c:ser>
        <c:gapWidth val="219"/>
        <c:overlap val="0"/>
        <c:axId val="7266744"/>
        <c:axId val="79345416"/>
      </c:barChart>
      <c:lineChart>
        <c:grouping val="standard"/>
        <c:varyColors val="0"/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0.00%" sourceLinked="0"/>
            <c:spPr>
              <a:solidFill>
                <a:srgbClr val="ED7D31"/>
              </a:solidFill>
            </c:spPr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Mulheres</c:v>
                </c:pt>
                <c:pt idx="1">
                  <c:v>Homens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0.520083179042198</c:v>
                </c:pt>
                <c:pt idx="1">
                  <c:v>0.479916820957803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18870622"/>
        <c:axId val="7224652"/>
      </c:lineChart>
      <c:catAx>
        <c:axId val="72667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9345416"/>
        <c:crosses val="autoZero"/>
        <c:auto val="1"/>
        <c:lblAlgn val="ctr"/>
        <c:lblOffset val="100"/>
        <c:noMultiLvlLbl val="0"/>
      </c:catAx>
      <c:valAx>
        <c:axId val="79345416"/>
        <c:scaling>
          <c:orientation val="minMax"/>
          <c:min val="0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7266744"/>
        <c:crosses val="autoZero"/>
        <c:crossBetween val="between"/>
      </c:valAx>
      <c:catAx>
        <c:axId val="18870622"/>
        <c:scaling>
          <c:orientation val="minMax"/>
        </c:scaling>
        <c:delete val="0"/>
        <c:axPos val="t"/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224652"/>
        <c:crosses val="max"/>
        <c:auto val="1"/>
        <c:lblAlgn val="ctr"/>
        <c:lblOffset val="100"/>
        <c:noMultiLvlLbl val="0"/>
      </c:catAx>
      <c:valAx>
        <c:axId val="7224652"/>
        <c:scaling>
          <c:orientation val="minMax"/>
          <c:max val="1"/>
        </c:scaling>
        <c:delete val="0"/>
        <c:axPos val="r"/>
        <c:numFmt formatCode="0.00%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18870622"/>
        <c:crosses val="max"/>
        <c:crossBetween val="between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Faixa Etária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26-59 Adulto</c:v>
                </c:pt>
                <c:pt idx="1">
                  <c:v>60+ Idoso</c:v>
                </c:pt>
                <c:pt idx="2">
                  <c:v>0-12 CrianÃ§a</c:v>
                </c:pt>
                <c:pt idx="3">
                  <c:v>18-25 Jovem </c:v>
                </c:pt>
                <c:pt idx="4">
                  <c:v>13-17 Adolescente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547866</c:v>
                </c:pt>
                <c:pt idx="1">
                  <c:v>201015</c:v>
                </c:pt>
                <c:pt idx="2">
                  <c:v>187258</c:v>
                </c:pt>
                <c:pt idx="3">
                  <c:v>133844</c:v>
                </c:pt>
                <c:pt idx="4">
                  <c:v>88001</c:v>
                </c:pt>
              </c:numCache>
            </c:numRef>
          </c:val>
        </c:ser>
        <c:gapWidth val="219"/>
        <c:overlap val="0"/>
        <c:axId val="72661465"/>
        <c:axId val="33134775"/>
      </c:barChart>
      <c:lineChart>
        <c:grouping val="standard"/>
        <c:varyColors val="0"/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0.00%" sourceLinked="0"/>
            <c:spPr>
              <a:solidFill>
                <a:srgbClr val="ED7D31"/>
              </a:solidFill>
            </c:spPr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26-59 Adulto</c:v>
                </c:pt>
                <c:pt idx="1">
                  <c:v>60+ Idoso</c:v>
                </c:pt>
                <c:pt idx="2">
                  <c:v>0-12 CrianÃ§a</c:v>
                </c:pt>
                <c:pt idx="3">
                  <c:v>18-25 Jovem </c:v>
                </c:pt>
                <c:pt idx="4">
                  <c:v>13-17 Adolescente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0.473120526708487</c:v>
                </c:pt>
                <c:pt idx="1">
                  <c:v>0.173590481388344</c:v>
                </c:pt>
                <c:pt idx="2">
                  <c:v>0.16171035178379</c:v>
                </c:pt>
                <c:pt idx="3">
                  <c:v>0.115583635007047</c:v>
                </c:pt>
                <c:pt idx="4">
                  <c:v>0.0759950051123332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565154"/>
        <c:axId val="99757743"/>
      </c:lineChart>
      <c:catAx>
        <c:axId val="7266146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3134775"/>
        <c:crosses val="autoZero"/>
        <c:auto val="1"/>
        <c:lblAlgn val="ctr"/>
        <c:lblOffset val="100"/>
        <c:noMultiLvlLbl val="0"/>
      </c:catAx>
      <c:valAx>
        <c:axId val="33134775"/>
        <c:scaling>
          <c:orientation val="minMax"/>
          <c:min val="0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72661465"/>
        <c:crosses val="autoZero"/>
        <c:crossBetween val="between"/>
      </c:valAx>
      <c:catAx>
        <c:axId val="2565154"/>
        <c:scaling>
          <c:orientation val="minMax"/>
        </c:scaling>
        <c:delete val="0"/>
        <c:axPos val="t"/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9757743"/>
        <c:crosses val="max"/>
        <c:auto val="1"/>
        <c:lblAlgn val="ctr"/>
        <c:lblOffset val="100"/>
        <c:noMultiLvlLbl val="0"/>
      </c:catAx>
      <c:valAx>
        <c:axId val="99757743"/>
        <c:scaling>
          <c:orientation val="minMax"/>
          <c:max val="1"/>
        </c:scaling>
        <c:delete val="0"/>
        <c:axPos val="r"/>
        <c:numFmt formatCode="0.00%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2565154"/>
        <c:crosses val="max"/>
        <c:crossBetween val="between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Região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  <c:pt idx="3">
                  <c:v>Norte</c:v>
                </c:pt>
                <c:pt idx="4">
                  <c:v>Centro-Oeste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354632</c:v>
                </c:pt>
                <c:pt idx="1">
                  <c:v>340583</c:v>
                </c:pt>
                <c:pt idx="2">
                  <c:v>199020</c:v>
                </c:pt>
                <c:pt idx="3">
                  <c:v>141413</c:v>
                </c:pt>
                <c:pt idx="4">
                  <c:v>122336</c:v>
                </c:pt>
              </c:numCache>
            </c:numRef>
          </c:val>
        </c:ser>
        <c:gapWidth val="219"/>
        <c:overlap val="0"/>
        <c:axId val="29477333"/>
        <c:axId val="83178573"/>
      </c:barChart>
      <c:lineChart>
        <c:grouping val="standard"/>
        <c:varyColors val="0"/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0.00%" sourceLinked="0"/>
            <c:spPr>
              <a:solidFill>
                <a:srgbClr val="ED7D31"/>
              </a:solidFill>
            </c:spPr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  <c:pt idx="3">
                  <c:v>Norte</c:v>
                </c:pt>
                <c:pt idx="4">
                  <c:v>Centro-Oeste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0.306249481858126</c:v>
                </c:pt>
                <c:pt idx="1">
                  <c:v>0.294117189874817</c:v>
                </c:pt>
                <c:pt idx="2">
                  <c:v>0.171867659656783</c:v>
                </c:pt>
                <c:pt idx="3">
                  <c:v>0.122119994749496</c:v>
                </c:pt>
                <c:pt idx="4">
                  <c:v>0.105645673860779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5037338"/>
        <c:axId val="51716105"/>
      </c:lineChart>
      <c:catAx>
        <c:axId val="29477333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178573"/>
        <c:crosses val="autoZero"/>
        <c:auto val="1"/>
        <c:lblAlgn val="ctr"/>
        <c:lblOffset val="100"/>
        <c:noMultiLvlLbl val="0"/>
      </c:catAx>
      <c:valAx>
        <c:axId val="83178573"/>
        <c:scaling>
          <c:orientation val="minMax"/>
          <c:min val="0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29477333"/>
        <c:crosses val="autoZero"/>
        <c:crossBetween val="between"/>
      </c:valAx>
      <c:catAx>
        <c:axId val="35037338"/>
        <c:scaling>
          <c:orientation val="minMax"/>
        </c:scaling>
        <c:delete val="0"/>
        <c:axPos val="t"/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1716105"/>
        <c:crosses val="max"/>
        <c:auto val="1"/>
        <c:lblAlgn val="ctr"/>
        <c:lblOffset val="100"/>
        <c:noMultiLvlLbl val="0"/>
      </c:catAx>
      <c:valAx>
        <c:axId val="51716105"/>
        <c:scaling>
          <c:orientation val="minMax"/>
          <c:max val="1"/>
        </c:scaling>
        <c:delete val="0"/>
        <c:axPos val="r"/>
        <c:numFmt formatCode="0.00%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35037338"/>
        <c:crosses val="max"/>
        <c:crossBetween val="between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Média salarial por ocupação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Média Salaria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numFmt formatCode="&quot;R$ &quot;#,##0.00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policia_ou_bombeiro_militar</c:v>
                </c:pt>
                <c:pt idx="1">
                  <c:v>empregador</c:v>
                </c:pt>
                <c:pt idx="2">
                  <c:v>militar_do_excercito</c:v>
                </c:pt>
                <c:pt idx="3">
                  <c:v>empregado_do_setor_publico</c:v>
                </c:pt>
                <c:pt idx="4">
                  <c:v>empregado_do_setor_privado</c:v>
                </c:pt>
                <c:pt idx="5">
                  <c:v>conta_propria</c:v>
                </c:pt>
                <c:pt idx="6">
                  <c:v>tabalhador_domestico</c:v>
                </c:pt>
                <c:pt idx="7">
                  <c:v>do_lar</c:v>
                </c:pt>
                <c:pt idx="8">
                  <c:v>fora_do_mercado_de_trabalho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5140.83986287953</c:v>
                </c:pt>
                <c:pt idx="1">
                  <c:v>4627.97776957164</c:v>
                </c:pt>
                <c:pt idx="2">
                  <c:v>4394.74885583524</c:v>
                </c:pt>
                <c:pt idx="3">
                  <c:v>3432.39741454997</c:v>
                </c:pt>
                <c:pt idx="4">
                  <c:v>1817.9235814348</c:v>
                </c:pt>
                <c:pt idx="5">
                  <c:v>1362.85988343856</c:v>
                </c:pt>
                <c:pt idx="6">
                  <c:v>813.649271295374</c:v>
                </c:pt>
                <c:pt idx="7">
                  <c:v>7.29129836967197</c:v>
                </c:pt>
                <c:pt idx="8">
                  <c:v>0</c:v>
                </c:pt>
              </c:numCache>
            </c:numRef>
          </c:val>
        </c:ser>
        <c:gapWidth val="219"/>
        <c:overlap val="0"/>
        <c:axId val="1092903"/>
        <c:axId val="52517608"/>
      </c:barChart>
      <c:lineChart>
        <c:grouping val="standard"/>
        <c:varyColors val="0"/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none"/>
          </c:marker>
          <c:dPt>
            <c:idx val="7"/>
            <c:marker>
              <c:symbol val="none"/>
            </c:marker>
          </c:dPt>
          <c:dPt>
            <c:idx val="8"/>
            <c:marker>
              <c:symbol val="none"/>
            </c:marker>
          </c:dPt>
          <c:dLbls>
            <c:numFmt formatCode="0.0%" sourceLinked="0"/>
            <c:dLbl>
              <c:idx val="7"/>
              <c:layout>
                <c:manualLayout>
                  <c:x val="-0.0347513481126423"/>
                  <c:y val="-0.0770712675583671"/>
                </c:manualLayout>
              </c:layout>
              <c:numFmt formatCode="0.0%" sourceLinked="0"/>
              <c:spPr>
                <a:solidFill>
                  <a:srgbClr val="B4C7E7"/>
                </a:solidFill>
              </c:spPr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8"/>
              <c:layout>
                <c:manualLayout>
                  <c:x val="-0.0347513481126423"/>
                  <c:y val="-0.0616570140466937"/>
                </c:manualLayout>
              </c:layout>
              <c:numFmt formatCode="0.0%" sourceLinked="0"/>
              <c:spPr>
                <a:solidFill>
                  <a:srgbClr val="B4C7E7"/>
                </a:solidFill>
              </c:spPr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eparator>; </c:separator>
            </c:dLbl>
            <c:spPr>
              <a:solidFill>
                <a:srgbClr val="B4C7E7"/>
              </a:solidFill>
            </c:spPr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policia_ou_bombeiro_militar</c:v>
                </c:pt>
                <c:pt idx="1">
                  <c:v>empregador</c:v>
                </c:pt>
                <c:pt idx="2">
                  <c:v>militar_do_excercito</c:v>
                </c:pt>
                <c:pt idx="3">
                  <c:v>empregado_do_setor_publico</c:v>
                </c:pt>
                <c:pt idx="4">
                  <c:v>empregado_do_setor_privado</c:v>
                </c:pt>
                <c:pt idx="5">
                  <c:v>conta_propria</c:v>
                </c:pt>
                <c:pt idx="6">
                  <c:v>tabalhador_domestico</c:v>
                </c:pt>
                <c:pt idx="7">
                  <c:v>do_lar</c:v>
                </c:pt>
                <c:pt idx="8">
                  <c:v>fora_do_mercado_de_trabalho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0.00456079458779753</c:v>
                </c:pt>
                <c:pt idx="1">
                  <c:v>0.0302415076977368</c:v>
                </c:pt>
                <c:pt idx="2">
                  <c:v>0.00390414737486292</c:v>
                </c:pt>
                <c:pt idx="3">
                  <c:v>0.147549075445191</c:v>
                </c:pt>
                <c:pt idx="4">
                  <c:v>0.413417491384297</c:v>
                </c:pt>
                <c:pt idx="5">
                  <c:v>0.294320895005684</c:v>
                </c:pt>
                <c:pt idx="6">
                  <c:v>0.0493468147026438</c:v>
                </c:pt>
                <c:pt idx="7">
                  <c:v>0.0227414351091844</c:v>
                </c:pt>
                <c:pt idx="8">
                  <c:v>0.033917838692602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83318258"/>
        <c:axId val="57261169"/>
      </c:lineChart>
      <c:catAx>
        <c:axId val="8331825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7261169"/>
        <c:crosses val="autoZero"/>
        <c:auto val="1"/>
        <c:lblAlgn val="ctr"/>
        <c:lblOffset val="100"/>
        <c:noMultiLvlLbl val="0"/>
      </c:catAx>
      <c:valAx>
        <c:axId val="5726116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%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83318258"/>
        <c:crosses val="autoZero"/>
        <c:crossBetween val="between"/>
      </c:valAx>
      <c:catAx>
        <c:axId val="1092903"/>
        <c:scaling>
          <c:orientation val="minMax"/>
        </c:scaling>
        <c:delete val="1"/>
        <c:axPos val="t"/>
        <c:numFmt formatCode="[$-416]dd/mm/yyyy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52517608"/>
        <c:auto val="1"/>
        <c:lblAlgn val="ctr"/>
        <c:lblOffset val="100"/>
        <c:noMultiLvlLbl val="0"/>
      </c:catAx>
      <c:valAx>
        <c:axId val="52517608"/>
        <c:scaling>
          <c:orientation val="minMax"/>
        </c:scaling>
        <c:delete val="0"/>
        <c:axPos val="r"/>
        <c:numFmt formatCode="&quot;R$ &quot;#,##0.00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1092903"/>
        <c:crosses val="max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Participantes com Plano de Saúde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ed7d31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spPr>
                <a:solidFill>
                  <a:srgbClr val="4472C4"/>
                </a:solidFill>
              </c:spPr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1"/>
              <c:spPr>
                <a:solidFill>
                  <a:srgbClr val="ED7D31"/>
                </a:solidFill>
              </c:spPr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2"/>
              <c:spPr>
                <a:solidFill>
                  <a:srgbClr val="A6A6A6"/>
                </a:solidFill>
              </c:spPr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spPr>
              <a:solidFill>
                <a:srgbClr val="A6A6A6"/>
              </a:solidFill>
            </c:spPr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eparator>
</c:separator>
            <c:showLeaderLines val="1"/>
          </c:dLbls>
          <c:cat>
            <c:strRef>
              <c:f>categories</c:f>
              <c:strCache>
                <c:ptCount val="3"/>
                <c:pt idx="0">
                  <c:v>tem_algum_plano_de_saude</c:v>
                </c:pt>
                <c:pt idx="1">
                  <c:v>nao_tem_plano_de_saude</c:v>
                </c:pt>
                <c:pt idx="2">
                  <c:v>ignorado_plano_de_saude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259158</c:v>
                </c:pt>
                <c:pt idx="1">
                  <c:v>893859</c:v>
                </c:pt>
                <c:pt idx="2">
                  <c:v>4967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ed7d31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numFmt formatCode="0.0%" sourceLinked="0"/>
            <c:dLbl>
              <c:idx val="0"/>
              <c:numFmt formatCode="0.0%" sourceLinked="0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1"/>
              <c:numFmt formatCode="0.0%" sourceLinked="0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"/>
              <c:numFmt formatCode="0.0%" sourceLinked="0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</c:dLbls>
          <c:cat>
            <c:strRef>
              <c:f>categories</c:f>
              <c:strCache>
                <c:ptCount val="3"/>
                <c:pt idx="0">
                  <c:v>tem_algum_plano_de_saude</c:v>
                </c:pt>
                <c:pt idx="1">
                  <c:v>nao_tem_plano_de_saude</c:v>
                </c:pt>
                <c:pt idx="2">
                  <c:v>ignorado_plano_de_saude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0.223801019703208</c:v>
                </c:pt>
                <c:pt idx="1">
                  <c:v>0.771909629148589</c:v>
                </c:pt>
                <c:pt idx="2">
                  <c:v>0.00428935114820239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Busca por Estabelecimento de Saúde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Qtde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numFmt formatCode="0.00%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nao_foi_estabelecimento_saude</c:v>
                </c:pt>
                <c:pt idx="1">
                  <c:v>foi_estabelecimento_saude</c:v>
                </c:pt>
                <c:pt idx="2">
                  <c:v>ignorou_os_sintomas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0.0428684679581065</c:v>
                </c:pt>
                <c:pt idx="1">
                  <c:v>0.0131089894160887</c:v>
                </c:pt>
                <c:pt idx="2">
                  <c:v>2.15892447564042E-005</c:v>
                </c:pt>
              </c:numCache>
            </c:numRef>
          </c:val>
        </c:ser>
        <c:gapWidth val="219"/>
        <c:overlap val="0"/>
        <c:axId val="43376638"/>
        <c:axId val="13592726"/>
      </c:barChart>
      <c:lineChart>
        <c:grouping val="standard"/>
        <c:varyColors val="0"/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nao_foi_estabelecimento_saude</c:v>
                </c:pt>
                <c:pt idx="1">
                  <c:v>foi_estabelecimento_saude</c:v>
                </c:pt>
                <c:pt idx="2">
                  <c:v>ignorou_os_sintomas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0.0428684679581065</c:v>
                </c:pt>
                <c:pt idx="1">
                  <c:v>0.0131089894160887</c:v>
                </c:pt>
                <c:pt idx="2">
                  <c:v>2.15892447564042E-005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6511599"/>
        <c:axId val="82595278"/>
      </c:lineChart>
      <c:catAx>
        <c:axId val="4337663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3592726"/>
        <c:crosses val="autoZero"/>
        <c:auto val="1"/>
        <c:lblAlgn val="ctr"/>
        <c:lblOffset val="100"/>
        <c:noMultiLvlLbl val="0"/>
      </c:catAx>
      <c:valAx>
        <c:axId val="1359272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%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43376638"/>
        <c:crosses val="autoZero"/>
        <c:crossBetween val="between"/>
      </c:valAx>
      <c:catAx>
        <c:axId val="36511599"/>
        <c:scaling>
          <c:orientation val="minMax"/>
        </c:scaling>
        <c:delete val="1"/>
        <c:axPos val="t"/>
        <c:numFmt formatCode="[$-416]dd/mm/yyyy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2595278"/>
        <c:auto val="1"/>
        <c:lblAlgn val="ctr"/>
        <c:lblOffset val="100"/>
        <c:noMultiLvlLbl val="0"/>
      </c:catAx>
      <c:valAx>
        <c:axId val="82595278"/>
        <c:scaling>
          <c:orientation val="minMax"/>
        </c:scaling>
        <c:delete val="0"/>
        <c:axPos val="r"/>
        <c:numFmt formatCode="0.00%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36511599"/>
        <c:crosses val="max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Busca por Estabelecimento de Saúde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Qtde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nao_buscou_atendimento_privado</c:v>
                </c:pt>
                <c:pt idx="1">
                  <c:v>nao_era_um_hospital_sus</c:v>
                </c:pt>
                <c:pt idx="2">
                  <c:v>hospital_sus</c:v>
                </c:pt>
                <c:pt idx="3">
                  <c:v>atenidento_privado_ou_militar</c:v>
                </c:pt>
                <c:pt idx="4">
                  <c:v>nao_respondeu_atendimento_privado</c:v>
                </c:pt>
                <c:pt idx="5">
                  <c:v>ignorou_se_foi_sus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14547</c:v>
                </c:pt>
                <c:pt idx="1">
                  <c:v>12265</c:v>
                </c:pt>
                <c:pt idx="2">
                  <c:v>2822</c:v>
                </c:pt>
                <c:pt idx="3">
                  <c:v>534</c:v>
                </c:pt>
                <c:pt idx="4">
                  <c:v>99</c:v>
                </c:pt>
                <c:pt idx="5">
                  <c:v>93</c:v>
                </c:pt>
              </c:numCache>
            </c:numRef>
          </c:val>
        </c:ser>
        <c:gapWidth val="219"/>
        <c:overlap val="0"/>
        <c:axId val="68885031"/>
        <c:axId val="52005488"/>
      </c:barChart>
      <c:lineChart>
        <c:grouping val="standard"/>
        <c:varyColors val="0"/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0.00%" sourceLinked="0"/>
            <c:spPr>
              <a:solidFill>
                <a:srgbClr val="ED7D31"/>
              </a:solidFill>
            </c:spPr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nao_buscou_atendimento_privado</c:v>
                </c:pt>
                <c:pt idx="1">
                  <c:v>nao_era_um_hospital_sus</c:v>
                </c:pt>
                <c:pt idx="2">
                  <c:v>hospital_sus</c:v>
                </c:pt>
                <c:pt idx="3">
                  <c:v>atenidento_privado_ou_militar</c:v>
                </c:pt>
                <c:pt idx="4">
                  <c:v>nao_respondeu_atendimento_privado</c:v>
                </c:pt>
                <c:pt idx="5">
                  <c:v>ignorou_se_foi_sus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0.0125623497388565</c:v>
                </c:pt>
                <c:pt idx="1">
                  <c:v>0.0105916834774919</c:v>
                </c:pt>
                <c:pt idx="2">
                  <c:v>0.00243699394810291</c:v>
                </c:pt>
                <c:pt idx="3">
                  <c:v>0.000461146267996794</c:v>
                </c:pt>
                <c:pt idx="4">
                  <c:v>8.54934092353608E-005</c:v>
                </c:pt>
                <c:pt idx="5">
                  <c:v>8.03119904938237E-005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43357852"/>
        <c:axId val="42185288"/>
      </c:lineChart>
      <c:catAx>
        <c:axId val="6888503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2005488"/>
        <c:crosses val="autoZero"/>
        <c:auto val="1"/>
        <c:lblAlgn val="ctr"/>
        <c:lblOffset val="100"/>
        <c:noMultiLvlLbl val="0"/>
      </c:catAx>
      <c:valAx>
        <c:axId val="5200548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68885031"/>
        <c:crosses val="autoZero"/>
        <c:crossBetween val="between"/>
      </c:valAx>
      <c:catAx>
        <c:axId val="43357852"/>
        <c:scaling>
          <c:orientation val="minMax"/>
        </c:scaling>
        <c:delete val="1"/>
        <c:axPos val="t"/>
        <c:numFmt formatCode="[$-416]dd/mm/yyyy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42185288"/>
        <c:auto val="1"/>
        <c:lblAlgn val="ctr"/>
        <c:lblOffset val="100"/>
        <c:noMultiLvlLbl val="0"/>
      </c:catAx>
      <c:valAx>
        <c:axId val="42185288"/>
        <c:scaling>
          <c:orientation val="minMax"/>
        </c:scaling>
        <c:delete val="0"/>
        <c:axPos val="r"/>
        <c:numFmt formatCode="0.00%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43357852"/>
        <c:crosses val="max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Sintomas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QTDE.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numFmt formatCode="General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teve_nariz_escorrendo_entupido</c:v>
                </c:pt>
                <c:pt idx="1">
                  <c:v>teve_tosse</c:v>
                </c:pt>
                <c:pt idx="2">
                  <c:v>teve_dor_de_garganta</c:v>
                </c:pt>
                <c:pt idx="3">
                  <c:v>teve_dores_musculares</c:v>
                </c:pt>
                <c:pt idx="4">
                  <c:v>teve_diarreia</c:v>
                </c:pt>
                <c:pt idx="5">
                  <c:v>teve_frebe</c:v>
                </c:pt>
                <c:pt idx="6">
                  <c:v>teve_fadiga</c:v>
                </c:pt>
                <c:pt idx="7">
                  <c:v>teve_perda_de_ofato_sabor</c:v>
                </c:pt>
                <c:pt idx="8">
                  <c:v>teve_dificuldade_respirar</c:v>
                </c:pt>
                <c:pt idx="9">
                  <c:v>teve_dor_no_peito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23617</c:v>
                </c:pt>
                <c:pt idx="1">
                  <c:v>21885</c:v>
                </c:pt>
                <c:pt idx="2">
                  <c:v>17433</c:v>
                </c:pt>
                <c:pt idx="3">
                  <c:v>16416</c:v>
                </c:pt>
                <c:pt idx="4">
                  <c:v>16416</c:v>
                </c:pt>
                <c:pt idx="5">
                  <c:v>13796</c:v>
                </c:pt>
                <c:pt idx="6">
                  <c:v>11370</c:v>
                </c:pt>
                <c:pt idx="7">
                  <c:v>7604</c:v>
                </c:pt>
                <c:pt idx="8">
                  <c:v>7410</c:v>
                </c:pt>
                <c:pt idx="9">
                  <c:v>5607</c:v>
                </c:pt>
              </c:numCache>
            </c:numRef>
          </c:val>
        </c:ser>
        <c:gapWidth val="219"/>
        <c:overlap val="0"/>
        <c:axId val="35640636"/>
        <c:axId val="1397974"/>
      </c:barChart>
      <c:lineChart>
        <c:grouping val="standard"/>
        <c:varyColors val="0"/>
        <c:ser>
          <c:idx val="1"/>
          <c:order val="1"/>
          <c:tx>
            <c:strRef>
              <c:f>label 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0%" sourceLinked="0"/>
            <c:spPr>
              <a:solidFill>
                <a:srgbClr val="ED7D31"/>
              </a:solidFill>
            </c:spPr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teve_nariz_escorrendo_entupido</c:v>
                </c:pt>
                <c:pt idx="1">
                  <c:v>teve_tosse</c:v>
                </c:pt>
                <c:pt idx="2">
                  <c:v>teve_dor_de_garganta</c:v>
                </c:pt>
                <c:pt idx="3">
                  <c:v>teve_dores_musculares</c:v>
                </c:pt>
                <c:pt idx="4">
                  <c:v>teve_diarreia</c:v>
                </c:pt>
                <c:pt idx="5">
                  <c:v>teve_frebe</c:v>
                </c:pt>
                <c:pt idx="6">
                  <c:v>teve_fadiga</c:v>
                </c:pt>
                <c:pt idx="7">
                  <c:v>teve_perda_de_ofato_sabor</c:v>
                </c:pt>
                <c:pt idx="8">
                  <c:v>teve_dificuldade_respirar</c:v>
                </c:pt>
                <c:pt idx="9">
                  <c:v>teve_dor_no_peito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0.166840922898682</c:v>
                </c:pt>
                <c:pt idx="1">
                  <c:v>0.154605309634486</c:v>
                </c:pt>
                <c:pt idx="2">
                  <c:v>0.123154414569705</c:v>
                </c:pt>
                <c:pt idx="3">
                  <c:v>0.115969877220001</c:v>
                </c:pt>
                <c:pt idx="4">
                  <c:v>0.115969877220001</c:v>
                </c:pt>
                <c:pt idx="5">
                  <c:v>0.0974610396032609</c:v>
                </c:pt>
                <c:pt idx="6">
                  <c:v>0.0803227037031804</c:v>
                </c:pt>
                <c:pt idx="7">
                  <c:v>0.0537180157395764</c:v>
                </c:pt>
                <c:pt idx="8">
                  <c:v>0.0523475140229171</c:v>
                </c:pt>
                <c:pt idx="9">
                  <c:v>0.0396103253881911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70653082"/>
        <c:axId val="43891239"/>
      </c:lineChart>
      <c:catAx>
        <c:axId val="356406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397974"/>
        <c:crosses val="autoZero"/>
        <c:auto val="1"/>
        <c:lblAlgn val="ctr"/>
        <c:lblOffset val="100"/>
        <c:noMultiLvlLbl val="0"/>
      </c:catAx>
      <c:valAx>
        <c:axId val="139797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35640636"/>
        <c:crosses val="autoZero"/>
        <c:crossBetween val="between"/>
      </c:valAx>
      <c:catAx>
        <c:axId val="70653082"/>
        <c:scaling>
          <c:orientation val="minMax"/>
        </c:scaling>
        <c:delete val="1"/>
        <c:axPos val="t"/>
        <c:numFmt formatCode="[$-416]dd/mm/yyyy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43891239"/>
        <c:auto val="1"/>
        <c:lblAlgn val="ctr"/>
        <c:lblOffset val="100"/>
        <c:noMultiLvlLbl val="0"/>
      </c:catAx>
      <c:valAx>
        <c:axId val="43891239"/>
        <c:scaling>
          <c:orientation val="minMax"/>
          <c:max val="0.3"/>
        </c:scaling>
        <c:delete val="0"/>
        <c:axPos val="r"/>
        <c:numFmt formatCode="0%" sourceLinked="0"/>
        <c:majorTickMark val="out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100" spc="-1" strike="noStrike">
                <a:solidFill>
                  <a:srgbClr val="ffffff"/>
                </a:solidFill>
                <a:latin typeface="Calibri"/>
              </a:defRPr>
            </a:pPr>
          </a:p>
        </c:txPr>
        <c:crossAx val="70653082"/>
        <c:crosses val="max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LibreOffice/7.5.8.2$Windows_X86_64 LibreOffice_project/f718d63693263970429a68f568db6046aaa9df01</Application>
  <AppVersion>15.0000</AppVersion>
  <Pages>9</Pages>
  <Words>1595</Words>
  <Characters>9422</Characters>
  <CharactersWithSpaces>10998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2024-12-16T01:40:00Z</dcterms:created>
  <dc:creator>Jessyca Dias</dc:creator>
  <dc:description/>
  <dc:language>pt-BR</dc:language>
  <cp:lastModifiedBy/>
  <cp:lastPrinted>2024-12-17T20:20:28Z</cp:lastPrinted>
  <dcterms:modified xsi:type="dcterms:W3CDTF">2024-12-17T22:21:04Z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