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DB40" w14:textId="0CED8676" w:rsidR="0012005C" w:rsidRDefault="00264DD8" w:rsidP="004750F1">
      <w:pPr>
        <w:pStyle w:val="Ttulo1"/>
      </w:pPr>
      <w:r w:rsidRPr="00264DD8">
        <w:rPr>
          <w:b/>
          <w:bCs/>
        </w:rPr>
        <w:t>Fase 1</w:t>
      </w:r>
      <w:r w:rsidRPr="00264DD8">
        <w:t>: las 15 preguntas frecuentes comunes</w:t>
      </w:r>
    </w:p>
    <w:p w14:paraId="25006FFC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1. Propuesta de las 15 Preguntas Frecuentes (FAQ)</w:t>
      </w:r>
    </w:p>
    <w:p w14:paraId="1CD4E094" w14:textId="77777777" w:rsidR="00264DD8" w:rsidRPr="00264DD8" w:rsidRDefault="00264DD8" w:rsidP="00264DD8">
      <w:r w:rsidRPr="00264DD8">
        <w:t>Organizadas en torno a los trámites y consultas reales más habituales de los estudiantes universitarios:</w:t>
      </w:r>
    </w:p>
    <w:p w14:paraId="2DB852ED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Matrículas y Procesos Académicos</w:t>
      </w:r>
    </w:p>
    <w:p w14:paraId="13521AAD" w14:textId="77777777" w:rsidR="00264DD8" w:rsidRPr="00264DD8" w:rsidRDefault="00264DD8" w:rsidP="00264DD8">
      <w:pPr>
        <w:numPr>
          <w:ilvl w:val="0"/>
          <w:numId w:val="1"/>
        </w:numPr>
      </w:pPr>
      <w:r w:rsidRPr="00264DD8">
        <w:rPr>
          <w:i/>
          <w:iCs/>
        </w:rPr>
        <w:t>¿Cuáles son las fechas y el procedimiento para la matrícula ordinaria, extraordinaria y especial?</w:t>
      </w:r>
    </w:p>
    <w:p w14:paraId="4FD62AC0" w14:textId="77777777" w:rsidR="00264DD8" w:rsidRPr="00264DD8" w:rsidRDefault="00264DD8" w:rsidP="00264DD8">
      <w:pPr>
        <w:numPr>
          <w:ilvl w:val="0"/>
          <w:numId w:val="1"/>
        </w:numPr>
      </w:pPr>
      <w:r w:rsidRPr="00264DD8">
        <w:rPr>
          <w:i/>
          <w:iCs/>
        </w:rPr>
        <w:t>¿Cuál es el proceso y plazo límite para solicitar el retiro o anulación de una o varias materias?</w:t>
      </w:r>
    </w:p>
    <w:p w14:paraId="6632E1A9" w14:textId="77777777" w:rsidR="00264DD8" w:rsidRPr="00264DD8" w:rsidRDefault="00264DD8" w:rsidP="00264DD8">
      <w:pPr>
        <w:numPr>
          <w:ilvl w:val="0"/>
          <w:numId w:val="1"/>
        </w:numPr>
      </w:pPr>
      <w:r w:rsidRPr="00264DD8">
        <w:rPr>
          <w:i/>
          <w:iCs/>
        </w:rPr>
        <w:t>¿Cuáles son los requisitos y el procedimiento para solicitar reingreso o cambio de carrera / modalidad?</w:t>
      </w:r>
    </w:p>
    <w:p w14:paraId="49080F66" w14:textId="77777777" w:rsidR="00264DD8" w:rsidRPr="00264DD8" w:rsidRDefault="00264DD8" w:rsidP="00264DD8">
      <w:pPr>
        <w:numPr>
          <w:ilvl w:val="0"/>
          <w:numId w:val="1"/>
        </w:numPr>
      </w:pPr>
      <w:r w:rsidRPr="00264DD8">
        <w:rPr>
          <w:i/>
          <w:iCs/>
        </w:rPr>
        <w:t>¿Cómo solicito una convalidación u homologación de materias cursadas en otra institución o malla anterior?</w:t>
      </w:r>
    </w:p>
    <w:p w14:paraId="7F91EA58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Certificados y Trámites Administrativos</w:t>
      </w:r>
    </w:p>
    <w:p w14:paraId="1BD8401C" w14:textId="77777777" w:rsidR="00264DD8" w:rsidRPr="00264DD8" w:rsidRDefault="00264DD8" w:rsidP="00264DD8">
      <w:pPr>
        <w:numPr>
          <w:ilvl w:val="0"/>
          <w:numId w:val="2"/>
        </w:numPr>
      </w:pPr>
      <w:r w:rsidRPr="00264DD8">
        <w:rPr>
          <w:i/>
          <w:iCs/>
        </w:rPr>
        <w:t>¿Cómo y dónde solicito un certificado de matrícula, récord académico o certificado de no tener impedimento legal?</w:t>
      </w:r>
    </w:p>
    <w:p w14:paraId="52203BAD" w14:textId="77777777" w:rsidR="00264DD8" w:rsidRPr="00264DD8" w:rsidRDefault="00264DD8" w:rsidP="00264DD8">
      <w:pPr>
        <w:numPr>
          <w:ilvl w:val="0"/>
          <w:numId w:val="2"/>
        </w:numPr>
      </w:pPr>
      <w:r w:rsidRPr="00264DD8">
        <w:rPr>
          <w:i/>
          <w:iCs/>
        </w:rPr>
        <w:t>¿Qué costo tienen las especies valoradas/certificados y en cuánto tiempo se entregan?</w:t>
      </w:r>
    </w:p>
    <w:p w14:paraId="399E3CF5" w14:textId="77777777" w:rsidR="00264DD8" w:rsidRPr="00264DD8" w:rsidRDefault="00264DD8" w:rsidP="00264DD8">
      <w:pPr>
        <w:numPr>
          <w:ilvl w:val="0"/>
          <w:numId w:val="2"/>
        </w:numPr>
      </w:pPr>
      <w:r w:rsidRPr="00264DD8">
        <w:rPr>
          <w:i/>
          <w:iCs/>
        </w:rPr>
        <w:t>¿Cuál es el proceso para justificar inasistencias a clases o solicitar recalificación de exámenes?</w:t>
      </w:r>
    </w:p>
    <w:p w14:paraId="06954612" w14:textId="77777777" w:rsidR="00264DD8" w:rsidRPr="00264DD8" w:rsidRDefault="00264DD8" w:rsidP="00264DD8">
      <w:pPr>
        <w:numPr>
          <w:ilvl w:val="0"/>
          <w:numId w:val="2"/>
        </w:numPr>
      </w:pPr>
      <w:r w:rsidRPr="00264DD8">
        <w:rPr>
          <w:i/>
          <w:iCs/>
        </w:rPr>
        <w:t>¿Qué debo hacer si extravié mi carnet estudiantil o necesito actualizar mis datos personales en el sistema?</w:t>
      </w:r>
    </w:p>
    <w:p w14:paraId="27ADC375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Prácticas Preprofesionales y Vinculación</w:t>
      </w:r>
    </w:p>
    <w:p w14:paraId="50302BB5" w14:textId="77777777" w:rsidR="00264DD8" w:rsidRPr="00264DD8" w:rsidRDefault="00264DD8" w:rsidP="00264DD8">
      <w:pPr>
        <w:numPr>
          <w:ilvl w:val="0"/>
          <w:numId w:val="3"/>
        </w:numPr>
      </w:pPr>
      <w:r w:rsidRPr="00264DD8">
        <w:rPr>
          <w:i/>
          <w:iCs/>
        </w:rPr>
        <w:t>¿A partir de qué semestre o porcentaje de créditos puedo iniciar las prácticas preprofesionales y el servicio comunitario?</w:t>
      </w:r>
    </w:p>
    <w:p w14:paraId="63098E2D" w14:textId="77777777" w:rsidR="00264DD8" w:rsidRPr="00264DD8" w:rsidRDefault="00264DD8" w:rsidP="00264DD8">
      <w:pPr>
        <w:numPr>
          <w:ilvl w:val="0"/>
          <w:numId w:val="3"/>
        </w:numPr>
      </w:pPr>
      <w:r w:rsidRPr="00264DD8">
        <w:rPr>
          <w:i/>
          <w:iCs/>
        </w:rPr>
        <w:t>¿Qué documentos y formatos debo presentar para registrar y validar mis horas de prácticas?</w:t>
      </w:r>
    </w:p>
    <w:p w14:paraId="00A042DF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Aspectos Económicos y Aranceles</w:t>
      </w:r>
    </w:p>
    <w:p w14:paraId="1F32156B" w14:textId="77777777" w:rsidR="00264DD8" w:rsidRPr="00264DD8" w:rsidRDefault="00264DD8" w:rsidP="00264DD8">
      <w:pPr>
        <w:numPr>
          <w:ilvl w:val="0"/>
          <w:numId w:val="4"/>
        </w:numPr>
      </w:pPr>
      <w:r w:rsidRPr="00264DD8">
        <w:rPr>
          <w:i/>
          <w:iCs/>
        </w:rPr>
        <w:t>¿Cuáles son las fechas de vencimiento de las cuotas y los métodos de pago autorizados por la universidad?</w:t>
      </w:r>
    </w:p>
    <w:p w14:paraId="5F6C6A62" w14:textId="77777777" w:rsidR="00264DD8" w:rsidRPr="00264DD8" w:rsidRDefault="00264DD8" w:rsidP="00264DD8">
      <w:pPr>
        <w:numPr>
          <w:ilvl w:val="0"/>
          <w:numId w:val="4"/>
        </w:numPr>
      </w:pPr>
      <w:r w:rsidRPr="00264DD8">
        <w:rPr>
          <w:i/>
          <w:iCs/>
        </w:rPr>
        <w:lastRenderedPageBreak/>
        <w:t>¿Dónde y cómo reporto el comprobante de transferencia o depósito bancario para que se refleje en mi cuenta?</w:t>
      </w:r>
    </w:p>
    <w:p w14:paraId="5D3A2600" w14:textId="77777777" w:rsidR="00264DD8" w:rsidRPr="00264DD8" w:rsidRDefault="00264DD8" w:rsidP="00264DD8">
      <w:pPr>
        <w:numPr>
          <w:ilvl w:val="0"/>
          <w:numId w:val="4"/>
        </w:numPr>
      </w:pPr>
      <w:r w:rsidRPr="00264DD8">
        <w:rPr>
          <w:i/>
          <w:iCs/>
        </w:rPr>
        <w:t>¿Cuáles son los requisitos y plazos para postular o renovar becas y descuentos institucionales?</w:t>
      </w:r>
    </w:p>
    <w:p w14:paraId="1AD0C1D7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Titulación y Graduación</w:t>
      </w:r>
    </w:p>
    <w:p w14:paraId="55A927E6" w14:textId="77777777" w:rsidR="00264DD8" w:rsidRPr="00264DD8" w:rsidRDefault="00264DD8" w:rsidP="00264DD8">
      <w:pPr>
        <w:numPr>
          <w:ilvl w:val="0"/>
          <w:numId w:val="5"/>
        </w:numPr>
      </w:pPr>
      <w:r w:rsidRPr="00264DD8">
        <w:rPr>
          <w:i/>
          <w:iCs/>
        </w:rPr>
        <w:t>¿Cuáles son las modalidades de titulación disponibles y los requisitos previos (horas de vinculación, inglés, etc.) para matricularse en titulación?</w:t>
      </w:r>
    </w:p>
    <w:p w14:paraId="556C97BE" w14:textId="77777777" w:rsidR="00264DD8" w:rsidRPr="00264DD8" w:rsidRDefault="00264DD8" w:rsidP="00264DD8">
      <w:pPr>
        <w:numPr>
          <w:ilvl w:val="0"/>
          <w:numId w:val="5"/>
        </w:numPr>
      </w:pPr>
      <w:r w:rsidRPr="00264DD8">
        <w:rPr>
          <w:i/>
          <w:iCs/>
        </w:rPr>
        <w:t>¿Cuál es el procedimiento y documentación necesaria para la declaratoria de aptitud legal y graduación?</w:t>
      </w:r>
    </w:p>
    <w:p w14:paraId="1568D4F7" w14:textId="3148CF39" w:rsidR="00264DD8" w:rsidRPr="00264DD8" w:rsidRDefault="00264DD8" w:rsidP="00264DD8">
      <w:pPr>
        <w:rPr>
          <w:b/>
          <w:bCs/>
        </w:rPr>
      </w:pPr>
      <w:r>
        <w:rPr>
          <w:b/>
          <w:bCs/>
        </w:rPr>
        <w:t>2</w:t>
      </w:r>
      <w:r w:rsidRPr="00264DD8">
        <w:rPr>
          <w:b/>
          <w:bCs/>
        </w:rPr>
        <w:t>. Arquitectura Recomendada y Lenguajes</w:t>
      </w:r>
    </w:p>
    <w:p w14:paraId="71BEC997" w14:textId="77777777" w:rsidR="00264DD8" w:rsidRPr="00264DD8" w:rsidRDefault="00264DD8" w:rsidP="00264DD8">
      <w:r w:rsidRPr="00264DD8">
        <w:t>Dado que la consigna exige un enfoque RAG (</w:t>
      </w:r>
      <w:proofErr w:type="spellStart"/>
      <w:r w:rsidRPr="00264DD8">
        <w:t>Retrieval-Augmented</w:t>
      </w:r>
      <w:proofErr w:type="spellEnd"/>
      <w:r w:rsidRPr="00264DD8">
        <w:t xml:space="preserve"> </w:t>
      </w:r>
      <w:proofErr w:type="spellStart"/>
      <w:r w:rsidRPr="00264DD8">
        <w:t>Generation</w:t>
      </w:r>
      <w:proofErr w:type="spellEnd"/>
      <w:r w:rsidRPr="00264DD8">
        <w:t xml:space="preserve">) con base vectorial, trazabilidad de fuentes y </w:t>
      </w:r>
      <w:proofErr w:type="spellStart"/>
      <w:r w:rsidRPr="00264DD8">
        <w:t>backend</w:t>
      </w:r>
      <w:proofErr w:type="spellEnd"/>
      <w:r w:rsidRPr="00264DD8">
        <w:t xml:space="preserve"> desacoplado:</w:t>
      </w: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2836"/>
        <w:gridCol w:w="3402"/>
        <w:gridCol w:w="4253"/>
      </w:tblGrid>
      <w:tr w:rsidR="00264DD8" w14:paraId="766AFFFF" w14:textId="77777777" w:rsidTr="00264DD8">
        <w:tc>
          <w:tcPr>
            <w:tcW w:w="2836" w:type="dxa"/>
            <w:shd w:val="clear" w:color="auto" w:fill="DAE9F7" w:themeFill="text2" w:themeFillTint="1A"/>
          </w:tcPr>
          <w:p w14:paraId="191ED80D" w14:textId="38069756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>Componente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4F53265D" w14:textId="77811339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>Tecnología sugerida</w:t>
            </w:r>
          </w:p>
        </w:tc>
        <w:tc>
          <w:tcPr>
            <w:tcW w:w="4253" w:type="dxa"/>
            <w:shd w:val="clear" w:color="auto" w:fill="DAE9F7" w:themeFill="text2" w:themeFillTint="1A"/>
          </w:tcPr>
          <w:p w14:paraId="43F3AE1A" w14:textId="280938B5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>Justificación</w:t>
            </w:r>
          </w:p>
        </w:tc>
      </w:tr>
      <w:tr w:rsidR="00264DD8" w14:paraId="1E15BCF5" w14:textId="77777777" w:rsidTr="00264DD8">
        <w:tc>
          <w:tcPr>
            <w:tcW w:w="2836" w:type="dxa"/>
            <w:shd w:val="clear" w:color="auto" w:fill="D1D1D1" w:themeFill="background2" w:themeFillShade="E6"/>
          </w:tcPr>
          <w:p w14:paraId="01EBD0B4" w14:textId="0DD52FCE" w:rsidR="00264DD8" w:rsidRPr="00264DD8" w:rsidRDefault="00264DD8">
            <w:pPr>
              <w:rPr>
                <w:b/>
                <w:bCs/>
              </w:rPr>
            </w:pPr>
            <w:proofErr w:type="spellStart"/>
            <w:r w:rsidRPr="00264DD8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4EB22EA1" w14:textId="4A0C6154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 xml:space="preserve">Python con </w:t>
            </w:r>
            <w:proofErr w:type="spellStart"/>
            <w:r w:rsidRPr="00264DD8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4253" w:type="dxa"/>
            <w:shd w:val="clear" w:color="auto" w:fill="D1D1D1" w:themeFill="background2" w:themeFillShade="E6"/>
          </w:tcPr>
          <w:p w14:paraId="24B3BAE6" w14:textId="04CED325" w:rsidR="00264DD8" w:rsidRDefault="00264DD8">
            <w:r w:rsidRPr="00264DD8">
              <w:t xml:space="preserve">Mencionada explícitamente en la guía. Es asíncrona, rápida y tiene compatibilidad nativa con las librerías de IA y </w:t>
            </w:r>
            <w:proofErr w:type="spellStart"/>
            <w:r w:rsidRPr="00264DD8">
              <w:t>embeddings</w:t>
            </w:r>
            <w:proofErr w:type="spellEnd"/>
            <w:r w:rsidRPr="00264DD8">
              <w:t>.</w:t>
            </w:r>
          </w:p>
        </w:tc>
      </w:tr>
      <w:tr w:rsidR="00264DD8" w:rsidRPr="00264DD8" w14:paraId="4D8102DC" w14:textId="77777777" w:rsidTr="00264DD8">
        <w:tc>
          <w:tcPr>
            <w:tcW w:w="2836" w:type="dxa"/>
            <w:shd w:val="clear" w:color="auto" w:fill="D1D1D1" w:themeFill="background2" w:themeFillShade="E6"/>
          </w:tcPr>
          <w:p w14:paraId="42FECDB5" w14:textId="53945AE4" w:rsidR="00264DD8" w:rsidRPr="00264DD8" w:rsidRDefault="00264DD8">
            <w:pPr>
              <w:rPr>
                <w:b/>
                <w:bCs/>
              </w:rPr>
            </w:pPr>
            <w:proofErr w:type="spellStart"/>
            <w:r w:rsidRPr="00264DD8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3402" w:type="dxa"/>
            <w:shd w:val="clear" w:color="auto" w:fill="D1D1D1" w:themeFill="background2" w:themeFillShade="E6"/>
          </w:tcPr>
          <w:p w14:paraId="44267644" w14:textId="292D7291" w:rsidR="00264DD8" w:rsidRPr="00264DD8" w:rsidRDefault="00264DD8">
            <w:pPr>
              <w:rPr>
                <w:b/>
                <w:bCs/>
                <w:lang w:val="en-US"/>
              </w:rPr>
            </w:pPr>
            <w:r w:rsidRPr="00264DD8">
              <w:rPr>
                <w:b/>
                <w:bCs/>
                <w:lang w:val="en-US"/>
              </w:rPr>
              <w:t>React / Next.js (o Tailwind CSS + HTML/JS)</w:t>
            </w:r>
          </w:p>
        </w:tc>
        <w:tc>
          <w:tcPr>
            <w:tcW w:w="4253" w:type="dxa"/>
            <w:shd w:val="clear" w:color="auto" w:fill="D1D1D1" w:themeFill="background2" w:themeFillShade="E6"/>
          </w:tcPr>
          <w:p w14:paraId="1293DC8F" w14:textId="4242B8F3" w:rsidR="00264DD8" w:rsidRPr="00264DD8" w:rsidRDefault="00264DD8">
            <w:r w:rsidRPr="00264DD8">
              <w:t xml:space="preserve">Si buscan rapidez de entrega, una SPA en </w:t>
            </w:r>
            <w:proofErr w:type="spellStart"/>
            <w:r w:rsidRPr="00264DD8">
              <w:t>React</w:t>
            </w:r>
            <w:proofErr w:type="spellEnd"/>
            <w:r w:rsidRPr="00264DD8">
              <w:t xml:space="preserve"> con </w:t>
            </w:r>
            <w:proofErr w:type="spellStart"/>
            <w:r w:rsidRPr="00264DD8">
              <w:t>Tailwind</w:t>
            </w:r>
            <w:proofErr w:type="spellEnd"/>
            <w:r w:rsidRPr="00264DD8">
              <w:t xml:space="preserve"> o incluso </w:t>
            </w:r>
            <w:proofErr w:type="spellStart"/>
            <w:r w:rsidRPr="00264DD8">
              <w:t>Streamlit</w:t>
            </w:r>
            <w:proofErr w:type="spellEnd"/>
            <w:r w:rsidRPr="00264DD8">
              <w:t>/Next.js funciona muy bien para chats fluidos.</w:t>
            </w:r>
          </w:p>
        </w:tc>
      </w:tr>
      <w:tr w:rsidR="00264DD8" w:rsidRPr="00264DD8" w14:paraId="48A080A8" w14:textId="77777777" w:rsidTr="00264DD8">
        <w:tc>
          <w:tcPr>
            <w:tcW w:w="2836" w:type="dxa"/>
            <w:shd w:val="clear" w:color="auto" w:fill="D1D1D1" w:themeFill="background2" w:themeFillShade="E6"/>
          </w:tcPr>
          <w:p w14:paraId="69579281" w14:textId="05F8E62E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>Base Vectorial</w:t>
            </w:r>
          </w:p>
        </w:tc>
        <w:tc>
          <w:tcPr>
            <w:tcW w:w="3402" w:type="dxa"/>
            <w:shd w:val="clear" w:color="auto" w:fill="D1D1D1" w:themeFill="background2" w:themeFillShade="E6"/>
          </w:tcPr>
          <w:p w14:paraId="5F9C3DDF" w14:textId="04DDDAFE" w:rsidR="00264DD8" w:rsidRPr="00264DD8" w:rsidRDefault="00264DD8">
            <w:proofErr w:type="spellStart"/>
            <w:r w:rsidRPr="00264DD8">
              <w:rPr>
                <w:b/>
                <w:bCs/>
              </w:rPr>
              <w:t>ChromaDB</w:t>
            </w:r>
            <w:proofErr w:type="spellEnd"/>
            <w:r w:rsidRPr="00264DD8">
              <w:t xml:space="preserve"> o </w:t>
            </w:r>
            <w:proofErr w:type="spellStart"/>
            <w:r w:rsidRPr="00264DD8">
              <w:rPr>
                <w:b/>
                <w:bCs/>
              </w:rPr>
              <w:t>Qdrant</w:t>
            </w:r>
            <w:proofErr w:type="spellEnd"/>
          </w:p>
        </w:tc>
        <w:tc>
          <w:tcPr>
            <w:tcW w:w="4253" w:type="dxa"/>
            <w:shd w:val="clear" w:color="auto" w:fill="D1D1D1" w:themeFill="background2" w:themeFillShade="E6"/>
          </w:tcPr>
          <w:p w14:paraId="07FE7A25" w14:textId="15D98318" w:rsidR="00264DD8" w:rsidRPr="00264DD8" w:rsidRDefault="00264DD8">
            <w:proofErr w:type="spellStart"/>
            <w:r w:rsidRPr="00264DD8">
              <w:t>ChromaDB</w:t>
            </w:r>
            <w:proofErr w:type="spellEnd"/>
            <w:r w:rsidRPr="00264DD8">
              <w:t xml:space="preserve"> es embebida, gratuita, no requiere servidor externo complejo y es perfecta para el tamaño de base de conocimiento de este MVP.</w:t>
            </w:r>
          </w:p>
        </w:tc>
      </w:tr>
      <w:tr w:rsidR="00264DD8" w:rsidRPr="00264DD8" w14:paraId="02429C7C" w14:textId="77777777" w:rsidTr="00264DD8">
        <w:tc>
          <w:tcPr>
            <w:tcW w:w="2836" w:type="dxa"/>
            <w:shd w:val="clear" w:color="auto" w:fill="D1D1D1" w:themeFill="background2" w:themeFillShade="E6"/>
          </w:tcPr>
          <w:p w14:paraId="5074951B" w14:textId="74B10CE8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>Orquestación RAG</w:t>
            </w:r>
          </w:p>
        </w:tc>
        <w:tc>
          <w:tcPr>
            <w:tcW w:w="3402" w:type="dxa"/>
            <w:shd w:val="clear" w:color="auto" w:fill="D1D1D1" w:themeFill="background2" w:themeFillShade="E6"/>
          </w:tcPr>
          <w:p w14:paraId="2389121D" w14:textId="5F6D8AD7" w:rsidR="00264DD8" w:rsidRPr="00264DD8" w:rsidRDefault="00264DD8">
            <w:proofErr w:type="spellStart"/>
            <w:r w:rsidRPr="00264DD8">
              <w:rPr>
                <w:b/>
                <w:bCs/>
              </w:rPr>
              <w:t>LangChain</w:t>
            </w:r>
            <w:proofErr w:type="spellEnd"/>
            <w:r w:rsidRPr="00264DD8">
              <w:t xml:space="preserve"> o </w:t>
            </w:r>
            <w:proofErr w:type="spellStart"/>
            <w:r w:rsidRPr="00264DD8">
              <w:rPr>
                <w:b/>
                <w:bCs/>
              </w:rPr>
              <w:t>LlamaIndex</w:t>
            </w:r>
            <w:proofErr w:type="spellEnd"/>
          </w:p>
        </w:tc>
        <w:tc>
          <w:tcPr>
            <w:tcW w:w="4253" w:type="dxa"/>
            <w:shd w:val="clear" w:color="auto" w:fill="D1D1D1" w:themeFill="background2" w:themeFillShade="E6"/>
          </w:tcPr>
          <w:p w14:paraId="5C88AC30" w14:textId="4D41EBD7" w:rsidR="00264DD8" w:rsidRPr="00264DD8" w:rsidRDefault="00264DD8">
            <w:r w:rsidRPr="00264DD8">
              <w:t>Facilita la división de documentos en fragmentos (</w:t>
            </w:r>
            <w:proofErr w:type="spellStart"/>
            <w:r w:rsidRPr="00264DD8">
              <w:t>chunking</w:t>
            </w:r>
            <w:proofErr w:type="spellEnd"/>
            <w:r w:rsidRPr="00264DD8">
              <w:t xml:space="preserve">), generación de </w:t>
            </w:r>
            <w:proofErr w:type="spellStart"/>
            <w:r w:rsidRPr="00264DD8">
              <w:t>embeddings</w:t>
            </w:r>
            <w:proofErr w:type="spellEnd"/>
            <w:r w:rsidRPr="00264DD8">
              <w:t>, recuperación con trazabilidad y conexión al LLM.</w:t>
            </w:r>
          </w:p>
        </w:tc>
      </w:tr>
      <w:tr w:rsidR="00264DD8" w:rsidRPr="00264DD8" w14:paraId="48B2DE89" w14:textId="77777777" w:rsidTr="00264DD8">
        <w:tc>
          <w:tcPr>
            <w:tcW w:w="2836" w:type="dxa"/>
            <w:shd w:val="clear" w:color="auto" w:fill="D1D1D1" w:themeFill="background2" w:themeFillShade="E6"/>
          </w:tcPr>
          <w:p w14:paraId="5079FBDD" w14:textId="5B5A947C" w:rsidR="00264DD8" w:rsidRPr="00264DD8" w:rsidRDefault="00264DD8">
            <w:pPr>
              <w:rPr>
                <w:b/>
                <w:bCs/>
              </w:rPr>
            </w:pPr>
            <w:r w:rsidRPr="00264DD8">
              <w:rPr>
                <w:b/>
                <w:bCs/>
              </w:rPr>
              <w:t>Seguridad</w:t>
            </w:r>
          </w:p>
        </w:tc>
        <w:tc>
          <w:tcPr>
            <w:tcW w:w="3402" w:type="dxa"/>
            <w:shd w:val="clear" w:color="auto" w:fill="D1D1D1" w:themeFill="background2" w:themeFillShade="E6"/>
          </w:tcPr>
          <w:p w14:paraId="72C03DAD" w14:textId="133734B0" w:rsidR="00264DD8" w:rsidRPr="00264DD8" w:rsidRDefault="00264DD8">
            <w:proofErr w:type="spellStart"/>
            <w:r w:rsidRPr="00264DD8">
              <w:t>python-dotenv</w:t>
            </w:r>
            <w:proofErr w:type="spellEnd"/>
          </w:p>
        </w:tc>
        <w:tc>
          <w:tcPr>
            <w:tcW w:w="4253" w:type="dxa"/>
            <w:shd w:val="clear" w:color="auto" w:fill="D1D1D1" w:themeFill="background2" w:themeFillShade="E6"/>
          </w:tcPr>
          <w:p w14:paraId="540B185F" w14:textId="3FE11873" w:rsidR="00264DD8" w:rsidRPr="00264DD8" w:rsidRDefault="00264DD8">
            <w:r w:rsidRPr="00264DD8">
              <w:t xml:space="preserve">La API Key reside únicamente en </w:t>
            </w:r>
            <w:proofErr w:type="spellStart"/>
            <w:r w:rsidRPr="00264DD8">
              <w:t>el</w:t>
            </w:r>
            <w:proofErr w:type="spellEnd"/>
            <w:r w:rsidRPr="00264DD8">
              <w:t xml:space="preserve"> .</w:t>
            </w:r>
            <w:proofErr w:type="spellStart"/>
            <w:r w:rsidRPr="00264DD8">
              <w:t>env</w:t>
            </w:r>
            <w:proofErr w:type="spellEnd"/>
            <w:r w:rsidRPr="00264DD8">
              <w:t xml:space="preserve"> local del </w:t>
            </w:r>
            <w:proofErr w:type="spellStart"/>
            <w:r w:rsidRPr="00264DD8">
              <w:t>backend</w:t>
            </w:r>
            <w:proofErr w:type="spellEnd"/>
            <w:r w:rsidRPr="00264DD8">
              <w:t xml:space="preserve"> y jamás se expone al cliente</w:t>
            </w:r>
          </w:p>
        </w:tc>
      </w:tr>
    </w:tbl>
    <w:p w14:paraId="43E7B2EF" w14:textId="77777777" w:rsidR="00264DD8" w:rsidRPr="00264DD8" w:rsidRDefault="00264DD8" w:rsidP="00264DD8">
      <w:pPr>
        <w:rPr>
          <w:b/>
          <w:bCs/>
        </w:rPr>
      </w:pPr>
      <w:r w:rsidRPr="00264DD8">
        <w:rPr>
          <w:b/>
          <w:bCs/>
        </w:rPr>
        <w:t>¿</w:t>
      </w:r>
      <w:proofErr w:type="spellStart"/>
      <w:r w:rsidRPr="00264DD8">
        <w:rPr>
          <w:b/>
          <w:bCs/>
        </w:rPr>
        <w:t>OpenAI</w:t>
      </w:r>
      <w:proofErr w:type="spellEnd"/>
      <w:r w:rsidRPr="00264DD8">
        <w:rPr>
          <w:b/>
          <w:bCs/>
        </w:rPr>
        <w:t xml:space="preserve"> vs Gemini API?</w:t>
      </w:r>
    </w:p>
    <w:p w14:paraId="2AC85FE7" w14:textId="77777777" w:rsidR="00264DD8" w:rsidRPr="00264DD8" w:rsidRDefault="00264DD8" w:rsidP="00264DD8">
      <w:r w:rsidRPr="00264DD8">
        <w:t xml:space="preserve">Para este proyecto académico, </w:t>
      </w:r>
      <w:r w:rsidRPr="00264DD8">
        <w:rPr>
          <w:b/>
          <w:bCs/>
        </w:rPr>
        <w:t>Google Gemini (Gemini 1.5 Flash)</w:t>
      </w:r>
      <w:r w:rsidRPr="00264DD8">
        <w:t xml:space="preserve"> ofrece ventajas clave:</w:t>
      </w:r>
    </w:p>
    <w:p w14:paraId="6413FC07" w14:textId="77777777" w:rsidR="00264DD8" w:rsidRPr="00264DD8" w:rsidRDefault="00264DD8" w:rsidP="00264DD8">
      <w:pPr>
        <w:numPr>
          <w:ilvl w:val="0"/>
          <w:numId w:val="6"/>
        </w:numPr>
      </w:pPr>
      <w:r w:rsidRPr="00264DD8">
        <w:rPr>
          <w:b/>
          <w:bCs/>
        </w:rPr>
        <w:t>Ventana de contexto:</w:t>
      </w:r>
      <w:r w:rsidRPr="00264DD8">
        <w:t xml:space="preserve"> Permite cargar reglamentos institucionales extensos en PDF sin truncar información.</w:t>
      </w:r>
    </w:p>
    <w:p w14:paraId="6DB893F3" w14:textId="77777777" w:rsidR="00264DD8" w:rsidRPr="00264DD8" w:rsidRDefault="00264DD8" w:rsidP="00264DD8">
      <w:pPr>
        <w:numPr>
          <w:ilvl w:val="0"/>
          <w:numId w:val="6"/>
        </w:numPr>
      </w:pPr>
      <w:r w:rsidRPr="00264DD8">
        <w:rPr>
          <w:b/>
          <w:bCs/>
        </w:rPr>
        <w:t>Costos / Cuota Gratuita:</w:t>
      </w:r>
      <w:r w:rsidRPr="00264DD8">
        <w:t xml:space="preserve"> El nivel gratuito (free </w:t>
      </w:r>
      <w:proofErr w:type="spellStart"/>
      <w:r w:rsidRPr="00264DD8">
        <w:t>tier</w:t>
      </w:r>
      <w:proofErr w:type="spellEnd"/>
      <w:r w:rsidRPr="00264DD8">
        <w:t xml:space="preserve">) en Google AI Studio suele ser más generoso para pruebas que los créditos iniciales de </w:t>
      </w:r>
      <w:proofErr w:type="spellStart"/>
      <w:r w:rsidRPr="00264DD8">
        <w:t>OpenAI</w:t>
      </w:r>
      <w:proofErr w:type="spellEnd"/>
      <w:r w:rsidRPr="00264DD8">
        <w:t>.</w:t>
      </w:r>
    </w:p>
    <w:p w14:paraId="5D10B155" w14:textId="77777777" w:rsidR="00264DD8" w:rsidRPr="00264DD8" w:rsidRDefault="00264DD8" w:rsidP="00264DD8">
      <w:pPr>
        <w:numPr>
          <w:ilvl w:val="0"/>
          <w:numId w:val="6"/>
        </w:numPr>
      </w:pPr>
      <w:r w:rsidRPr="00264DD8">
        <w:rPr>
          <w:b/>
          <w:bCs/>
        </w:rPr>
        <w:lastRenderedPageBreak/>
        <w:t>Velocidad:</w:t>
      </w:r>
      <w:r w:rsidRPr="00264DD8">
        <w:t xml:space="preserve"> Gemini 1.5 Flash responde con una latencia muy baja, ideal para el requisito no funcional de tiempo de respuesta. </w:t>
      </w:r>
      <w:r w:rsidRPr="00264DD8">
        <w:rPr>
          <w:i/>
          <w:iCs/>
        </w:rPr>
        <w:t xml:space="preserve">(Si prefieren </w:t>
      </w:r>
      <w:proofErr w:type="spellStart"/>
      <w:r w:rsidRPr="00264DD8">
        <w:rPr>
          <w:i/>
          <w:iCs/>
        </w:rPr>
        <w:t>OpenAI</w:t>
      </w:r>
      <w:proofErr w:type="spellEnd"/>
      <w:r w:rsidRPr="00264DD8">
        <w:rPr>
          <w:i/>
          <w:iCs/>
        </w:rPr>
        <w:t xml:space="preserve">, </w:t>
      </w:r>
      <w:r w:rsidRPr="00264DD8">
        <w:rPr>
          <w:b/>
          <w:bCs/>
          <w:i/>
          <w:iCs/>
        </w:rPr>
        <w:t>GPT-4o-mini</w:t>
      </w:r>
      <w:r w:rsidRPr="00264DD8">
        <w:rPr>
          <w:i/>
          <w:iCs/>
        </w:rPr>
        <w:t xml:space="preserve"> es la opción equivalente en costo y velocidad).</w:t>
      </w:r>
      <w:r w:rsidRPr="00264DD8">
        <w:t xml:space="preserve"> </w:t>
      </w:r>
    </w:p>
    <w:p w14:paraId="26D62709" w14:textId="77777777" w:rsidR="00264DD8" w:rsidRDefault="00264DD8"/>
    <w:sectPr w:rsidR="00264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96D"/>
    <w:multiLevelType w:val="multilevel"/>
    <w:tmpl w:val="E9A4D1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81CA2"/>
    <w:multiLevelType w:val="multilevel"/>
    <w:tmpl w:val="3D3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49CD"/>
    <w:multiLevelType w:val="multilevel"/>
    <w:tmpl w:val="0B48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436EC"/>
    <w:multiLevelType w:val="multilevel"/>
    <w:tmpl w:val="7A9642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A759B"/>
    <w:multiLevelType w:val="multilevel"/>
    <w:tmpl w:val="0BF052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33E1B"/>
    <w:multiLevelType w:val="multilevel"/>
    <w:tmpl w:val="C1B249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284776">
    <w:abstractNumId w:val="2"/>
  </w:num>
  <w:num w:numId="2" w16cid:durableId="1985356810">
    <w:abstractNumId w:val="4"/>
  </w:num>
  <w:num w:numId="3" w16cid:durableId="568659454">
    <w:abstractNumId w:val="3"/>
  </w:num>
  <w:num w:numId="4" w16cid:durableId="1266888705">
    <w:abstractNumId w:val="0"/>
  </w:num>
  <w:num w:numId="5" w16cid:durableId="265890573">
    <w:abstractNumId w:val="5"/>
  </w:num>
  <w:num w:numId="6" w16cid:durableId="1864518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D8"/>
    <w:rsid w:val="0012005C"/>
    <w:rsid w:val="00264DD8"/>
    <w:rsid w:val="003A4655"/>
    <w:rsid w:val="00474AB5"/>
    <w:rsid w:val="004750F1"/>
    <w:rsid w:val="005C66EC"/>
    <w:rsid w:val="00604B1E"/>
    <w:rsid w:val="0072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7E283"/>
  <w15:chartTrackingRefBased/>
  <w15:docId w15:val="{A0A771F8-0EC5-477E-8678-BDB7057E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D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D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D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D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D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D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DD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4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Widman Cevallos</dc:creator>
  <cp:keywords/>
  <dc:description/>
  <cp:lastModifiedBy>Christian Felipe Torres Lopez</cp:lastModifiedBy>
  <cp:revision>2</cp:revision>
  <dcterms:created xsi:type="dcterms:W3CDTF">2026-10-20T02:32:00Z</dcterms:created>
  <dcterms:modified xsi:type="dcterms:W3CDTF">2026-10-20T02:32:00Z</dcterms:modified>
</cp:coreProperties>
</file>