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Readme </w:t>
      </w:r>
    </w:p>
    <w:p>
      <w:pPr>
        <w:spacing w:before="100"/>
      </w:pPr>
      <w:r>
        <w:rPr>
          <w:rFonts w:ascii="Times" w:hAnsi="Times" w:cs="Times"/>
          <w:sz w:val="24"/>
          <w:sz-cs w:val="24"/>
          <w:b/>
          <w:color w:val="000000"/>
        </w:rPr>
        <w:t xml:space="preserve">Please cite as follows:</w:t>
      </w:r>
    </w:p>
    <w:p>
      <w:pPr/>
      <w:r>
        <w:rPr>
          <w:rFonts w:ascii="Times" w:hAnsi="Times" w:cs="Times"/>
          <w:sz w:val="24"/>
          <w:sz-cs w:val="24"/>
        </w:rPr>
        <w:t xml:space="preserve">Eric Sims, Jing Cynthia Wu, and Ji Zhang “The Four Equation New Keynesian Model”, </w:t>
      </w:r>
      <w:r>
        <w:rPr>
          <w:rFonts w:ascii="Times" w:hAnsi="Times" w:cs="Times"/>
          <w:sz w:val="24"/>
          <w:sz-cs w:val="24"/>
          <w:i/>
        </w:rPr>
        <w:t xml:space="preserve">The</w:t>
      </w:r>
      <w:r>
        <w:rPr>
          <w:rFonts w:ascii="Times" w:hAnsi="Times" w:cs="Times"/>
          <w:sz w:val="24"/>
          <w:sz-cs w:val="24"/>
        </w:rPr>
        <w:t xml:space="preserve"> </w:t>
      </w:r>
      <w:r>
        <w:rPr>
          <w:rFonts w:ascii="Times" w:hAnsi="Times" w:cs="Times"/>
          <w:sz w:val="24"/>
          <w:sz-cs w:val="24"/>
          <w:i/>
        </w:rPr>
        <w:t xml:space="preserve">Review of Economics and Statistics</w:t>
      </w:r>
      <w:r>
        <w:rPr>
          <w:rFonts w:ascii="Times" w:hAnsi="Times" w:cs="Times"/>
          <w:sz w:val="24"/>
          <w:sz-cs w:val="24"/>
        </w:rPr>
        <w:t xml:space="preserve">, forthcoming.</w:t>
      </w:r>
    </w:p>
    <w:p>
      <w:pPr/>
      <w:r>
        <w:rPr>
          <w:rFonts w:ascii="Times" w:hAnsi="Times" w:cs="Times"/>
          <w:sz w:val="24"/>
          <w:sz-cs w:val="24"/>
          <w:b/>
        </w:rPr>
        <w:t xml:space="preserve">Related papers</w:t>
      </w:r>
    </w:p>
    <w:p>
      <w:pPr/>
      <w:r>
        <w:rPr>
          <w:rFonts w:ascii="Times" w:hAnsi="Times" w:cs="Times"/>
          <w:sz w:val="24"/>
          <w:sz-cs w:val="24"/>
        </w:rPr>
        <w:t xml:space="preserve">Eric Sims and Jing Cynthia Wu “Evaluating Central Banks’ Tool Kit: Past, Present, and Future”, </w:t>
      </w:r>
      <w:r>
        <w:rPr>
          <w:rFonts w:ascii="Times" w:hAnsi="Times" w:cs="Times"/>
          <w:sz w:val="24"/>
          <w:sz-cs w:val="24"/>
          <w:i/>
        </w:rPr>
        <w:t xml:space="preserve">Journal of Monetary Economics</w:t>
      </w:r>
      <w:r>
        <w:rPr>
          <w:rFonts w:ascii="Times" w:hAnsi="Times" w:cs="Times"/>
          <w:sz w:val="24"/>
          <w:sz-cs w:val="24"/>
        </w:rPr>
        <w:t xml:space="preserve">, 2021, 118, 135-160.</w:t>
      </w:r>
    </w:p>
    <w:p>
      <w:pPr/>
      <w:r>
        <w:rPr>
          <w:rFonts w:ascii="Times" w:hAnsi="Times" w:cs="Times"/>
          <w:sz w:val="24"/>
          <w:sz-cs w:val="24"/>
        </w:rPr>
        <w:t xml:space="preserve">Eric Sims and Jing Cynthia Wu “Are QE and Conventional Monetary Policy Substitutable?” </w:t>
      </w:r>
      <w:r>
        <w:rPr>
          <w:rFonts w:ascii="Times" w:hAnsi="Times" w:cs="Times"/>
          <w:sz w:val="24"/>
          <w:sz-cs w:val="24"/>
          <w:i/>
        </w:rPr>
        <w:t xml:space="preserve">International Journal of Central Banking</w:t>
      </w:r>
      <w:r>
        <w:rPr>
          <w:rFonts w:ascii="Times" w:hAnsi="Times" w:cs="Times"/>
          <w:sz w:val="24"/>
          <w:sz-cs w:val="24"/>
        </w:rPr>
        <w:t xml:space="preserve">, 2020, 16 (1), 195-230.</w:t>
      </w:r>
    </w:p>
    <w:p>
      <w:pPr>
        <w:spacing w:before="100"/>
      </w:pPr>
      <w:r>
        <w:rPr>
          <w:rFonts w:ascii="Times" w:hAnsi="Times" w:cs="Times"/>
          <w:sz w:val="24"/>
          <w:sz-cs w:val="24"/>
          <w:b/>
          <w:color w:val="000000"/>
        </w:rPr>
        <w:t xml:space="preserve">Main files</w:t>
      </w:r>
    </w:p>
    <w:p>
      <w:pPr>
        <w:ind w:left="720" w:first-line="-720"/>
      </w:pPr>
      <w:r>
        <w:rPr>
          <w:rFonts w:ascii="Courier New" w:hAnsi="Courier New" w:cs="Courier New"/>
          <w:sz w:val="24"/>
          <w:sz-cs w:val="24"/>
          <w:b/>
        </w:rPr>
        <w:t xml:space="preserve"/>
        <w:tab/>
        <w:t xml:space="preserve">•</w:t>
        <w:tab/>
        <w:t xml:space="preserve">execute_base_model.m </w:t>
      </w:r>
    </w:p>
    <w:p>
      <w:pPr>
        <w:ind w:left="1440" w:first-line="-1440"/>
      </w:pPr>
      <w:r>
        <w:rPr>
          <w:rFonts w:ascii="Times" w:hAnsi="Times" w:cs="Times"/>
          <w:sz w:val="24"/>
          <w:sz-cs w:val="24"/>
        </w:rPr>
        <w:t xml:space="preserve"/>
        <w:tab/>
        <w:t xml:space="preserve">•</w:t>
        <w:tab/>
        <w:t xml:space="preserve">replicates results in Figure 1. </w:t>
      </w:r>
    </w:p>
    <w:p>
      <w:pPr>
        <w:ind w:left="1440" w:first-line="-1440"/>
      </w:pPr>
      <w:r>
        <w:rPr>
          <w:rFonts w:ascii="Times" w:hAnsi="Times" w:cs="Times"/>
          <w:sz w:val="24"/>
          <w:sz-cs w:val="24"/>
        </w:rPr>
        <w:t xml:space="preserve"/>
        <w:tab/>
        <w:t xml:space="preserve">•</w:t>
        <w:tab/>
        <w:t xml:space="preserve">calls</w:t>
      </w:r>
    </w:p>
    <w:p>
      <w:pPr>
        <w:ind w:left="2160" w:first-line="-2160"/>
      </w:pPr>
      <w:r>
        <w:rPr>
          <w:rFonts w:ascii="Courier New" w:hAnsi="Courier New" w:cs="Courier New"/>
          <w:sz w:val="24"/>
          <w:sz-cs w:val="24"/>
        </w:rPr>
        <w:t xml:space="preserve"/>
        <w:tab/>
        <w:t xml:space="preserve">•</w:t>
        <w:tab/>
        <w:t xml:space="preserve">model_4nk.mod</w:t>
      </w:r>
      <w:r>
        <w:rPr>
          <w:rFonts w:ascii="Times" w:hAnsi="Times" w:cs="Times"/>
          <w:sz w:val="24"/>
          <w:sz-cs w:val="24"/>
        </w:rPr>
        <w:t xml:space="preserve">: the baseline 4 equation model in Section 2 with a Taylor rule for the policy rate and AR(1) process for QE</w:t>
      </w:r>
    </w:p>
    <w:p>
      <w:pPr>
        <w:ind w:left="2160" w:first-line="-2160"/>
      </w:pPr>
      <w:r>
        <w:rPr>
          <w:rFonts w:ascii="Courier New" w:hAnsi="Courier New" w:cs="Courier New"/>
          <w:sz w:val="24"/>
          <w:sz-cs w:val="24"/>
        </w:rPr>
        <w:t xml:space="preserve"/>
        <w:tab/>
        <w:t xml:space="preserve">•</w:t>
        <w:tab/>
        <w:t xml:space="preserve">model_3nk.mod</w:t>
      </w:r>
      <w:r>
        <w:rPr>
          <w:rFonts w:ascii="Times" w:hAnsi="Times" w:cs="Times"/>
          <w:sz w:val="24"/>
          <w:sz-cs w:val="24"/>
        </w:rPr>
        <w:t xml:space="preserve">: the baseline 3 equation model with Taylor rule for the policy rate</w:t>
      </w:r>
    </w:p>
    <w:p>
      <w:pPr>
        <w:ind w:left="720" w:first-line="-720"/>
      </w:pPr>
      <w:r>
        <w:rPr>
          <w:rFonts w:ascii="Times" w:hAnsi="Times" w:cs="Times"/>
          <w:sz w:val="24"/>
          <w:sz-cs w:val="24"/>
          <w:b/>
        </w:rPr>
        <w:t xml:space="preserve"/>
        <w:tab/>
        <w:t xml:space="preserve">•</w:t>
        <w:tab/>
        <w:t xml:space="preserve">execute_base_model_yield.m </w:t>
      </w:r>
    </w:p>
    <w:p>
      <w:pPr>
        <w:ind w:left="1440" w:first-line="-1440"/>
      </w:pPr>
      <w:r>
        <w:rPr>
          <w:rFonts w:ascii="Times" w:hAnsi="Times" w:cs="Times"/>
          <w:sz w:val="24"/>
          <w:sz-cs w:val="24"/>
        </w:rPr>
        <w:t xml:space="preserve"/>
        <w:tab/>
        <w:t xml:space="preserve">•</w:t>
        <w:tab/>
        <w:t xml:space="preserve">replicates results in Figure 2.</w:t>
      </w:r>
    </w:p>
    <w:p>
      <w:pPr>
        <w:ind w:left="1440" w:first-line="-1440"/>
      </w:pPr>
      <w:r>
        <w:rPr>
          <w:rFonts w:ascii="Times" w:hAnsi="Times" w:cs="Times"/>
          <w:sz w:val="24"/>
          <w:sz-cs w:val="24"/>
        </w:rPr>
        <w:t xml:space="preserve"/>
        <w:tab/>
        <w:t xml:space="preserve">•</w:t>
        <w:tab/>
        <w:t xml:space="preserve">calls </w:t>
      </w:r>
    </w:p>
    <w:p>
      <w:pPr>
        <w:ind w:left="2160" w:first-line="-2160"/>
      </w:pPr>
      <w:r>
        <w:rPr>
          <w:rFonts w:ascii="Courier New" w:hAnsi="Courier New" w:cs="Courier New"/>
          <w:sz w:val="24"/>
          <w:sz-cs w:val="24"/>
        </w:rPr>
        <w:t xml:space="preserve"/>
        <w:tab/>
        <w:t xml:space="preserve">•</w:t>
        <w:tab/>
        <w:t xml:space="preserve">model_4nk_yield.mod</w:t>
      </w:r>
      <w:r>
        <w:rPr>
          <w:rFonts w:ascii="Times" w:hAnsi="Times" w:cs="Times"/>
          <w:sz w:val="24"/>
          <w:sz-cs w:val="24"/>
        </w:rPr>
        <w:t xml:space="preserve">: the 4 equation model written in terms of the excess return.</w:t>
      </w:r>
    </w:p>
    <w:p>
      <w:pPr>
        <w:ind w:left="720" w:first-line="-720"/>
      </w:pPr>
      <w:r>
        <w:rPr>
          <w:rFonts w:ascii="Times" w:hAnsi="Times" w:cs="Times"/>
          <w:sz w:val="24"/>
          <w:sz-cs w:val="24"/>
          <w:b/>
        </w:rPr>
        <w:t xml:space="preserve"/>
        <w:tab/>
        <w:t xml:space="preserve">•</w:t>
        <w:tab/>
        <w:t xml:space="preserve">execute_zlb.m </w:t>
      </w:r>
    </w:p>
    <w:p>
      <w:pPr>
        <w:ind w:left="1440" w:first-line="-1440"/>
      </w:pPr>
      <w:r>
        <w:rPr>
          <w:rFonts w:ascii="Times" w:hAnsi="Times" w:cs="Times"/>
          <w:sz w:val="24"/>
          <w:sz-cs w:val="24"/>
        </w:rPr>
        <w:t xml:space="preserve"/>
        <w:tab/>
        <w:t xml:space="preserve">•</w:t>
        <w:tab/>
        <w:t xml:space="preserve">replicates results in Figure 3.</w:t>
      </w:r>
    </w:p>
    <w:p>
      <w:pPr>
        <w:ind w:left="720" w:first-line="-720"/>
      </w:pPr>
      <w:r>
        <w:rPr>
          <w:rFonts w:ascii="Times" w:hAnsi="Times" w:cs="Times"/>
          <w:sz w:val="24"/>
          <w:sz-cs w:val="24"/>
          <w:b/>
        </w:rPr>
        <w:t xml:space="preserve"/>
        <w:tab/>
        <w:t xml:space="preserve">•</w:t>
        <w:tab/>
        <w:t xml:space="preserve">execute_noqe.m </w:t>
      </w:r>
    </w:p>
    <w:p>
      <w:pPr>
        <w:ind w:left="1440" w:first-line="-1440"/>
      </w:pPr>
      <w:r>
        <w:rPr>
          <w:rFonts w:ascii="Times" w:hAnsi="Times" w:cs="Times"/>
          <w:sz w:val="24"/>
          <w:sz-cs w:val="24"/>
        </w:rPr>
        <w:t xml:space="preserve"/>
        <w:tab/>
        <w:t xml:space="preserve">•</w:t>
        <w:tab/>
        <w:t xml:space="preserve">replicates results in Figure 4. </w:t>
      </w:r>
    </w:p>
    <w:p>
      <w:pPr>
        <w:ind w:left="720" w:first-line="-720"/>
      </w:pPr>
      <w:r>
        <w:rPr>
          <w:rFonts w:ascii="Times" w:hAnsi="Times" w:cs="Times"/>
          <w:sz w:val="24"/>
          <w:sz-cs w:val="24"/>
          <w:b/>
        </w:rPr>
        <w:t xml:space="preserve"/>
        <w:tab/>
        <w:t xml:space="preserve">•</w:t>
        <w:tab/>
        <w:t xml:space="preserve">execute_determinacy_lampi.m </w:t>
      </w:r>
    </w:p>
    <w:p>
      <w:pPr>
        <w:ind w:left="1440" w:first-line="-1440"/>
      </w:pPr>
      <w:r>
        <w:rPr>
          <w:rFonts w:ascii="Times" w:hAnsi="Times" w:cs="Times"/>
          <w:sz w:val="24"/>
          <w:sz-cs w:val="24"/>
        </w:rPr>
        <w:t xml:space="preserve"/>
        <w:tab/>
        <w:t xml:space="preserve">•</w:t>
        <w:tab/>
        <w:t xml:space="preserve">replicates results Figure 5, panel (a).</w:t>
      </w:r>
    </w:p>
    <w:p>
      <w:pPr>
        <w:ind w:left="720" w:first-line="-720"/>
      </w:pPr>
      <w:r>
        <w:rPr>
          <w:rFonts w:ascii="Times" w:hAnsi="Times" w:cs="Times"/>
          <w:sz w:val="24"/>
          <w:sz-cs w:val="24"/>
          <w:b/>
        </w:rPr>
        <w:t xml:space="preserve"/>
        <w:tab/>
        <w:t xml:space="preserve">•</w:t>
        <w:tab/>
        <w:t xml:space="preserve">execute_determinacy_lamx.m </w:t>
      </w:r>
    </w:p>
    <w:p>
      <w:pPr>
        <w:ind w:left="1440" w:first-line="-1440"/>
      </w:pPr>
      <w:r>
        <w:rPr>
          <w:rFonts w:ascii="Times" w:hAnsi="Times" w:cs="Times"/>
          <w:sz w:val="24"/>
          <w:sz-cs w:val="24"/>
        </w:rPr>
        <w:t xml:space="preserve"/>
        <w:tab/>
        <w:t xml:space="preserve">•</w:t>
        <w:tab/>
        <w:t xml:space="preserve">replicates results Figure 5, panel (b).</w:t>
      </w:r>
    </w:p>
    <w:p>
      <w:pPr>
        <w:ind w:left="720" w:first-line="-720"/>
      </w:pPr>
      <w:r>
        <w:rPr>
          <w:rFonts w:ascii="Times" w:hAnsi="Times" w:cs="Times"/>
          <w:sz w:val="24"/>
          <w:sz-cs w:val="24"/>
          <w:b/>
        </w:rPr>
        <w:t xml:space="preserve"/>
        <w:tab/>
        <w:t xml:space="preserve">•</w:t>
        <w:tab/>
        <w:t xml:space="preserve">execute_implementable.m </w:t>
      </w:r>
    </w:p>
    <w:p>
      <w:pPr>
        <w:ind w:left="1440" w:first-line="-1440"/>
      </w:pPr>
      <w:r>
        <w:rPr>
          <w:rFonts w:ascii="Times" w:hAnsi="Times" w:cs="Times"/>
          <w:sz w:val="24"/>
          <w:sz-cs w:val="24"/>
        </w:rPr>
        <w:t xml:space="preserve"/>
        <w:tab/>
        <w:t xml:space="preserve">•</w:t>
        <w:tab/>
        <w:t xml:space="preserve">replicates results Figures 6, panels (a)-(b).</w:t>
      </w:r>
    </w:p>
    <w:p>
      <w:pPr>
        <w:ind w:left="1440" w:first-line="-1440"/>
      </w:pPr>
      <w:r>
        <w:rPr>
          <w:rFonts w:ascii="Times" w:hAnsi="Times" w:cs="Times"/>
          <w:sz w:val="24"/>
          <w:sz-cs w:val="24"/>
        </w:rPr>
        <w:t xml:space="preserve"/>
        <w:tab/>
        <w:t xml:space="preserve">•</w:t>
        <w:tab/>
        <w:t xml:space="preserve">calls</w:t>
      </w:r>
    </w:p>
    <w:p>
      <w:pPr>
        <w:ind w:left="2160" w:first-line="-2160"/>
      </w:pPr>
      <w:r>
        <w:rPr>
          <w:rFonts w:ascii="Courier New" w:hAnsi="Courier New" w:cs="Courier New"/>
          <w:sz w:val="24"/>
          <w:sz-cs w:val="24"/>
        </w:rPr>
        <w:t xml:space="preserve"/>
        <w:tab/>
        <w:t xml:space="preserve">•</w:t>
        <w:tab/>
        <w:t xml:space="preserve">model_implement.mod</w:t>
      </w:r>
      <w:r>
        <w:rPr>
          <w:rFonts w:ascii="Times" w:hAnsi="Times" w:cs="Times"/>
          <w:sz w:val="24"/>
          <w:sz-cs w:val="24"/>
        </w:rPr>
        <w:t xml:space="preserve">: the implementable rule with Taylor rules for both the policy rate and QE.</w:t>
      </w:r>
    </w:p>
    <w:p>
      <w:pPr>
        <w:ind w:left="2160" w:first-line="-2160"/>
      </w:pPr>
      <w:r>
        <w:rPr>
          <w:rFonts w:ascii="Courier New" w:hAnsi="Courier New" w:cs="Courier New"/>
          <w:sz w:val="24"/>
          <w:sz-cs w:val="24"/>
        </w:rPr>
        <w:t xml:space="preserve"/>
        <w:tab/>
        <w:t xml:space="preserve">•</w:t>
        <w:tab/>
        <w:t xml:space="preserve">model_optimal.mod</w:t>
      </w:r>
      <w:r>
        <w:rPr>
          <w:rFonts w:ascii="Times" w:hAnsi="Times" w:cs="Times"/>
          <w:sz w:val="24"/>
          <w:sz-cs w:val="24"/>
        </w:rPr>
        <w:t xml:space="preserve">: the optimal policy as described in Proposition 1.</w:t>
      </w:r>
    </w:p>
    <w:p>
      <w:pPr>
        <w:ind w:left="720" w:first-line="-720"/>
      </w:pPr>
      <w:r>
        <w:rPr>
          <w:rFonts w:ascii="Times" w:hAnsi="Times" w:cs="Times"/>
          <w:sz w:val="24"/>
          <w:sz-cs w:val="24"/>
          <w:b/>
        </w:rPr>
        <w:t xml:space="preserve"/>
        <w:tab/>
        <w:t xml:space="preserve">•</w:t>
        <w:tab/>
        <w:t xml:space="preserve">execute_implementable_zlb.m </w:t>
      </w:r>
    </w:p>
    <w:p>
      <w:pPr>
        <w:ind w:left="1440" w:first-line="-1440"/>
      </w:pPr>
      <w:r>
        <w:rPr>
          <w:rFonts w:ascii="Times" w:hAnsi="Times" w:cs="Times"/>
          <w:sz w:val="24"/>
          <w:sz-cs w:val="24"/>
        </w:rPr>
        <w:t xml:space="preserve"/>
        <w:tab/>
        <w:t xml:space="preserve">•</w:t>
        <w:tab/>
        <w:t xml:space="preserve">replicates results Figures 6, panels (c)-(d). </w:t>
      </w:r>
    </w:p>
    <w:p>
      <w:pPr>
        <w:ind w:left="1440" w:first-line="-1440"/>
      </w:pPr>
      <w:r>
        <w:rPr>
          <w:rFonts w:ascii="Times" w:hAnsi="Times" w:cs="Times"/>
          <w:sz w:val="24"/>
          <w:sz-cs w:val="24"/>
        </w:rPr>
        <w:t xml:space="preserve"/>
        <w:tab/>
        <w:t xml:space="preserve">•</w:t>
        <w:tab/>
        <w:t xml:space="preserve">In line 8, nr = 1 gives panel (c), and nr = 0 gives panel (d).</w:t>
      </w:r>
    </w:p>
    <w:p>
      <w:pPr>
        <w:ind w:left="1440" w:first-line="-1440"/>
      </w:pPr>
      <w:r>
        <w:rPr>
          <w:rFonts w:ascii="Times" w:hAnsi="Times" w:cs="Times"/>
          <w:sz w:val="24"/>
          <w:sz-cs w:val="24"/>
        </w:rPr>
        <w:t xml:space="preserve"/>
        <w:tab/>
        <w:t xml:space="preserve">•</w:t>
        <w:tab/>
        <w:t xml:space="preserve">calls</w:t>
      </w:r>
    </w:p>
    <w:p>
      <w:pPr>
        <w:ind w:left="2160" w:first-line="-2160"/>
      </w:pPr>
      <w:r>
        <w:rPr>
          <w:rFonts w:ascii="Courier New" w:hAnsi="Courier New" w:cs="Courier New"/>
          <w:sz w:val="24"/>
          <w:sz-cs w:val="24"/>
        </w:rPr>
        <w:t xml:space="preserve"/>
        <w:tab/>
        <w:t xml:space="preserve">•</w:t>
        <w:tab/>
        <w:t xml:space="preserve">model_implement1.mod</w:t>
      </w:r>
      <w:r>
        <w:rPr>
          <w:rFonts w:ascii="Times" w:hAnsi="Times" w:cs="Times"/>
          <w:sz w:val="24"/>
          <w:sz-cs w:val="24"/>
        </w:rPr>
        <w:t xml:space="preserve">: the implementable rule written slightly differently for occbin to solve the ZLB.</w:t>
      </w:r>
    </w:p>
    <w:p>
      <w:pPr>
        <w:ind w:left="2160" w:first-line="-2160"/>
      </w:pPr>
      <w:r>
        <w:rPr>
          <w:rFonts w:ascii="Courier New" w:hAnsi="Courier New" w:cs="Courier New"/>
          <w:sz w:val="24"/>
          <w:sz-cs w:val="24"/>
        </w:rPr>
        <w:t xml:space="preserve"/>
        <w:tab/>
        <w:t xml:space="preserve">•</w:t>
        <w:tab/>
        <w:t xml:space="preserve">model_implement_zlb.mod</w:t>
      </w:r>
      <w:r>
        <w:rPr>
          <w:rFonts w:ascii="Times" w:hAnsi="Times" w:cs="Times"/>
          <w:sz w:val="24"/>
          <w:sz-cs w:val="24"/>
        </w:rPr>
        <w:t xml:space="preserve">: the implementable rule at the ZLB.</w:t>
      </w:r>
      <w:r>
        <w:rPr>
          <w:rFonts w:ascii="Courier New" w:hAnsi="Courier New" w:cs="Courier New"/>
          <w:sz w:val="24"/>
          <w:sz-cs w:val="24"/>
        </w:rPr>
        <w:t xml:space="preserve"> </w:t>
      </w:r>
    </w:p>
    <w:p>
      <w:pPr>
        <w:ind w:left="2160"/>
      </w:pPr>
      <w:r>
        <w:rPr>
          <w:rFonts w:ascii="Courier New" w:hAnsi="Courier New" w:cs="Courier New"/>
          <w:sz w:val="24"/>
          <w:sz-cs w:val="24"/>
        </w:rPr>
        <w:t xml:space="preserve"/>
      </w:r>
    </w:p>
    <w:p>
      <w:pPr>
        <w:spacing w:before="100"/>
      </w:pPr>
      <w:r>
        <w:rPr>
          <w:rFonts w:ascii="Times" w:hAnsi="Times" w:cs="Times"/>
          <w:sz w:val="24"/>
          <w:sz-cs w:val="24"/>
          <w:b/>
          <w:color w:val="000000"/>
        </w:rPr>
        <w:t xml:space="preserve">Folders</w:t>
      </w:r>
    </w:p>
    <w:p>
      <w:pPr>
        <w:ind w:left="720" w:first-line="-720"/>
      </w:pPr>
      <w:r>
        <w:rPr>
          <w:rFonts w:ascii="Times" w:hAnsi="Times" w:cs="Times"/>
          <w:sz w:val="24"/>
          <w:sz-cs w:val="24"/>
        </w:rPr>
        <w:t xml:space="preserve"/>
        <w:tab/>
        <w:t xml:space="preserve">•</w:t>
        <w:tab/>
        <w:t xml:space="preserve">models</w:t>
      </w:r>
    </w:p>
    <w:p>
      <w:pPr>
        <w:ind w:left="1440" w:first-line="-1440"/>
      </w:pPr>
      <w:r>
        <w:rPr>
          <w:rFonts w:ascii="Times" w:hAnsi="Times" w:cs="Times"/>
          <w:sz w:val="24"/>
          <w:sz-cs w:val="24"/>
        </w:rPr>
        <w:t xml:space="preserve"/>
        <w:tab/>
        <w:t xml:space="preserve">•</w:t>
        <w:tab/>
        <w:t xml:space="preserve">Dynare .mod files </w:t>
      </w:r>
    </w:p>
    <w:p>
      <w:pPr>
        <w:ind w:left="720" w:first-line="-720"/>
      </w:pPr>
      <w:r>
        <w:rPr>
          <w:rFonts w:ascii="Times" w:hAnsi="Times" w:cs="Times"/>
          <w:sz w:val="24"/>
          <w:sz-cs w:val="24"/>
        </w:rPr>
        <w:t xml:space="preserve"/>
        <w:tab/>
        <w:t xml:space="preserve">•</w:t>
        <w:tab/>
        <w:t xml:space="preserve">occbin_20140630</w:t>
      </w:r>
    </w:p>
    <w:p>
      <w:pPr>
        <w:ind w:left="1440" w:first-line="-1440"/>
      </w:pPr>
      <w:r>
        <w:rPr>
          <w:rFonts w:ascii="Times" w:hAnsi="Times" w:cs="Times"/>
          <w:sz w:val="24"/>
          <w:sz-cs w:val="24"/>
        </w:rPr>
        <w:t xml:space="preserve"/>
        <w:tab/>
        <w:t xml:space="preserve">•</w:t>
        <w:tab/>
        <w:t xml:space="preserve">occbin toolkit of Guerrieri and Iacoviello (2015).</w:t>
      </w:r>
    </w:p>
    <w:p>
      <w:pPr/>
      <w:r>
        <w:rPr>
          <w:rFonts w:ascii="Times" w:hAnsi="Times" w:cs="Times"/>
          <w:sz w:val="24"/>
          <w:sz-cs w:val="24"/>
        </w:rPr>
        <w:t xml:space="preserve"/>
      </w:r>
    </w:p>
    <w:p>
      <w:pPr/>
      <w:r>
        <w:rPr>
          <w:rFonts w:ascii="Times" w:hAnsi="Times" w:cs="Times"/>
          <w:sz w:val="24"/>
          <w:sz-cs w:val="24"/>
          <w:b/>
        </w:rPr>
        <w:t xml:space="preserve">Dynare versions</w:t>
      </w:r>
    </w:p>
    <w:p>
      <w:pPr>
        <w:ind w:left="720" w:first-line="-720"/>
      </w:pPr>
      <w:r>
        <w:rPr>
          <w:rFonts w:ascii="Times" w:hAnsi="Times" w:cs="Times"/>
          <w:sz w:val="24"/>
          <w:sz-cs w:val="24"/>
          <w:b/>
        </w:rPr>
        <w:t xml:space="preserve"/>
        <w:tab/>
        <w:t xml:space="preserve">•</w:t>
        <w:tab/>
        <w:t xml:space="preserve">Dynare 4.5.6</w:t>
      </w:r>
      <w:r>
        <w:rPr>
          <w:rFonts w:ascii="Times" w:hAnsi="Times" w:cs="Times"/>
          <w:sz w:val="24"/>
          <w:sz-cs w:val="24"/>
        </w:rPr>
        <w:t xml:space="preserve">: The code is developed and tested with Dynare 4.5.6.</w:t>
      </w:r>
    </w:p>
    <w:p>
      <w:pPr>
        <w:ind w:left="720" w:first-line="-720"/>
      </w:pPr>
      <w:r>
        <w:rPr>
          <w:rFonts w:ascii="Times" w:hAnsi="Times" w:cs="Times"/>
          <w:sz w:val="24"/>
          <w:sz-cs w:val="24"/>
          <w:b/>
        </w:rPr>
        <w:t xml:space="preserve"/>
        <w:tab/>
        <w:t xml:space="preserve">•</w:t>
        <w:tab/>
        <w:t xml:space="preserve">Dynare 6.2</w:t>
      </w:r>
      <w:r>
        <w:rPr>
          <w:rFonts w:ascii="Times" w:hAnsi="Times" w:cs="Times"/>
          <w:sz w:val="24"/>
          <w:sz-cs w:val="24"/>
        </w:rPr>
        <w:t xml:space="preserve">: Syntax has changed in Dynare 6.2. For an example of how to modify codes from Dynare 4.5.6 to 6.2, see “execute_base_model_Dynare62”.</w:t>
      </w:r>
    </w:p>
    <w:p>
      <w:pPr>
        <w:ind w:left="720" w:first-line="-720"/>
      </w:pPr>
      <w:r>
        <w:rPr>
          <w:rFonts w:ascii="Times" w:hAnsi="Times" w:cs="Times"/>
          <w:sz w:val="24"/>
          <w:sz-cs w:val="24"/>
          <w:b/>
        </w:rPr>
        <w:t xml:space="preserve"/>
        <w:tab/>
        <w:t xml:space="preserve">•</w:t>
        <w:tab/>
        <w:t xml:space="preserve">Occbin</w:t>
      </w:r>
      <w:r>
        <w:rPr>
          <w:rFonts w:ascii="Times" w:hAnsi="Times" w:cs="Times"/>
          <w:sz w:val="24"/>
          <w:sz-cs w:val="24"/>
        </w:rPr>
        <w:t xml:space="preserve">: The version of occbin toolbox is not compatible with later versions of Dynare.</w:t>
      </w:r>
    </w:p>
    <w:p>
      <w:pPr>
        <w:ind w:left="720" w:first-line="-720"/>
      </w:pPr>
      <w:r>
        <w:rPr>
          <w:rFonts w:ascii="Times" w:hAnsi="Times" w:cs="Times"/>
          <w:sz w:val="24"/>
          <w:sz-cs w:val="24"/>
        </w:rPr>
        <w:t xml:space="preserve"/>
        <w:tab/>
        <w:t xml:space="preserve">•</w:t>
        <w:tab/>
        <w:t xml:space="preserve">If the code doesn’t work with your current version of Dynare, and you prefer not to make modifications to the code, please download Dynare 4.5.6. After downloading, you need to restart Matlab for it to work properly.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CocoaOOXMLWriter/2575.3</generator>
</meta>
</file>