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Amador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de Oliveira</w:t>
      </w:r>
    </w:p>
    <w:p w:rsidR="00000000" w:rsidDel="00000000" w:rsidP="00000000" w:rsidRDefault="00000000" w:rsidRPr="00000000" w14:paraId="0000000B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Souza</w:t>
      </w:r>
    </w:p>
    <w:p w:rsidR="00000000" w:rsidDel="00000000" w:rsidP="00000000" w:rsidRDefault="00000000" w:rsidRPr="00000000" w14:paraId="0000000C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OdontoFast</w:t>
      </w:r>
    </w:p>
    <w:p w:rsidR="00000000" w:rsidDel="00000000" w:rsidP="00000000" w:rsidRDefault="00000000" w:rsidRPr="00000000" w14:paraId="0000001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24">
      <w:pPr>
        <w:widowControl w:val="1"/>
        <w:spacing w:line="360" w:lineRule="auto"/>
        <w:jc w:val="center"/>
        <w:rPr>
          <w:b w:val="1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1134" w:footer="709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Outubro/2024</w:t>
      </w:r>
    </w:p>
    <w:p w:rsidR="00000000" w:rsidDel="00000000" w:rsidP="00000000" w:rsidRDefault="00000000" w:rsidRPr="00000000" w14:paraId="00000025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Amador</w:t>
      </w:r>
    </w:p>
    <w:p w:rsidR="00000000" w:rsidDel="00000000" w:rsidP="00000000" w:rsidRDefault="00000000" w:rsidRPr="00000000" w14:paraId="00000026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de Oliveira</w:t>
      </w:r>
    </w:p>
    <w:p w:rsidR="00000000" w:rsidDel="00000000" w:rsidP="00000000" w:rsidRDefault="00000000" w:rsidRPr="00000000" w14:paraId="00000027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Souza</w:t>
      </w:r>
    </w:p>
    <w:p w:rsidR="00000000" w:rsidDel="00000000" w:rsidP="00000000" w:rsidRDefault="00000000" w:rsidRPr="00000000" w14:paraId="00000028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tabs>
          <w:tab w:val="left" w:leader="none" w:pos="3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tabs>
          <w:tab w:val="left" w:leader="none" w:pos="3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tabs>
          <w:tab w:val="left" w:leader="none" w:pos="3225"/>
        </w:tabs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de Acompanhamento para Incentivo ao Tratamento Preventivo</w:t>
      </w:r>
    </w:p>
    <w:p w:rsidR="00000000" w:rsidDel="00000000" w:rsidP="00000000" w:rsidRDefault="00000000" w:rsidRPr="00000000" w14:paraId="0000002E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ind w:left="4536" w:firstLine="0"/>
        <w:jc w:val="both"/>
        <w:rPr/>
      </w:pPr>
      <w:r w:rsidDel="00000000" w:rsidR="00000000" w:rsidRPr="00000000">
        <w:rPr>
          <w:rtl w:val="0"/>
        </w:rPr>
        <w:t xml:space="preserve">Atividade apresentada como exigência parcial para conclusão do Curso de Tecnologia em Análise e Desenvolvimento de Sistemas da Faculdade de Informática e Administração Paulista, na disciplina de </w:t>
      </w:r>
      <w:r w:rsidDel="00000000" w:rsidR="00000000" w:rsidRPr="00000000">
        <w:rPr>
          <w:i w:val="1"/>
          <w:rtl w:val="0"/>
        </w:rPr>
        <w:t xml:space="preserve">Devops Tools &amp; Cloud Computing</w:t>
      </w:r>
      <w:r w:rsidDel="00000000" w:rsidR="00000000" w:rsidRPr="00000000">
        <w:rPr>
          <w:rtl w:val="0"/>
        </w:rPr>
        <w:t xml:space="preserve"> sob a orientação do Prof. Thiago Rodrigues da Rocha</w:t>
      </w:r>
    </w:p>
    <w:p w:rsidR="00000000" w:rsidDel="00000000" w:rsidP="00000000" w:rsidRDefault="00000000" w:rsidRPr="00000000" w14:paraId="00000037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center"/>
        <w:rPr>
          <w:b w:val="1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b w:val="1"/>
          <w:rtl w:val="0"/>
        </w:rPr>
        <w:t xml:space="preserve">Outubro/2024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-698499</wp:posOffset>
                </wp:positionV>
                <wp:extent cx="666750" cy="371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7388" y="3599025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-698499</wp:posOffset>
                </wp:positionV>
                <wp:extent cx="666750" cy="3714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Utilizando o conhecimento adquirido em DevOps, é esperado o grupo inserir uma solução ou parte dela (MVP) da “Nome do Projeto/Solução” em uma típica esteira contínua DevOps (Pipeline), permitindo realizar Deploy de forma mais rápida e com menos custo operacional, melhorando significativamente a qualidade das aplicações.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As turmas do segundo ano de Análise e Desenvolvimento de Sistemas do presencial de agosto, terão como desafio proposto pela empresa parceira “NOME DO PROJETO/SOLUÇÃO”: Desenvolver um sistema para automatizar o processo de cotação de compras.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 apenas fizer um sistema para automatizar o processo de requisição de compras, você poderá concorrer a nota 10 nas entregas das Sprints em todas as matérias, porém para conseguir ficar entre os 6 grupos que irão apresentar o produto final no NEXT em outubro/novembro de 2024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both"/>
        <w:rPr/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  <w:t xml:space="preserve">Palavra-Chave: DevOps, Deploy, Compras, Software, Cotação, Automação, IA.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Fluxograma das Etapas do desenvolvimento do trabalho.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2 - Atividade – Comprador.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3 - Azure Devops Pipeline.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widowControl w:val="1"/>
        <w:rPr>
          <w:b w:val="1"/>
          <w:smallCaps w:val="1"/>
        </w:rPr>
        <w:sectPr>
          <w:headerReference r:id="rId9" w:type="first"/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Recursos-Chave da Pipeline.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2 - Relações de um para muitos.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3 - Relações de muitos para muitos.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widowControl w:val="1"/>
        <w:rPr/>
        <w:sectPr>
          <w:type w:val="continuous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Uma breve descrição de sua solução: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Objetivo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Método Adotado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Proposta de Valor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Clientes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Segmento de clientes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</w:t>
              <w:tab/>
              <w:t xml:space="preserve">Descrição das etapas e recursos de implantação do modelo de negócios / Produto / Serviço.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O desenho da Pipeline de integração contínua e entrega contínua (CI/CD) com foco na solução definida pelo seu grupo. Inclua o detalhamento de cada etapa criada (dissertação):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Disponibilidade de Recursos-chaves da Pipeline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Configuração do pipeline definido na ferramenta Azure DevOps: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Uma gravação de um vídeo mostrando: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Código-Fonte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Banco de Dados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Considerações Finais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701" w:left="1701" w:right="1134" w:header="1134" w:footer="709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breve descrição de sua solução: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Fonte: Copilot (Set, 2024).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Capacitar os pacientes a adotarem hábitos e tratamentos preventivos, utilizando técnicas, ferramentas, metodologias e boas práticas da área de saúde bucal. Através de um aplicativo móvel e um website administrativo, a solução visa monitorar tratamentos e consultas, registrar cuidados diários e gerar incentivos para manter a rotina, além de proporcionar uma parceria com uma empresa de prestígio como a Odontoprev.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Adotado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Desenvolver um aplicativo móvel para Android que incluirá um dashboard para o cliente, uma sessão de alertas (para armazenar notificações recebidas), uma área de agenda (para mostrar as consultas agendadas), uma área de ficha odontológica (para detalhar os tratamentos realizados) e um checklist para registrar pontos de cuidados diários.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aplicação web utilizando .NET e C# que servirá como painel administrativo para os dentistas, permitindo acesso a informações dos pacientes, como cadastro, tratamentos, agendamentos e hábitos.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banco de dados e Java com Spring para o backend, garantindo robustez e eficiência no processamento de dados.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Aplicar conceitos de QA (Quality Assurance) para assegurar a organização e agilidade no desenvolvimento e manutenção da solução.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uma API externa para troca de informações com outros sistemas, facilitando a integração e a interoperabilidade.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Adotar uma abordagem criativa e inovadora, buscando diferenciais que encantem os usuários e proporcionem uma experiência única e eficiente.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Valor</w:t>
      </w:r>
    </w:p>
    <w:p w:rsidR="00000000" w:rsidDel="00000000" w:rsidP="00000000" w:rsidRDefault="00000000" w:rsidRPr="00000000" w14:paraId="00000081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Imagine um sistema de gestão de saúde bucal que vai além de simplificar o monitoramento de tratamentos e consultas. Com a aplicação de tecnologias avançadas, nossa solução não apenas facilita o acompanhamento dos cuidados diários, mas também aprende continuamente com as interações dos usuários, evoluindo constantemente sua capacidade de entender e atender às necessidades específicas dos pacientes.</w:t>
      </w:r>
    </w:p>
    <w:p w:rsidR="00000000" w:rsidDel="00000000" w:rsidP="00000000" w:rsidRDefault="00000000" w:rsidRPr="00000000" w14:paraId="00000082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Além disso, o sistema captura e analisa uma quantidade significativa de dados de cada paciente, garantindo que a expertise e o conhecimento acumulados não se percam quando houver mudanças na equipe de atendimento. Isso significa que, mesmo durante férias ou mudanças de dentistas, a continuidade e a qualidade do serviço são mantidas, garantindo um fluxo de trabalho ininterrupto e eficiente.</w:t>
      </w:r>
    </w:p>
    <w:p w:rsidR="00000000" w:rsidDel="00000000" w:rsidP="00000000" w:rsidRDefault="00000000" w:rsidRPr="00000000" w14:paraId="00000084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Nosso compromisso vai além do básico. Queremos encantar nossos clientes oferecendo diferenciais que transcendem o esperado. Para isso, nossa solução não se limita ao ambiente interno da clínica. Desenvolvemos uma API externa que possibilita a integração perfeita com outros sistemas, permitindo uma troca de informações fluida e uma sincronização eficiente de dados em toda a infraestrutura tecnológica.</w:t>
      </w:r>
    </w:p>
    <w:p w:rsidR="00000000" w:rsidDel="00000000" w:rsidP="00000000" w:rsidRDefault="00000000" w:rsidRPr="00000000" w14:paraId="00000086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Em resumo, nossa proposta não é apenas simplificar, mas transformar a maneira como os pacientes lidam com sua saúde bucal. Com a combinação de tecnologias avançadas, aprendizado contínuo, garantia de continuidade e integração flexível, estamos prontos para revolucionar sua experiência de gestão de saúde bucal.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Fonte:</w:t>
      </w:r>
      <w:r w:rsidDel="00000000" w:rsidR="00000000" w:rsidRPr="00000000">
        <w:rPr>
          <w:color w:val="000000"/>
          <w:rtl w:val="0"/>
        </w:rPr>
        <w:t xml:space="preserve"> ChatGPT (Abr, 2024).</w:t>
      </w:r>
    </w:p>
    <w:p w:rsidR="00000000" w:rsidDel="00000000" w:rsidP="00000000" w:rsidRDefault="00000000" w:rsidRPr="00000000" w14:paraId="0000008A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potenciais para adquirir um software de automação de compras podem incluir: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Empresas de médio a grande porte em diversos setores industriais, que enfrentam volumes significativos de transações de compra e desejam otimizar seus processos para reduzir custos operacionais e aumentar a eficiência.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Empresas com cadeias de suprimentos complexas que lidam com uma ampla variedade de fornecedores e produtos, buscando uma solução centralizada para gerenciar todas as suas operações de compra de forma integrada.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Organizações que buscam melhorar a transparência e o controle sobre suas despesas, implementando um sistema automatizado que rastreia e registra todas as transações de compra, fornecendo insights valiosos para análise e tomada de decisão.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Empresas que valorizam a inovação e estão interessadas em adotar tecnologias avançadas, como Inteligência Artificial (IA) e machine learning, para aprimorar seus processos de compra e permanecerem competitivas no mercado.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Negócios que priorizam a escalabilidade e desejam investir em uma solução que possa crescer junto com suas operações, adaptando-se facilmente às mudanças e expansões futuras.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ChatGPT (Abr, 2024).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Segmento de clientes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segmentar esses clientes potenciais, é importante destacar os benefícios específicos que o software de automação de compras pode oferecer a cada tipo de organização, destacando como a solução pode resolver seus desafios únicos e agregar valor ao seu negócio.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rPr>
          <w:b w:val="1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das etapas e recursos de implantação do modelo de negócios / Produto / Serviço.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Pretende-se aplicar os passos de acordo com o fluxograma das etapas do desenvolvimento do trabalho, Figura 1: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1922" w:right="1922" w:hanging="192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Fluxograma das Etapas do desenvolvimento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42936" cy="261062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936" cy="26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Autor (Abr,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– Comprador.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39451" cy="2576637"/>
            <wp:effectExtent b="0" l="0" r="0" t="0"/>
            <wp:docPr descr="Uma imagem contendo Texto&#10;&#10;Descrição gerada automaticamente" id="4" name="image2.png"/>
            <a:graphic>
              <a:graphicData uri="http://schemas.openxmlformats.org/drawingml/2006/picture">
                <pic:pic>
                  <pic:nvPicPr>
                    <pic:cNvPr descr="Uma imagem contendo Texto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451" cy="257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Challenge FIAP (Abr, 2023).</w:t>
      </w:r>
    </w:p>
    <w:p w:rsidR="00000000" w:rsidDel="00000000" w:rsidP="00000000" w:rsidRDefault="00000000" w:rsidRPr="00000000" w14:paraId="000000A4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desenho da Pipeline de integração contínua e entrega contínua (CI/CD) com foco na solução definida pelo seu grupo. Inclua o detalhamento de cada etapa criada (dissertação):</w:t>
      </w:r>
    </w:p>
    <w:p w:rsidR="00000000" w:rsidDel="00000000" w:rsidP="00000000" w:rsidRDefault="00000000" w:rsidRPr="00000000" w14:paraId="000000A8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Azure Pipelines dá suporte à CI (integração contínua) e à CD (entrega contínua) para testar, compilar e implantar continuamente seu código. Para isso, é só definir um pipeline.</w:t>
      </w:r>
    </w:p>
    <w:p w:rsidR="00000000" w:rsidDel="00000000" w:rsidP="00000000" w:rsidRDefault="00000000" w:rsidRPr="00000000" w14:paraId="000000A9">
      <w:pPr>
        <w:spacing w:line="360" w:lineRule="auto"/>
        <w:ind w:firstLine="708"/>
        <w:jc w:val="both"/>
        <w:rPr>
          <w:b w:val="1"/>
          <w:color w:val="161616"/>
        </w:rPr>
      </w:pPr>
      <w:r w:rsidDel="00000000" w:rsidR="00000000" w:rsidRPr="00000000">
        <w:rPr>
          <w:color w:val="000000"/>
          <w:rtl w:val="0"/>
        </w:rPr>
        <w:t xml:space="preserve">A maneira mais recente de criar pipelines é com o </w:t>
      </w:r>
      <w:hyperlink r:id="rId12">
        <w:r w:rsidDel="00000000" w:rsidR="00000000" w:rsidRPr="00000000">
          <w:rPr>
            <w:color w:val="000000"/>
            <w:rtl w:val="0"/>
          </w:rPr>
          <w:t xml:space="preserve">editor de pipeline YAML</w:t>
        </w:r>
      </w:hyperlink>
      <w:r w:rsidDel="00000000" w:rsidR="00000000" w:rsidRPr="00000000">
        <w:rPr>
          <w:color w:val="000000"/>
          <w:rtl w:val="0"/>
        </w:rPr>
        <w:t xml:space="preserve">. Você também pode usar pipelines clássicos com o </w:t>
      </w:r>
      <w:hyperlink r:id="rId13">
        <w:r w:rsidDel="00000000" w:rsidR="00000000" w:rsidRPr="00000000">
          <w:rPr>
            <w:color w:val="000000"/>
            <w:rtl w:val="0"/>
          </w:rPr>
          <w:t xml:space="preserve">editor Classic</w:t>
        </w:r>
      </w:hyperlink>
      <w:r w:rsidDel="00000000" w:rsidR="00000000" w:rsidRPr="00000000">
        <w:rPr>
          <w:color w:val="000000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161616"/>
          <w:rtl w:val="0"/>
        </w:rPr>
        <w:t xml:space="preserve">Automatizar testes, builds e entrega</w:t>
      </w:r>
    </w:p>
    <w:p w:rsidR="00000000" w:rsidDel="00000000" w:rsidP="00000000" w:rsidRDefault="00000000" w:rsidRPr="00000000" w14:paraId="000000AA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integração contínua (CI) automatiza testes e builds do seu projeto. A CI ajuda a encontrar bugs ou problemas no início do ciclo de desenvolvimento, quando eles são mais fáceis e rápidos de corrigir. Itens conhecidos como artefatos são produzidos em sistemas de CI. Eles são usados pelos pipelines de lançamento de entrega contínua para conduzir implantações automáticas.</w:t>
      </w:r>
    </w:p>
    <w:p w:rsidR="00000000" w:rsidDel="00000000" w:rsidP="00000000" w:rsidRDefault="00000000" w:rsidRPr="00000000" w14:paraId="000000AB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entrega contínua implanta e testa automaticamente o código em várias fases para ajudar a aumentar a qualidade. Os sistemas de integração contínua produzem artefatos implantáveis, que incluem infraestrutura e aplicativos. Os pipelines de lançamento automatizados consomem esses artefatos para lançar novas versões e correções no destino de sua escolha.</w:t>
      </w:r>
    </w:p>
    <w:p w:rsidR="00000000" w:rsidDel="00000000" w:rsidP="00000000" w:rsidRDefault="00000000" w:rsidRPr="00000000" w14:paraId="000000AC">
      <w:pPr>
        <w:widowControl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Devops Pipeline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88934" cy="21822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934" cy="218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(Abr,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de Recursos-chaves da Pipeline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Determinados recursos de pipeline só estão disponíveis ao usar YAML ou ao definir pipelines de build ou lançamento com a interface Classic. A tabela a seguir indica quais recursos têm suporte e para quais tarefas e métodos.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Recursos-Chave da Pipeline.</w:t>
      </w:r>
    </w:p>
    <w:tbl>
      <w:tblPr>
        <w:tblStyle w:val="Table1"/>
        <w:tblW w:w="906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9"/>
        <w:gridCol w:w="597"/>
        <w:gridCol w:w="820"/>
        <w:gridCol w:w="808"/>
        <w:gridCol w:w="5527"/>
        <w:tblGridChange w:id="0">
          <w:tblGrid>
            <w:gridCol w:w="1309"/>
            <w:gridCol w:w="597"/>
            <w:gridCol w:w="820"/>
            <w:gridCol w:w="808"/>
            <w:gridCol w:w="5527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widowControl w:val="1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Recurso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YAML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Build clássico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Versão clássica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rPr>
                <w:b w:val="1"/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61616"/>
                <w:sz w:val="18"/>
                <w:szCs w:val="18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rPr>
                <w:color w:val="161616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Agentes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recurso necessário no qual o pipeline é executado.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rPr>
                <w:color w:val="161616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Aprovações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um conjunto de validações necessárias antes de concluir uma fase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rPr>
                <w:color w:val="161616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Artefatos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Dá suporte à publicação ou ao consumo de diferentes tipos de pacotes.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rPr>
                <w:color w:val="161616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Reduz o tempo de build permitindo que as saídas ou as dependências baixadas de uma execução sejam reutilizadas em execuções posteriores. Na versão prévia, está disponível somente com o Azure Pipelines.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rPr>
                <w:color w:val="161616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Condições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as condições a serem atendidas antes de executar um trabalho.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rPr>
                <w:color w:val="161616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 de contêiner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os trabalhos a serem executados em um contêiner.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rPr>
                <w:color w:val="161616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Demandas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Garante que os requisitos do pipeline sejam atendidos antes de executar uma fase do pipeline. Requer agentes auto-hospedados.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rPr>
                <w:color w:val="161616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Dependências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requisito que deve ser atendido para executar o próximo trabalho ou fase.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rPr>
                <w:color w:val="161616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um conjunto lógico de computadores de destino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rPr>
                <w:color w:val="161616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 do grupo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Especifica um trabalho a ser lançado para um grupo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rPr>
                <w:color w:val="161616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 de implantação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as etapas de implantação.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rPr>
                <w:color w:val="161616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Ambiente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Representa uma coleção de recursos que são alvos da implantação. Está disponível somente com o Azure Pipelines.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rPr>
                <w:color w:val="161616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Portões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Dá suporte à coleta e à avaliação automáticas de sinais de integridade externos antes de concluir uma fase de lançamento. Disponível somente com lançamento Classic.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rPr>
                <w:color w:val="161616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Trabalhos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a sequência de execução de um conjunto de etapas.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rPr>
                <w:color w:val="161616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Conexões de serviço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Habilita uma conexão com um serviço remoto que é necessário para executar as tarefas em um trabalho.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rPr>
                <w:color w:val="161616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Contêineres de serviço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Permite que você gerencie o ciclo de vida de um serviço em contêineres.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rPr>
                <w:color w:val="161616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Estágios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Organiza trabalhos em um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rPr>
                <w:color w:val="161616"/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tarefas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Encapsula uma sequência de tarefas em uma só tarefa reutilizável. Se estiver usando YAML, confira os modelos.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rPr>
                <w:color w:val="161616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Tarefas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os blocos de construção que compõem um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rPr>
                <w:color w:val="161616"/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 conteúdo, a lógica e os parâmetros reutilizáveis.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color w:val="161616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Gatilhos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Define o evento que faz com que um pipeline seja executado.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rPr>
                <w:color w:val="161616"/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Variáveis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Representa um valor a ser substituído pelos dados a serem passados para o pipeline.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rPr>
                <w:color w:val="161616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Grupos de variáveis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18"/>
                <w:szCs w:val="18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color w:val="161616"/>
                <w:sz w:val="18"/>
                <w:szCs w:val="18"/>
              </w:rPr>
            </w:pPr>
            <w:r w:rsidDel="00000000" w:rsidR="00000000" w:rsidRPr="00000000">
              <w:rPr>
                <w:color w:val="161616"/>
                <w:sz w:val="18"/>
                <w:szCs w:val="18"/>
                <w:rtl w:val="0"/>
              </w:rPr>
              <w:t xml:space="preserve">Use para armazenar valores que você deseja controlar e disponibilizar entre vários pipelines.</w:t>
            </w:r>
          </w:p>
        </w:tc>
      </w:tr>
    </w:tbl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3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sz w:val="20"/>
          <w:szCs w:val="20"/>
          <w:rtl w:val="0"/>
        </w:rPr>
        <w:t xml:space="preserve"> &gt; (Abr, 2024).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do pipeline definido na ferramenta Azure DevOps: </w:t>
      </w:r>
    </w:p>
    <w:p w:rsidR="00000000" w:rsidDel="00000000" w:rsidP="00000000" w:rsidRDefault="00000000" w:rsidRPr="00000000" w14:paraId="00000131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criar sua pipeline siga estas etapas básicas:</w:t>
      </w:r>
    </w:p>
    <w:p w:rsidR="00000000" w:rsidDel="00000000" w:rsidP="00000000" w:rsidRDefault="00000000" w:rsidRPr="00000000" w14:paraId="00000133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o Azure Pipelines para usar seu repositório Git.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 editor clássico do Azure Pipelines para criar e configurar seus pipelines de build e lançamento.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Efetue push do código para o repositório de controle de versão. Essa ação dispara seu pipeline e executa tarefas como criar ou testar código.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build cria um artefato usado pelo restante do pipeline para executar tarefas, como a implantação de preparo ou produção. Agora seu código está atualizado, compilado, testado e empacotado. Ele pode ser implantado em qualquer destino.</w:t>
      </w:r>
    </w:p>
    <w:p w:rsidR="00000000" w:rsidDel="00000000" w:rsidP="00000000" w:rsidRDefault="00000000" w:rsidRPr="00000000" w14:paraId="00000139">
      <w:pP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gravação de um vídeo mostrando: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funcionamento da solução, desde a entrada no Azure DevOps, executando a Pipeline (Conforme solicitado no Item 2).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Mostrando o funcionamento da solução até persistência de dados em Nuvem. Mostrar os dados persistidos no banco inclusive (Conforme sprints anteriores).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Insira o Link do seu vídeo aqui:</w:t>
      </w:r>
      <w:r w:rsidDel="00000000" w:rsidR="00000000" w:rsidRPr="00000000">
        <w:rPr>
          <w:color w:val="000000"/>
          <w:rtl w:val="0"/>
        </w:rPr>
        <w:t xml:space="preserve"> ______________________________________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Código-Fonte</w:t>
      </w:r>
    </w:p>
    <w:p w:rsidR="00000000" w:rsidDel="00000000" w:rsidP="00000000" w:rsidRDefault="00000000" w:rsidRPr="00000000" w14:paraId="00000141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Código fonte da aplicação no Github, código da Pipeline (e com tudo que é necessário para a execução) com um Read.me para realizar a execução da Pipeline e testes (o Prof irá reproduzir e testar com base nesse Readme.md). Incluir os scripts JSON do CRUD se a solução for uma API;</w:t>
      </w:r>
    </w:p>
    <w:p w:rsidR="00000000" w:rsidDel="00000000" w:rsidP="00000000" w:rsidRDefault="00000000" w:rsidRPr="00000000" w14:paraId="00000142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Insira o Link do seu GitHub aqui:</w:t>
      </w:r>
      <w:r w:rsidDel="00000000" w:rsidR="00000000" w:rsidRPr="00000000">
        <w:rPr>
          <w:color w:val="000000"/>
          <w:rtl w:val="0"/>
        </w:rPr>
        <w:t xml:space="preserve"> 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144">
      <w:pPr>
        <w:ind w:firstLine="40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Deve-se utilizar pelo menos duas tabelas com um relacionamento entre elas e o Banco de Dados em Nuvem:</w:t>
      </w:r>
    </w:p>
    <w:p w:rsidR="00000000" w:rsidDel="00000000" w:rsidP="00000000" w:rsidRDefault="00000000" w:rsidRPr="00000000" w14:paraId="0000014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exemplo:</w:t>
      </w:r>
    </w:p>
    <w:p w:rsidR="00000000" w:rsidDel="00000000" w:rsidP="00000000" w:rsidRDefault="00000000" w:rsidRPr="00000000" w14:paraId="0000014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Relações de um para muitos.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21380" cy="1828800"/>
            <wp:effectExtent b="0" l="0" r="0" t="0"/>
            <wp:docPr descr="Captura de tela de um exemplo de relações do tipo um para muitos na janela de relações do Access." id="6" name="image3.png"/>
            <a:graphic>
              <a:graphicData uri="http://schemas.openxmlformats.org/drawingml/2006/picture">
                <pic:pic>
                  <pic:nvPicPr>
                    <pic:cNvPr descr="Captura de tela de um exemplo de relações do tipo um para muitos na janela de relações do Access."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Microsoft &lt; </w:t>
      </w:r>
      <w:hyperlink r:id="rId4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https://learn.microsoft.com/pt-br/office/troubleshoot/client/access/media/define-table-relationships/one-to-many-relationships.png</w:t>
        </w:r>
      </w:hyperlink>
      <w:r w:rsidDel="00000000" w:rsidR="00000000" w:rsidRPr="00000000">
        <w:rPr>
          <w:sz w:val="20"/>
          <w:szCs w:val="20"/>
          <w:rtl w:val="0"/>
        </w:rPr>
        <w:t xml:space="preserve"> &gt; (Mar, 2023).</w:t>
      </w:r>
    </w:p>
    <w:p w:rsidR="00000000" w:rsidDel="00000000" w:rsidP="00000000" w:rsidRDefault="00000000" w:rsidRPr="00000000" w14:paraId="0000014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0" w:before="0" w:line="240" w:lineRule="auto"/>
        <w:ind w:left="0" w:right="192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Relações de muitos para muitos.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554980" cy="1760220"/>
            <wp:effectExtent b="0" l="0" r="0" t="0"/>
            <wp:docPr descr="Captura de tela de um exemplo de relações do tipo muitos para muitos na janela de relações do Access." id="5" name="image1.png"/>
            <a:graphic>
              <a:graphicData uri="http://schemas.openxmlformats.org/drawingml/2006/picture">
                <pic:pic>
                  <pic:nvPicPr>
                    <pic:cNvPr descr="Captura de tela de um exemplo de relações do tipo muitos para muitos na janela de relações do Access."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7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Fonte: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Microsoft &lt; https://learn.microsoft.com/pt-br/office/troubleshoot/client/access/media/define-table-relationships/many-to-many-relationships.png &gt; (Mar, 2023).</w:t>
      </w:r>
    </w:p>
    <w:p w:rsidR="00000000" w:rsidDel="00000000" w:rsidP="00000000" w:rsidRDefault="00000000" w:rsidRPr="00000000" w14:paraId="00000150">
      <w:pPr>
        <w:widowControl w:val="1"/>
        <w:rPr/>
      </w:pPr>
      <w:bookmarkStart w:colFirst="0" w:colLast="0" w:name="_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Ao concluir este projeto acadêmico de desenvolvimento de software, é importante refletir sobre as lições aprendidas e os desafios enfrentados ao longo do processo. Durante a jornada, encontramos diversas oportunidades para aprimorar nossas habilidades técnicas e de trabalho em equipe, além de desenvolver uma compreensão mais profunda dos princípios fundamentais do desenvolvimento de software. Os obstáculos encontrados nos incentivaram a buscar soluções inovadoras e a perseverar mesmo diante das adversidades, fortalecendo nossa resiliência e determinação.</w:t>
      </w:r>
    </w:p>
    <w:p w:rsidR="00000000" w:rsidDel="00000000" w:rsidP="00000000" w:rsidRDefault="00000000" w:rsidRPr="00000000" w14:paraId="00000154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Além disso, é crucial reconhecer a importância da colaboração e da comunicação eficaz entre os membros da equipe. A troca de ideias e o apoio mútuo foram elementos-chave para o sucesso deste projeto, permitindo-nos superar desafios complexos e alcançar nossos objetivos com eficiência. A experiência adquirida ao trabalhar em equipe nos preparou para enfrentar futuros projetos com confiança e competência, destacando a importância do trabalho colaborativo no ambiente acadêmico e profissional.</w:t>
      </w:r>
    </w:p>
    <w:p w:rsidR="00000000" w:rsidDel="00000000" w:rsidP="00000000" w:rsidRDefault="00000000" w:rsidRPr="00000000" w14:paraId="00000155">
      <w:p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este projeto oferece uma base sólida para o desenvolvimento contínuo de nossas habilidades e conhecimentos em software. Ao aplicarmos os conceitos aprendidos e as práticas adotadas neste projeto em futuros empreendimentos, estaremos melhor preparados para enfrentar os desafios do mundo real. Ao celebrarmos esta conquista, lembramo-nos da importância de manter uma mentalidade de aprendizado constante e de buscar sempre a excelência em tudo o que fazemos.</w:t>
      </w:r>
    </w:p>
    <w:p w:rsidR="00000000" w:rsidDel="00000000" w:rsidP="00000000" w:rsidRDefault="00000000" w:rsidRPr="00000000" w14:paraId="0000015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firstLine="708"/>
        <w:jc w:val="both"/>
        <w:rPr>
          <w:color w:val="000000"/>
        </w:rPr>
        <w:sectPr>
          <w:headerReference r:id="rId42" w:type="first"/>
          <w:type w:val="continuous"/>
          <w:pgSz w:h="16838" w:w="11906" w:orient="portrait"/>
          <w:pgMar w:bottom="1134" w:top="1701" w:left="1701" w:right="1134" w:header="1134" w:footer="709"/>
          <w:pgNumType w:start="14"/>
          <w:titlePg w:val="1"/>
        </w:sectPr>
      </w:pPr>
      <w:r w:rsidDel="00000000" w:rsidR="00000000" w:rsidRPr="00000000">
        <w:rPr>
          <w:b w:val="1"/>
          <w:color w:val="000000"/>
          <w:rtl w:val="0"/>
        </w:rPr>
        <w:t xml:space="preserve">Fonte:</w:t>
      </w:r>
      <w:r w:rsidDel="00000000" w:rsidR="00000000" w:rsidRPr="00000000">
        <w:rPr>
          <w:color w:val="000000"/>
          <w:rtl w:val="0"/>
        </w:rPr>
        <w:t xml:space="preserve"> ChatGPT (Abr, 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59">
      <w:pPr>
        <w:tabs>
          <w:tab w:val="left" w:leader="none" w:pos="284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ChatGPT: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3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sz w:val="20"/>
          <w:szCs w:val="20"/>
          <w:rtl w:val="0"/>
        </w:rPr>
        <w:t xml:space="preserve"> Acesso em: Abr,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Desafio FIAP:</w:t>
      </w:r>
      <w:r w:rsidDel="00000000" w:rsidR="00000000" w:rsidRPr="00000000">
        <w:rPr>
          <w:sz w:val="20"/>
          <w:szCs w:val="20"/>
          <w:rtl w:val="0"/>
        </w:rPr>
        <w:t xml:space="preserve"> Apresentação do Challenge. Acesso em: Abr,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https://learn.microsoft.com/pt-br/office/troubleshoot/client/access/media/define-table-relationships/many-to-many-relationships.png &gt; Acesso em: Abr, 2024.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4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https://learn.microsoft.com/pt-br/office/troubleshoot/client/access/media/define-table-relationships/one-to-many-relationships.png</w:t>
        </w:r>
      </w:hyperlink>
      <w:r w:rsidDel="00000000" w:rsidR="00000000" w:rsidRPr="00000000">
        <w:rPr>
          <w:sz w:val="20"/>
          <w:szCs w:val="20"/>
          <w:rtl w:val="0"/>
        </w:rPr>
        <w:t xml:space="preserve"> &gt; Acesso em: Abr, 2024.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5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sz w:val="20"/>
          <w:szCs w:val="20"/>
          <w:rtl w:val="0"/>
        </w:rPr>
        <w:t xml:space="preserve"> &gt; Acesso em: Abr, 2024.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hyperlink r:id="rId4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https://learn.microsoft.com/pt-br/azure/devops/pipelines/get-started/pipelines-get-started?view=azure-devops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&gt; Acesso em: Abr, 2024.</w:t>
      </w:r>
    </w:p>
    <w:p w:rsidR="00000000" w:rsidDel="00000000" w:rsidP="00000000" w:rsidRDefault="00000000" w:rsidRPr="00000000" w14:paraId="00000165">
      <w:pPr>
        <w:widowControl w:val="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284"/>
        </w:tabs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47" w:type="default"/>
      <w:headerReference r:id="rId48" w:type="first"/>
      <w:type w:val="continuous"/>
      <w:pgSz w:h="16838" w:w="11906" w:orient="portrait"/>
      <w:pgMar w:bottom="1134" w:top="1701" w:left="1701" w:right="1134" w:header="1134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610"/>
      </w:tabs>
      <w:spacing w:line="48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microsoft.com/pt-br/office/troubleshoot/client/access/media/define-table-relationships/one-to-many-relationships.png" TargetMode="External"/><Relationship Id="rId20" Type="http://schemas.openxmlformats.org/officeDocument/2006/relationships/hyperlink" Target="https://learn.microsoft.com/pt-br/azure/devops/pipelines/process/container-phases?view=azure-devops" TargetMode="External"/><Relationship Id="rId42" Type="http://schemas.openxmlformats.org/officeDocument/2006/relationships/header" Target="header4.xml"/><Relationship Id="rId41" Type="http://schemas.openxmlformats.org/officeDocument/2006/relationships/image" Target="media/image1.png"/><Relationship Id="rId22" Type="http://schemas.openxmlformats.org/officeDocument/2006/relationships/hyperlink" Target="https://learn.microsoft.com/pt-br/azure/devops/pipelines/process/stages?view=azure-devops" TargetMode="External"/><Relationship Id="rId44" Type="http://schemas.openxmlformats.org/officeDocument/2006/relationships/hyperlink" Target="https://learn.microsoft.com/pt-br/office/troubleshoot/client/access/media/define-table-relationships/one-to-many-relationships.png" TargetMode="External"/><Relationship Id="rId21" Type="http://schemas.openxmlformats.org/officeDocument/2006/relationships/hyperlink" Target="https://learn.microsoft.com/pt-br/azure/devops/pipelines/yaml-schema/pool-demands" TargetMode="External"/><Relationship Id="rId43" Type="http://schemas.openxmlformats.org/officeDocument/2006/relationships/hyperlink" Target="https://chat.openai.com/" TargetMode="External"/><Relationship Id="rId24" Type="http://schemas.openxmlformats.org/officeDocument/2006/relationships/hyperlink" Target="https://learn.microsoft.com/pt-br/azure/devops/pipelines/process/deployment-group-phases?view=azure-devops" TargetMode="External"/><Relationship Id="rId46" Type="http://schemas.openxmlformats.org/officeDocument/2006/relationships/hyperlink" Target="https://learn.microsoft.com/pt-br/azure/devops/pipelines/get-started/pipelines-get-started?view=azure-devops" TargetMode="External"/><Relationship Id="rId23" Type="http://schemas.openxmlformats.org/officeDocument/2006/relationships/hyperlink" Target="https://learn.microsoft.com/pt-br/azure/devops/pipelines/release/deployment-groups/?view=azure-devops" TargetMode="External"/><Relationship Id="rId45" Type="http://schemas.openxmlformats.org/officeDocument/2006/relationships/hyperlink" Target="https://learn.microsoft.com/pt-br/azure/devops/pipelines/get-started/pipelines-get-started?view=azure-devo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hyperlink" Target="https://learn.microsoft.com/pt-br/azure/devops/pipelines/process/environments?view=azure-devops" TargetMode="External"/><Relationship Id="rId48" Type="http://schemas.openxmlformats.org/officeDocument/2006/relationships/header" Target="header6.xml"/><Relationship Id="rId25" Type="http://schemas.openxmlformats.org/officeDocument/2006/relationships/hyperlink" Target="https://learn.microsoft.com/pt-br/azure/devops/pipelines/process/deployment-jobs?view=azure-devops" TargetMode="External"/><Relationship Id="rId47" Type="http://schemas.openxmlformats.org/officeDocument/2006/relationships/header" Target="header5.xml"/><Relationship Id="rId28" Type="http://schemas.openxmlformats.org/officeDocument/2006/relationships/hyperlink" Target="https://learn.microsoft.com/pt-br/azure/devops/pipelines/get-started/key-pipelines-concepts?view=azure-devops" TargetMode="External"/><Relationship Id="rId27" Type="http://schemas.openxmlformats.org/officeDocument/2006/relationships/hyperlink" Target="https://learn.microsoft.com/pt-br/azure/devops/pipelines/release/approvals/gates?view=azure-devop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learn.microsoft.com/pt-br/azure/devops/pipelines/library/service-endpoints?view=azure-devops" TargetMode="External"/><Relationship Id="rId7" Type="http://schemas.openxmlformats.org/officeDocument/2006/relationships/header" Target="header2.xml"/><Relationship Id="rId8" Type="http://schemas.openxmlformats.org/officeDocument/2006/relationships/image" Target="media/image6.png"/><Relationship Id="rId31" Type="http://schemas.openxmlformats.org/officeDocument/2006/relationships/hyperlink" Target="https://learn.microsoft.com/pt-br/azure/devops/pipelines/get-started/key-pipelines-concepts?view=azure-devops" TargetMode="External"/><Relationship Id="rId30" Type="http://schemas.openxmlformats.org/officeDocument/2006/relationships/hyperlink" Target="https://learn.microsoft.com/pt-br/azure/devops/pipelines/process/service-containers?view=azure-devops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learn.microsoft.com/pt-br/azure/devops/pipelines/process/tasks?view=azure-devops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learn.microsoft.com/pt-br/azure/devops/pipelines/library/task-groups?view=azure-devops" TargetMode="External"/><Relationship Id="rId13" Type="http://schemas.openxmlformats.org/officeDocument/2006/relationships/hyperlink" Target="https://learn.microsoft.com/pt-br/azure/devops/pipelines/release/define-multistage-release-process?view=azure-devops" TargetMode="External"/><Relationship Id="rId35" Type="http://schemas.openxmlformats.org/officeDocument/2006/relationships/hyperlink" Target="https://learn.microsoft.com/pt-br/azure/devops/pipelines/build/triggers?view=azure-devops" TargetMode="External"/><Relationship Id="rId12" Type="http://schemas.openxmlformats.org/officeDocument/2006/relationships/hyperlink" Target="https://learn.microsoft.com/pt-br/azure/devops/pipelines/get-started/yaml-pipeline-editor?view=azure-devops" TargetMode="External"/><Relationship Id="rId34" Type="http://schemas.openxmlformats.org/officeDocument/2006/relationships/hyperlink" Target="https://learn.microsoft.com/pt-br/azure/devops/pipelines/process/templates?view=azure-devops" TargetMode="External"/><Relationship Id="rId15" Type="http://schemas.openxmlformats.org/officeDocument/2006/relationships/hyperlink" Target="https://learn.microsoft.com/pt-br/azure/devops/pipelines/agents/agents?view=azure-devops" TargetMode="External"/><Relationship Id="rId37" Type="http://schemas.openxmlformats.org/officeDocument/2006/relationships/hyperlink" Target="https://learn.microsoft.com/pt-br/azure/devops/pipelines/library/variable-groups?view=azure-devops" TargetMode="External"/><Relationship Id="rId14" Type="http://schemas.openxmlformats.org/officeDocument/2006/relationships/image" Target="media/image5.png"/><Relationship Id="rId36" Type="http://schemas.openxmlformats.org/officeDocument/2006/relationships/hyperlink" Target="https://learn.microsoft.com/pt-br/azure/devops/pipelines/process/variables?view=azure-devops" TargetMode="External"/><Relationship Id="rId17" Type="http://schemas.openxmlformats.org/officeDocument/2006/relationships/hyperlink" Target="https://learn.microsoft.com/pt-br/azure/devops/pipelines/artifacts/artifacts-overview?view=azure-devops" TargetMode="External"/><Relationship Id="rId39" Type="http://schemas.openxmlformats.org/officeDocument/2006/relationships/image" Target="media/image3.png"/><Relationship Id="rId16" Type="http://schemas.openxmlformats.org/officeDocument/2006/relationships/hyperlink" Target="https://learn.microsoft.com/pt-br/azure/devops/pipelines/release/approvals/?view=azure-devops" TargetMode="External"/><Relationship Id="rId38" Type="http://schemas.openxmlformats.org/officeDocument/2006/relationships/hyperlink" Target="https://learn.microsoft.com/pt-br/azure/devops/pipelines/get-started/pipelines-get-started?view=azure-devops" TargetMode="External"/><Relationship Id="rId19" Type="http://schemas.openxmlformats.org/officeDocument/2006/relationships/hyperlink" Target="https://learn.microsoft.com/pt-br/azure/devops/pipelines/process/conditions?view=azure-devops" TargetMode="External"/><Relationship Id="rId18" Type="http://schemas.openxmlformats.org/officeDocument/2006/relationships/hyperlink" Target="https://learn.microsoft.com/pt-br/azure/devops/pipelines/release/caching?view=azure-devo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</Properties>
</file>