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0" w:lineRule="auto"/>
        <w:ind w:left="115" w:right="10" w:firstLine="0"/>
        <w:jc w:val="center"/>
        <w:rPr>
          <w:rFonts w:ascii="Arial" w:cs="Arial" w:eastAsia="Arial" w:hAnsi="Arial"/>
          <w:b w:val="1"/>
          <w:color w:val="0c64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90" w:lineRule="auto"/>
        <w:ind w:left="115" w:right="10" w:firstLine="0"/>
        <w:jc w:val="center"/>
        <w:rPr>
          <w:rFonts w:ascii="Arial" w:cs="Arial" w:eastAsia="Arial" w:hAnsi="Arial"/>
          <w:b w:val="1"/>
          <w:color w:val="0c64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0" w:lineRule="auto"/>
        <w:ind w:left="115" w:right="10" w:firstLine="0"/>
        <w:jc w:val="center"/>
        <w:rPr>
          <w:rFonts w:ascii="Arial" w:cs="Arial" w:eastAsia="Arial" w:hAnsi="Arial"/>
          <w:b w:val="1"/>
          <w:color w:val="0c642e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c642e"/>
          <w:sz w:val="28"/>
          <w:szCs w:val="28"/>
          <w:rtl w:val="0"/>
        </w:rPr>
        <w:t xml:space="preserve">Exportaciones Bajo la circular TLC para Estados Unidos</w:t>
      </w:r>
    </w:p>
    <w:p w:rsidR="00000000" w:rsidDel="00000000" w:rsidP="00000000" w:rsidRDefault="00000000" w:rsidRPr="00000000" w14:paraId="00000004">
      <w:pPr>
        <w:spacing w:line="390" w:lineRule="auto"/>
        <w:ind w:left="115" w:right="10" w:firstLine="0"/>
        <w:jc w:val="center"/>
        <w:rPr>
          <w:rFonts w:ascii="Arial" w:cs="Arial" w:eastAsia="Arial" w:hAnsi="Arial"/>
          <w:b w:val="1"/>
          <w:color w:val="0c64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" w:lineRule="auto"/>
        <w:ind w:left="475" w:right="10" w:hanging="36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los tres meses de operación bajo esta nueva circular de TLC se está realizando de manera exitosa la exportación de panela a Estados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Unidos,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permitiendo el desarrollo de nuevos mercados para el gremio panelero</w:t>
      </w:r>
    </w:p>
    <w:p w:rsidR="00000000" w:rsidDel="00000000" w:rsidP="00000000" w:rsidRDefault="00000000" w:rsidRPr="00000000" w14:paraId="00000006">
      <w:pPr>
        <w:spacing w:line="390" w:lineRule="auto"/>
        <w:ind w:left="115" w:right="1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90" w:lineRule="auto"/>
        <w:ind w:left="115" w:right="1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90" w:lineRule="auto"/>
        <w:ind w:left="115" w:right="1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Bogotá Abril 2023/ La implementación exitosa de un cambio en la gestión de las exportaciones de panela hacia los Estados Unidos ha sido anunciada, gracias a la colaboración entre la Federación Nacional de Productores de Panela - Fedepanela, el Ministerio de Comercio Industria y Turismo y el Ministerio de Agricultura y Desarrollo Rural.</w:t>
      </w:r>
    </w:p>
    <w:p w:rsidR="00000000" w:rsidDel="00000000" w:rsidP="00000000" w:rsidRDefault="00000000" w:rsidRPr="00000000" w14:paraId="00000009">
      <w:pPr>
        <w:spacing w:line="390" w:lineRule="auto"/>
        <w:ind w:left="115" w:right="1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0" w:lineRule="auto"/>
        <w:ind w:left="115" w:right="1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marco del tratado de libre comercio (TLC) con Estados Unidos, se ha adoptado un modelo de asignación de cuotas conocido como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‘primer llegado, primero servido’</w:t>
      </w:r>
      <w:r w:rsidDel="00000000" w:rsidR="00000000" w:rsidRPr="00000000">
        <w:rPr>
          <w:rFonts w:ascii="Arial" w:cs="Arial" w:eastAsia="Arial" w:hAnsi="Arial"/>
          <w:rtl w:val="0"/>
        </w:rPr>
        <w:t xml:space="preserve">. Este modelo implica una bolsa abierta de 2,950 toneladas, en la cual tanto exportadores nuevos como antiguos pueden participar, con límites máximos de 88.5 toneladas y 442.5 toneladas por usuario, respectivamente. Esta nueva medida, vigente desde 2024, busca estimular una mayor presencia de empresas en el mercado estadounidense.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-16932</wp:posOffset>
            </wp:positionH>
            <wp:positionV relativeFrom="paragraph">
              <wp:posOffset>113875</wp:posOffset>
            </wp:positionV>
            <wp:extent cx="2724150" cy="1532255"/>
            <wp:effectExtent b="0" l="0" r="0" t="0"/>
            <wp:wrapSquare wrapText="bothSides" distB="0" distT="0" distL="114300" distR="114300"/>
            <wp:docPr id="19263498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32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390" w:lineRule="auto"/>
        <w:ind w:left="115" w:right="1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90" w:lineRule="auto"/>
        <w:ind w:left="115" w:right="1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cambio conlleva una serie de ventajas significativas para el sector. La disponibilidad inmediata de la cuota de exportación facilita la planificación y ejecución de estrategias comerciales, eliminando la incertidumbre previa sobre la obtención de cuotas y las limitadas asignaciones que dificultan el cierre de negocios. Además, la mayor accesibilidad para nuevas empresas en este esquema fomenta la competencia y la diversificación del mercado, permitiendo la incorporación de nuevos actores en el ámbito internacional.</w:t>
      </w:r>
    </w:p>
    <w:p w:rsidR="00000000" w:rsidDel="00000000" w:rsidP="00000000" w:rsidRDefault="00000000" w:rsidRPr="00000000" w14:paraId="0000000D">
      <w:pPr>
        <w:spacing w:line="390" w:lineRule="auto"/>
        <w:ind w:left="115" w:right="1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90" w:lineRule="auto"/>
        <w:ind w:left="115" w:right="1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espera que esta nueva modalidad </w:t>
      </w:r>
      <w:r w:rsidDel="00000000" w:rsidR="00000000" w:rsidRPr="00000000">
        <w:rPr>
          <w:rFonts w:ascii="Arial" w:cs="Arial" w:eastAsia="Arial" w:hAnsi="Arial"/>
          <w:rtl w:val="0"/>
        </w:rPr>
        <w:t xml:space="preserve">permita</w:t>
      </w:r>
      <w:r w:rsidDel="00000000" w:rsidR="00000000" w:rsidRPr="00000000">
        <w:rPr>
          <w:rFonts w:ascii="Arial" w:cs="Arial" w:eastAsia="Arial" w:hAnsi="Arial"/>
          <w:rtl w:val="0"/>
        </w:rPr>
        <w:t xml:space="preserve"> un uso más eficiente del contingente asignado para la panela, maximizando así los beneficios del TLC con Estados Unidos. Hasta la fecha de corte del 5 de abril de este año, se han exportado 1949,32 toneladas, en comparación con las 634 toneladas de años anteriores para el mismo período, lo que representa un incremento del 48% en el uso de la cuota.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63325</wp:posOffset>
            </wp:positionH>
            <wp:positionV relativeFrom="paragraph">
              <wp:posOffset>76200</wp:posOffset>
            </wp:positionV>
            <wp:extent cx="2946576" cy="2202961"/>
            <wp:effectExtent b="0" l="0" r="0" t="0"/>
            <wp:wrapSquare wrapText="bothSides" distB="0" distT="0" distL="114300" distR="114300"/>
            <wp:docPr id="19263498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576" cy="22029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line="390" w:lineRule="auto"/>
        <w:ind w:left="115" w:right="1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90" w:lineRule="auto"/>
        <w:ind w:left="115" w:right="1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Históricamente, las exportaciones de panela hacia Estados Unidos se han centrado principalmente en presentaciones de piloncillo, seguidas de panela fraccionada y pulverizada. Estas presentaciones han ganado popularidad en el mercado estadounidense debido a sus atributos únicos y a la creciente demanda de alternativas de endulzantes saludables y naturales. La flexibilidad proporcionada por la nueva modalidad de gestión del contingente promete impulsar aún más la diversificación de productos, permitiendo a las empresas explorar nuevas variantes y adaptarse a las cambiantes tendencias del consumidor.</w:t>
      </w:r>
      <w:hyperlink r:id="rId9">
        <w:r w:rsidDel="00000000" w:rsidR="00000000" w:rsidRPr="00000000">
          <w:rPr>
            <w:rFonts w:ascii="Arial" w:cs="Arial" w:eastAsia="Arial" w:hAnsi="Arial"/>
            <w:color w:val="688e2d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90" w:lineRule="auto"/>
        <w:ind w:left="115" w:right="1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Oficina de Comunicaciones Fedepanela </w:t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www.fedepanela.org.co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840" w:top="1560" w:left="1600" w:right="1580" w:header="378" w:footer="16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410941</wp:posOffset>
          </wp:positionH>
          <wp:positionV relativeFrom="page">
            <wp:posOffset>240262</wp:posOffset>
          </wp:positionV>
          <wp:extent cx="6910127" cy="682850"/>
          <wp:effectExtent b="0" l="0" r="0" t="0"/>
          <wp:wrapNone/>
          <wp:docPr id="192634981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10127" cy="682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5"/>
      <w:numFmt w:val="bullet"/>
      <w:lvlText w:val="-"/>
      <w:lvlJc w:val="left"/>
      <w:pPr>
        <w:ind w:left="47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19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1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3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5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7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9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1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3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 MT" w:cs="Arial MT" w:eastAsia="Arial MT" w:hAnsi="Arial MT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Hipervnculo">
    <w:name w:val="Hyperlink"/>
    <w:basedOn w:val="Fuentedeprrafopredeter"/>
    <w:uiPriority w:val="99"/>
    <w:unhideWhenUsed w:val="1"/>
    <w:rsid w:val="00B211E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211E3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F54B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F54B37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s-MX" w:val="es-CO"/>
    </w:rPr>
  </w:style>
  <w:style w:type="character" w:styleId="nfasis">
    <w:name w:val="Emphasis"/>
    <w:basedOn w:val="Fuentedeprrafopredeter"/>
    <w:uiPriority w:val="20"/>
    <w:qFormat w:val="1"/>
    <w:rsid w:val="00F54B37"/>
    <w:rPr>
      <w:i w:val="1"/>
      <w:iCs w:val="1"/>
    </w:rPr>
  </w:style>
  <w:style w:type="character" w:styleId="Textoennegrita">
    <w:name w:val="Strong"/>
    <w:basedOn w:val="Fuentedeprrafopredeter"/>
    <w:uiPriority w:val="22"/>
    <w:qFormat w:val="1"/>
    <w:rsid w:val="00F54B37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F54B3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54B37"/>
    <w:rPr>
      <w:rFonts w:ascii="Arial MT" w:cs="Arial MT" w:eastAsia="Arial MT" w:hAnsi="Arial MT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F54B3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54B37"/>
    <w:rPr>
      <w:rFonts w:ascii="Arial MT" w:cs="Arial MT" w:eastAsia="Arial MT" w:hAnsi="Arial MT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www.fedepanela.org.co" TargetMode="External"/><Relationship Id="rId12" Type="http://schemas.openxmlformats.org/officeDocument/2006/relationships/footer" Target="footer1.xml"/><Relationship Id="rId9" Type="http://schemas.openxmlformats.org/officeDocument/2006/relationships/hyperlink" Target="https://fedepanela.org.co/#faceboo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qqZ6QGJf6FEGbpZWGty16U25ww==">CgMxLjA4AHIhMXhsMWM0UmNzb3dTT3NRT1lZeTJ2X0lfczdobHJJWS1Z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2024-04-11T19:50:00Z</dcterms:created>
  <dc:creator>Erika Garrido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2024-01-15T00:00:00Z</vt:filetime>
  </property>
</Properties>
</file>