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Calibri" w:cs="Calibri" w:eastAsia="Calibri" w:hAnsi="Calibri"/>
          <w:b/>
          <w:bCs/>
          <w:sz w:val="40"/>
          <w:szCs w:val="40"/>
        </w:rPr>
        <w:t xml:space="preserve">Metodologia de Construção de Salas Genie — Processo Manual (Databricks)</w:t>
      </w:r>
    </w:p>
    <w:p>
      <w:pPr>
        <w:spacing w:after="300"/>
      </w:pPr>
      <w:r>
        <w:rPr>
          <w:rFonts w:ascii="Calibri" w:cs="Calibri" w:eastAsia="Calibri" w:hAnsi="Calibri"/>
          <w:i/>
          <w:iCs/>
          <w:color w:val="555555"/>
          <w:sz w:val="24"/>
          <w:szCs w:val="24"/>
        </w:rPr>
        <w:t xml:space="preserve">Guia de processo para alinhar regras de negócio do Power BI com salas Genie no Databricks</w:t>
      </w:r>
    </w:p>
    <w:p>
      <w:pPr>
        <w:shd w:fill="F2F2F2" w:val="clear"/>
        <w:spacing w:after="160"/>
      </w:pPr>
      <w:r>
        <w:rPr>
          <w:rFonts w:ascii="Calibri" w:cs="Calibri" w:eastAsia="Calibri" w:hAnsi="Calibri"/>
          <w:i/>
          <w:iCs/>
          <w:color w:val="555555"/>
          <w:sz w:val="20"/>
          <w:szCs w:val="20"/>
        </w:rPr>
        <w:t xml:space="preserve">Este documento descreve o método de trabalho MANUAL (o "como fazemos" quando a pessoa conduz a análise diretamente, tabela por tabela). Para o fluxo que usa o site com IA para automatizar a classificação e geração do prompt de configuração, ver o documento "Metodologia — Uso do Site de Automação". Cada projeto (ex.: Heijunka, OEE) tem sua própria documentação de instruções, exemplos e validações, construída seguindo um destes métodos. Este guia deve ser atualizado sempre que o processo for ajustado ou aprimorado.</w:t>
      </w:r>
    </w:p>
    <w:p>
      <w:pPr>
        <w:pStyle w:val="Heading1"/>
        <w:spacing w:after="150" w:before="300"/>
      </w:pPr>
      <w:r>
        <w:t xml:space="preserve">1. Levantamento das consultas do Power BI</w:t>
      </w:r>
    </w:p>
    <w:p>
      <w:pPr>
        <w:pStyle w:val="ListParagraph"/>
        <w:numPr>
          <w:ilvl w:val="0"/>
          <w:numId w:val="2"/>
        </w:numPr>
        <w:spacing w:after="60"/>
      </w:pPr>
      <w:r>
        <w:rPr>
          <w:rFonts w:ascii="Calibri" w:cs="Calibri" w:eastAsia="Calibri" w:hAnsi="Calibri"/>
          <w:sz w:val="22"/>
          <w:szCs w:val="22"/>
        </w:rPr>
        <w:t xml:space="preserve">O usuário envia a query (Power Query/SQL) de cada tabela ou consulta de negócio, uma de cada vez — ou, de forma mais eficiente, todas de uma vez via extração por DMV (ver método abaixo).</w:t>
      </w:r>
    </w:p>
    <w:p>
      <w:pPr>
        <w:pStyle w:val="ListParagraph"/>
        <w:numPr>
          <w:ilvl w:val="0"/>
          <w:numId w:val="2"/>
        </w:numPr>
        <w:spacing w:after="60"/>
      </w:pPr>
      <w:r>
        <w:rPr>
          <w:rFonts w:ascii="Calibri" w:cs="Calibri" w:eastAsia="Calibri" w:hAnsi="Calibri"/>
          <w:sz w:val="22"/>
          <w:szCs w:val="22"/>
        </w:rPr>
        <w:t xml:space="preserve">Identificar se o nome corresponde a uma tabela física real no Databricks ou a um nome de consulta/visão exclusivo do Power Query — isso determina se ela pode futuramente ter Join formal na sala Genie.</w:t>
      </w:r>
    </w:p>
    <w:p>
      <w:pPr>
        <w:pStyle w:val="ListParagraph"/>
        <w:numPr>
          <w:ilvl w:val="0"/>
          <w:numId w:val="2"/>
        </w:numPr>
        <w:spacing w:after="60"/>
      </w:pPr>
      <w:r>
        <w:rPr>
          <w:rFonts w:ascii="Calibri" w:cs="Calibri" w:eastAsia="Calibri" w:hAnsi="Calibri"/>
          <w:sz w:val="22"/>
          <w:szCs w:val="22"/>
        </w:rPr>
        <w:t xml:space="preserve">Relacionamentos do modelo: quando disponível, extrair via DAX (INFO.VIEW.RELATIONSHIPS()) em vez de levantar manualmente tabela por tabela — dá uma visão completa e confiável de todos os relacionamentos configurados no Power BI de uma vez.</w:t>
      </w:r>
    </w:p>
    <w:p>
      <w:pPr>
        <w:pStyle w:val="ListParagraph"/>
        <w:numPr>
          <w:ilvl w:val="0"/>
          <w:numId w:val="2"/>
        </w:numPr>
        <w:spacing w:after="60"/>
      </w:pPr>
      <w:r>
        <w:rPr>
          <w:rFonts w:ascii="Calibri" w:cs="Calibri" w:eastAsia="Calibri" w:hAnsi="Calibri"/>
          <w:sz w:val="22"/>
          <w:szCs w:val="22"/>
        </w:rPr>
        <w:t xml:space="preserve">Medidas do modelo: quando disponível, extrair o inventário completo via DAX (INFO.VIEW.MEASURES()), que traz nome, tabela, expressão DAX e pasta de exibição de todas as medidas de uma vez.</w:t>
      </w:r>
    </w:p>
    <w:p>
      <w:pPr>
        <w:pStyle w:val="Heading2"/>
        <w:spacing w:after="100" w:before="220"/>
      </w:pPr>
      <w:r>
        <w:t xml:space="preserve">1.1 Extração em lote de todas as consultas M (Power Query) via DMV</w:t>
      </w:r>
    </w:p>
    <w:p>
      <w:pPr>
        <w:spacing w:after="120"/>
      </w:pPr>
      <w:r>
        <w:rPr>
          <w:rFonts w:ascii="Calibri" w:cs="Calibri" w:eastAsia="Calibri" w:hAnsi="Calibri"/>
          <w:sz w:val="22"/>
          <w:szCs w:val="22"/>
        </w:rPr>
        <w:t xml:space="preserve">Método confirmado para extrair de uma vez o código M (editor avançado) de todas as consultas/tabelas do modelo, sem precisar copiar uma por uma:</w:t>
      </w:r>
    </w:p>
    <w:p>
      <w:pPr>
        <w:pStyle w:val="ListParagraph"/>
        <w:numPr>
          <w:ilvl w:val="0"/>
          <w:numId w:val="2"/>
        </w:numPr>
        <w:spacing w:after="60"/>
      </w:pPr>
      <w:r>
        <w:rPr>
          <w:rFonts w:ascii="Calibri" w:cs="Calibri" w:eastAsia="Calibri" w:hAnsi="Calibri"/>
          <w:sz w:val="22"/>
          <w:szCs w:val="22"/>
        </w:rPr>
        <w:t xml:space="preserve">No Power BI Desktop: Página Inicial → Obter Dados → Mais... → conector "Analysis Services" (SQL Server Analysis Services database).</w:t>
      </w:r>
    </w:p>
    <w:p>
      <w:pPr>
        <w:pStyle w:val="ListParagraph"/>
        <w:numPr>
          <w:ilvl w:val="0"/>
          <w:numId w:val="2"/>
        </w:numPr>
        <w:spacing w:after="60"/>
      </w:pPr>
      <w:r>
        <w:rPr>
          <w:rFonts w:ascii="Calibri" w:cs="Calibri" w:eastAsia="Calibri" w:hAnsi="Calibri"/>
          <w:sz w:val="22"/>
          <w:szCs w:val="22"/>
        </w:rPr>
        <w:t xml:space="preserve">Servidor: o endpoint XMLA do workspace — powerbi://api.powerbi.com/v1.0/myorg/&lt;nome-do-workspace&gt;. Requer capacidade Premium ou PPU habilitada no workspace (XMLA endpoint não funciona em workspace Pro comum).</w:t>
      </w:r>
    </w:p>
    <w:p>
      <w:pPr>
        <w:pStyle w:val="ListParagraph"/>
        <w:numPr>
          <w:ilvl w:val="0"/>
          <w:numId w:val="2"/>
        </w:numPr>
        <w:spacing w:after="60"/>
      </w:pPr>
      <w:r>
        <w:rPr>
          <w:rFonts w:ascii="Calibri" w:cs="Calibri" w:eastAsia="Calibri" w:hAnsi="Calibri"/>
          <w:sz w:val="22"/>
          <w:szCs w:val="22"/>
        </w:rPr>
        <w:t xml:space="preserve">Banco de dados: o nome do dataset/semantic model.</w:t>
      </w:r>
    </w:p>
    <w:p>
      <w:pPr>
        <w:pStyle w:val="ListParagraph"/>
        <w:numPr>
          <w:ilvl w:val="0"/>
          <w:numId w:val="2"/>
        </w:numPr>
        <w:spacing w:after="60"/>
      </w:pPr>
      <w:r>
        <w:rPr>
          <w:rFonts w:ascii="Calibri" w:cs="Calibri" w:eastAsia="Calibri" w:hAnsi="Calibri"/>
          <w:sz w:val="22"/>
          <w:szCs w:val="22"/>
        </w:rPr>
        <w:t xml:space="preserve">Em Opções avançadas → campo "Instrução MDX ou DAX", inserir: SELECT * FROM $SYSTEM.TMSCHEMA_PARTITIONS</w:t>
      </w:r>
    </w:p>
    <w:p>
      <w:pPr>
        <w:pStyle w:val="ListParagraph"/>
        <w:numPr>
          <w:ilvl w:val="0"/>
          <w:numId w:val="2"/>
        </w:numPr>
        <w:spacing w:after="60"/>
      </w:pPr>
      <w:r>
        <w:rPr>
          <w:rFonts w:ascii="Calibri" w:cs="Calibri" w:eastAsia="Calibri" w:hAnsi="Calibri"/>
          <w:sz w:val="22"/>
          <w:szCs w:val="22"/>
        </w:rPr>
        <w:t xml:space="preserve">A coluna QueryDefinition dessa DMV contém o texto completo do editor avançado (M) de cada partição/tabela. A coluna TableID referencia o ID da tabela — para obter o nome, cruzar (mesclar) com SELECT * FROM $SYSTEM.TMSCHEMA_TABLES pelo campo ID.</w:t>
      </w:r>
    </w:p>
    <w:p>
      <w:pPr>
        <w:pStyle w:val="ListParagraph"/>
        <w:numPr>
          <w:ilvl w:val="0"/>
          <w:numId w:val="2"/>
        </w:numPr>
        <w:spacing w:after="60"/>
      </w:pPr>
      <w:r>
        <w:rPr>
          <w:rFonts w:ascii="Calibri" w:cs="Calibri" w:eastAsia="Calibri" w:hAnsi="Calibri"/>
          <w:sz w:val="22"/>
          <w:szCs w:val="22"/>
        </w:rPr>
        <w:t xml:space="preserve">DMVs equivalentes úteis para outros levantamentos em lote pelo mesmo método de conexão: TMSCHEMA_RELATIONSHIPS (relacionamentos) e TMSCHEMA_MEASURES (medidas, com expressão DAX completa).</w:t>
      </w:r>
    </w:p>
    <w:p>
      <w:pPr>
        <w:shd w:fill="F2F2F2" w:val="clear"/>
        <w:spacing w:after="160"/>
      </w:pPr>
      <w:r>
        <w:rPr>
          <w:rFonts w:ascii="Calibri" w:cs="Calibri" w:eastAsia="Calibri" w:hAnsi="Calibri"/>
          <w:i/>
          <w:iCs/>
          <w:color w:val="555555"/>
          <w:sz w:val="20"/>
          <w:szCs w:val="20"/>
        </w:rPr>
        <w:t xml:space="preserve">Testado neste projeto: DISCOVER_M_EXPRESSIONS e TMSCHEMA_TABLES isoladas não trouxeram o texto do editor avançado — o método que funcionou foi TMSCHEMA_PARTITIONS (coluna QueryDefinition).</w:t>
      </w:r>
    </w:p>
    <w:p>
      <w:pPr>
        <w:spacing w:after="120"/>
      </w:pPr>
      <w:r>
        <w:rPr>
          <w:rFonts w:ascii="Calibri" w:cs="Calibri" w:eastAsia="Calibri" w:hAnsi="Calibri"/>
          <w:sz w:val="22"/>
          <w:szCs w:val="22"/>
        </w:rPr>
        <w:t xml:space="preserve">Exemplo de transformação M usada (o link do workspace e o nome do dataset devem ser ajustados para cada ambiente):</w:t>
      </w:r>
    </w:p>
    <w:p>
      <w:pPr>
        <w:shd w:fill="F2F2F2" w:val="clear"/>
        <w:spacing w:after="0"/>
      </w:pPr>
      <w:r>
        <w:rPr>
          <w:rFonts w:ascii="Consolas" w:cs="Consolas" w:eastAsia="Consolas" w:hAnsi="Consolas"/>
          <w:sz w:val="18"/>
          <w:szCs w:val="18"/>
        </w:rPr>
        <w:t xml:space="preserve">let</w:t>
      </w:r>
    </w:p>
    <w:p>
      <w:pPr>
        <w:shd w:fill="F2F2F2" w:val="clear"/>
        <w:spacing w:after="0"/>
      </w:pPr>
      <w:r>
        <w:rPr>
          <w:rFonts w:ascii="Consolas" w:cs="Consolas" w:eastAsia="Consolas" w:hAnsi="Consolas"/>
          <w:sz w:val="18"/>
          <w:szCs w:val="18"/>
        </w:rPr>
        <w:t xml:space="preserve">    Doc_Source = AnalysisServices.Database("powerbi://api.powerbi.com/v1.0/myorg/Aplicações OEE - Prod", "Kronix - OEE", [Query="SELECT * FROM $SYSTEM.TMSCHEMA_PARTITIONS", Implementation="2.0"]),</w:t>
      </w:r>
    </w:p>
    <w:p>
      <w:pPr>
        <w:shd w:fill="F2F2F2" w:val="clear"/>
        <w:spacing w:after="0"/>
      </w:pPr>
      <w:r>
        <w:rPr>
          <w:rFonts w:ascii="Consolas" w:cs="Consolas" w:eastAsia="Consolas" w:hAnsi="Consolas"/>
          <w:sz w:val="18"/>
          <w:szCs w:val="18"/>
        </w:rPr>
        <w:t xml:space="preserve">    #"Removed Other Columns" = Table.SelectColumns(Doc_Source,{"Name", "QueryDefinition"})</w:t>
      </w:r>
    </w:p>
    <w:p>
      <w:pPr>
        <w:shd w:fill="F2F2F2" w:val="clear"/>
        <w:spacing w:after="0"/>
      </w:pPr>
      <w:r>
        <w:rPr>
          <w:rFonts w:ascii="Consolas" w:cs="Consolas" w:eastAsia="Consolas" w:hAnsi="Consolas"/>
          <w:sz w:val="18"/>
          <w:szCs w:val="18"/>
        </w:rPr>
        <w:t xml:space="preserve">in</w:t>
      </w:r>
    </w:p>
    <w:p>
      <w:pPr>
        <w:shd w:fill="F2F2F2" w:val="clear"/>
        <w:spacing w:after="200"/>
      </w:pPr>
      <w:r>
        <w:rPr>
          <w:rFonts w:ascii="Consolas" w:cs="Consolas" w:eastAsia="Consolas" w:hAnsi="Consolas"/>
          <w:sz w:val="18"/>
          <w:szCs w:val="18"/>
        </w:rPr>
        <w:t xml:space="preserve">    #"Removed Other Columns"</w:t>
      </w:r>
    </w:p>
    <w:p>
      <w:pPr>
        <w:shd w:fill="F2F2F2" w:val="clear"/>
        <w:spacing w:after="160"/>
      </w:pPr>
      <w:r>
        <w:rPr>
          <w:rFonts w:ascii="Calibri" w:cs="Calibri" w:eastAsia="Calibri" w:hAnsi="Calibri"/>
          <w:i/>
          <w:iCs/>
          <w:color w:val="555555"/>
          <w:sz w:val="20"/>
          <w:szCs w:val="20"/>
        </w:rPr>
        <w:t xml:space="preserve">O link do workspace ("powerbi://api.powerbi.com/v1.0/myorg/&lt;nome-do-workspace&gt;") e o nome do dataset (segundo parâmetro) mudam para cada ambiente/projeto — este exemplo é apenas ilustrativo.</w:t>
      </w:r>
    </w:p>
    <w:p>
      <w:pPr>
        <w:pStyle w:val="Heading1"/>
        <w:spacing w:after="150" w:before="300"/>
      </w:pPr>
      <w:r>
        <w:t xml:space="preserve">2. Análise da query e extração das regras de negócio</w:t>
      </w:r>
    </w:p>
    <w:p>
      <w:pPr>
        <w:pStyle w:val="ListParagraph"/>
        <w:numPr>
          <w:ilvl w:val="0"/>
          <w:numId w:val="2"/>
        </w:numPr>
        <w:spacing w:after="60"/>
      </w:pPr>
      <w:r>
        <w:rPr>
          <w:rFonts w:ascii="Calibri" w:cs="Calibri" w:eastAsia="Calibri" w:hAnsi="Calibri"/>
          <w:sz w:val="22"/>
          <w:szCs w:val="22"/>
        </w:rPr>
        <w:t xml:space="preserve">Separar cada transformação em uma regra isolada: filtros, de-para, classificações condicionais, cálculos, window functions, agregações.</w:t>
      </w:r>
    </w:p>
    <w:p>
      <w:pPr>
        <w:pStyle w:val="ListParagraph"/>
        <w:numPr>
          <w:ilvl w:val="0"/>
          <w:numId w:val="2"/>
        </w:numPr>
        <w:spacing w:after="60"/>
      </w:pPr>
      <w:r>
        <w:rPr>
          <w:rFonts w:ascii="Calibri" w:cs="Calibri" w:eastAsia="Calibri" w:hAnsi="Calibri"/>
          <w:sz w:val="22"/>
          <w:szCs w:val="22"/>
        </w:rPr>
        <w:t xml:space="preserve">Sinalizar pontos de atenção: precedência de operadores (OR/AND, &amp;&amp;/||), COALESCE/fallback entre fontes, exceções hard-coded, dependências entre CTEs ou entre métricas.</w:t>
      </w:r>
    </w:p>
    <w:p>
      <w:pPr>
        <w:pStyle w:val="ListParagraph"/>
        <w:numPr>
          <w:ilvl w:val="0"/>
          <w:numId w:val="2"/>
        </w:numPr>
        <w:spacing w:after="60"/>
      </w:pPr>
      <w:r>
        <w:rPr>
          <w:rFonts w:ascii="Calibri" w:cs="Calibri" w:eastAsia="Calibri" w:hAnsi="Calibri"/>
          <w:sz w:val="22"/>
          <w:szCs w:val="22"/>
        </w:rPr>
        <w:t xml:space="preserve">Quando um ponto for ambíguo ou uma exceção não tiver explicação aparente, perguntar ao usuário — mas documentar a regra exatamente como está caso o usuário opte por não investigar o motivo de negócio.</w:t>
      </w:r>
    </w:p>
    <w:p>
      <w:pPr>
        <w:pStyle w:val="Heading1"/>
        <w:spacing w:after="150" w:before="300"/>
      </w:pPr>
      <w:r>
        <w:t xml:space="preserve">3. Decisão: Instrução em texto vs Example Query</w:t>
      </w:r>
    </w:p>
    <w:p>
      <w:pPr>
        <w:pStyle w:val="ListParagraph"/>
        <w:numPr>
          <w:ilvl w:val="0"/>
          <w:numId w:val="2"/>
        </w:numPr>
        <w:spacing w:after="60"/>
      </w:pPr>
      <w:r>
        <w:rPr>
          <w:rFonts w:ascii="Calibri" w:cs="Calibri" w:eastAsia="Calibri" w:hAnsi="Calibri"/>
          <w:sz w:val="22"/>
          <w:szCs w:val="22"/>
        </w:rPr>
        <w:t xml:space="preserve">Vai apenas para Instructions (texto): regra simples — filtro único, de-para direto, cálculo sem múltiplos joins ou CTEs.</w:t>
      </w:r>
    </w:p>
    <w:p>
      <w:pPr>
        <w:pStyle w:val="ListParagraph"/>
        <w:numPr>
          <w:ilvl w:val="0"/>
          <w:numId w:val="2"/>
        </w:numPr>
        <w:spacing w:after="60"/>
      </w:pPr>
      <w:r>
        <w:rPr>
          <w:rFonts w:ascii="Calibri" w:cs="Calibri" w:eastAsia="Calibri" w:hAnsi="Calibri"/>
          <w:sz w:val="22"/>
          <w:szCs w:val="22"/>
        </w:rPr>
        <w:t xml:space="preserve">Também vira Example Query: múltiplos CTEs encadeados, window functions, lógica condicional em cascata, ou cálculo que serve de padrão para várias perguntas do usuário.</w:t>
      </w:r>
    </w:p>
    <w:p>
      <w:pPr>
        <w:pStyle w:val="ListParagraph"/>
        <w:numPr>
          <w:ilvl w:val="0"/>
          <w:numId w:val="2"/>
        </w:numPr>
        <w:spacing w:after="60"/>
      </w:pPr>
      <w:r>
        <w:rPr>
          <w:rFonts w:ascii="Calibri" w:cs="Calibri" w:eastAsia="Calibri" w:hAnsi="Calibri"/>
          <w:sz w:val="22"/>
          <w:szCs w:val="22"/>
        </w:rPr>
        <w:t xml:space="preserve">Essa decisão é sinalizada explicitamente a cada query analisada.</w:t>
      </w:r>
    </w:p>
    <w:p>
      <w:pPr>
        <w:pStyle w:val="Heading1"/>
        <w:spacing w:after="150" w:before="300"/>
      </w:pPr>
      <w:r>
        <w:t xml:space="preserve">4. Escrita incremental da instrução</w:t>
      </w:r>
    </w:p>
    <w:p>
      <w:pPr>
        <w:pStyle w:val="ListParagraph"/>
        <w:numPr>
          <w:ilvl w:val="0"/>
          <w:numId w:val="2"/>
        </w:numPr>
        <w:spacing w:after="60"/>
      </w:pPr>
      <w:r>
        <w:rPr>
          <w:rFonts w:ascii="Calibri" w:cs="Calibri" w:eastAsia="Calibri" w:hAnsi="Calibri"/>
          <w:sz w:val="22"/>
          <w:szCs w:val="22"/>
        </w:rPr>
        <w:t xml:space="preserve">Cada tabela/consulta vira uma seção própria no documento de instruções (### nome_da_tabela), com regras numeradas.</w:t>
      </w:r>
    </w:p>
    <w:p>
      <w:pPr>
        <w:pStyle w:val="ListParagraph"/>
        <w:numPr>
          <w:ilvl w:val="0"/>
          <w:numId w:val="2"/>
        </w:numPr>
        <w:spacing w:after="60"/>
      </w:pPr>
      <w:r>
        <w:rPr>
          <w:rFonts w:ascii="Calibri" w:cs="Calibri" w:eastAsia="Calibri" w:hAnsi="Calibri"/>
          <w:sz w:val="22"/>
          <w:szCs w:val="22"/>
        </w:rPr>
        <w:t xml:space="preserve">Todo o texto é mantido acumulado em um único bloco (Instructions da sala tem limite de tamanho/tokens), evitando duplicação entre seções.</w:t>
      </w:r>
    </w:p>
    <w:p>
      <w:pPr>
        <w:pStyle w:val="ListParagraph"/>
        <w:numPr>
          <w:ilvl w:val="0"/>
          <w:numId w:val="2"/>
        </w:numPr>
        <w:spacing w:after="60"/>
      </w:pPr>
      <w:r>
        <w:rPr>
          <w:rFonts w:ascii="Calibri" w:cs="Calibri" w:eastAsia="Calibri" w:hAnsi="Calibri"/>
          <w:sz w:val="22"/>
          <w:szCs w:val="22"/>
        </w:rPr>
        <w:t xml:space="preserve">NÃO duplicar em Instructions o que já está descrito a nível de coluna no Unity Catalog (descrições de coluna já cadastradas na tabela). Nesses casos, basta uma regra geral orientando o Genie a consultar a descrição da coluna para identificar qual usar — evita gastar espaço do limite de instruções repetindo metadado que o Genie já enxerga diretamente na tabela.</w:t>
      </w:r>
    </w:p>
    <w:p>
      <w:pPr>
        <w:pStyle w:val="ListParagraph"/>
        <w:numPr>
          <w:ilvl w:val="0"/>
          <w:numId w:val="2"/>
        </w:numPr>
        <w:spacing w:after="60"/>
      </w:pPr>
      <w:r>
        <w:rPr>
          <w:rFonts w:ascii="Calibri" w:cs="Calibri" w:eastAsia="Calibri" w:hAnsi="Calibri"/>
          <w:sz w:val="22"/>
          <w:szCs w:val="22"/>
        </w:rPr>
        <w:t xml:space="preserve">Tabelas virtuais (existem apenas no Power Query, sem tabela física correspondente) são marcadas explicitamente como "não pode ser usada em Joins do Genie".</w:t>
      </w:r>
    </w:p>
    <w:p>
      <w:pPr>
        <w:pStyle w:val="Heading1"/>
        <w:spacing w:after="150" w:before="300"/>
      </w:pPr>
      <w:r>
        <w:t xml:space="preserve">5. Cadastro na sala Genie</w:t>
      </w:r>
    </w:p>
    <w:p>
      <w:pPr>
        <w:pStyle w:val="ListParagraph"/>
        <w:numPr>
          <w:ilvl w:val="0"/>
          <w:numId w:val="2"/>
        </w:numPr>
        <w:spacing w:after="60"/>
      </w:pPr>
      <w:r>
        <w:rPr>
          <w:rFonts w:ascii="Calibri" w:cs="Calibri" w:eastAsia="Calibri" w:hAnsi="Calibri"/>
          <w:sz w:val="22"/>
          <w:szCs w:val="22"/>
        </w:rPr>
        <w:t xml:space="preserve">Instructions → General Instructions: texto acumulado da etapa 4. Cada novo artefato de instrução (por tabela, ou por fase do projeto — ex.: tabelas primeiro, métricas depois) é sempre ADICIONADO ao final do texto já existente, nunca uma substituição completa do bloco.</w:t>
      </w:r>
    </w:p>
    <w:p>
      <w:pPr>
        <w:pStyle w:val="ListParagraph"/>
        <w:numPr>
          <w:ilvl w:val="0"/>
          <w:numId w:val="2"/>
        </w:numPr>
        <w:spacing w:after="60"/>
      </w:pPr>
      <w:r>
        <w:rPr>
          <w:rFonts w:ascii="Calibri" w:cs="Calibri" w:eastAsia="Calibri" w:hAnsi="Calibri"/>
          <w:sz w:val="22"/>
          <w:szCs w:val="22"/>
        </w:rPr>
        <w:t xml:space="preserve">Examples → Example Query: queries complexas identificadas na etapa 3, com uma descrição genérica do propósito (não uma pergunta literal de usuário) e o SQL completo.</w:t>
      </w:r>
    </w:p>
    <w:p>
      <w:pPr>
        <w:pStyle w:val="ListParagraph"/>
        <w:numPr>
          <w:ilvl w:val="0"/>
          <w:numId w:val="2"/>
        </w:numPr>
        <w:spacing w:after="60"/>
      </w:pPr>
      <w:r>
        <w:rPr>
          <w:rFonts w:ascii="Calibri" w:cs="Calibri" w:eastAsia="Calibri" w:hAnsi="Calibri"/>
          <w:sz w:val="22"/>
          <w:szCs w:val="22"/>
        </w:rPr>
        <w:t xml:space="preserve">Título/descrição da Example Query deve ser CURTO — no formato de uma única pergunta direta (aprox. 40–70 caracteres), nunca uma lista de variações entre aspas. O mecanismo de retrieval do Genie escolhe qual exemplo usar por similaridade de embedding; um título longo com várias frases dilui o vetor semântico e faz o Genie preferir outro exemplo mais curto, mesmo irrelevante (causa raiz confirmada em caso real: título de 198 caracteres — reduzido para 47 — foi o que destravou o uso do exemplo correto). Se a mesma lógica precisa responder a várias formas de perguntar, a cobertura de variações vai na Instructions (texto), nunca no título do exemplo.</w:t>
      </w:r>
    </w:p>
    <w:p>
      <w:pPr>
        <w:pStyle w:val="ListParagraph"/>
        <w:numPr>
          <w:ilvl w:val="0"/>
          <w:numId w:val="2"/>
        </w:numPr>
        <w:spacing w:after="60"/>
      </w:pPr>
      <w:r>
        <w:rPr>
          <w:rFonts w:ascii="Calibri" w:cs="Calibri" w:eastAsia="Calibri" w:hAnsi="Calibri"/>
          <w:sz w:val="22"/>
          <w:szCs w:val="22"/>
        </w:rPr>
        <w:t xml:space="preserve">Joins → apenas entre tabelas físicas reais; nunca entre tabela virtual e tabela física.</w:t>
      </w:r>
    </w:p>
    <w:p>
      <w:pPr>
        <w:pStyle w:val="ListParagraph"/>
        <w:numPr>
          <w:ilvl w:val="0"/>
          <w:numId w:val="2"/>
        </w:numPr>
        <w:spacing w:after="60"/>
      </w:pPr>
      <w:r>
        <w:rPr>
          <w:rFonts w:ascii="Calibri" w:cs="Calibri" w:eastAsia="Calibri" w:hAnsi="Calibri"/>
          <w:sz w:val="22"/>
          <w:szCs w:val="22"/>
        </w:rPr>
        <w:t xml:space="preserve">Sources → depende do cenário do projeto:</w:t>
      </w:r>
    </w:p>
    <w:p>
      <w:pPr>
        <w:pStyle w:val="ListParagraph"/>
        <w:numPr>
          <w:ilvl w:val="1"/>
          <w:numId w:val="2"/>
        </w:numPr>
        <w:spacing w:after="60"/>
      </w:pPr>
      <w:r>
        <w:rPr>
          <w:rFonts w:ascii="Calibri" w:cs="Calibri" w:eastAsia="Calibri" w:hAnsi="Calibri"/>
          <w:sz w:val="22"/>
          <w:szCs w:val="22"/>
        </w:rPr>
        <w:t xml:space="preserve">Sala construída do zero: fazer o levantamento de todas as tabelas físicas necessárias à medida que aparecem nas queries analisadas, e cadastrá-las como sources — não há comparação contra uma lista pré-existente, é um inventário sendo construído.</w:t>
      </w:r>
    </w:p>
    <w:p>
      <w:pPr>
        <w:pStyle w:val="ListParagraph"/>
        <w:numPr>
          <w:ilvl w:val="1"/>
          <w:numId w:val="2"/>
        </w:numPr>
        <w:spacing w:after="60"/>
      </w:pPr>
      <w:r>
        <w:rPr>
          <w:rFonts w:ascii="Calibri" w:cs="Calibri" w:eastAsia="Calibri" w:hAnsi="Calibri"/>
          <w:sz w:val="22"/>
          <w:szCs w:val="22"/>
        </w:rPr>
        <w:t xml:space="preserve">Sala que já existe (sources previamente configurados por outra pessoa/processo): comparar a lista de sources já cadastrados contra as tabelas efetivamente usadas nas queries analisadas — identificar o que falta incluir e o que não tem uso identificado (candidato a remoção, reduzindo ruído para o Genie).</w:t>
      </w:r>
    </w:p>
    <w:p>
      <w:pPr>
        <w:pStyle w:val="Heading1"/>
        <w:spacing w:after="150" w:before="300"/>
      </w:pPr>
      <w:r>
        <w:t xml:space="preserve">6. Revisão de Joins e Measures</w:t>
      </w:r>
    </w:p>
    <w:p>
      <w:pPr>
        <w:pStyle w:val="ListParagraph"/>
        <w:numPr>
          <w:ilvl w:val="0"/>
          <w:numId w:val="2"/>
        </w:numPr>
        <w:spacing w:after="60"/>
      </w:pPr>
      <w:r>
        <w:rPr>
          <w:rFonts w:ascii="Calibri" w:cs="Calibri" w:eastAsia="Calibri" w:hAnsi="Calibri"/>
          <w:sz w:val="22"/>
          <w:szCs w:val="22"/>
        </w:rPr>
        <w:t xml:space="preserve">Verificar quais relacionamentos o Databricks identificou automaticamente e quais precisam ser criados manualmente.</w:t>
      </w:r>
    </w:p>
    <w:p>
      <w:pPr>
        <w:pStyle w:val="ListParagraph"/>
        <w:numPr>
          <w:ilvl w:val="0"/>
          <w:numId w:val="2"/>
        </w:numPr>
        <w:spacing w:after="60"/>
      </w:pPr>
      <w:r>
        <w:rPr>
          <w:rFonts w:ascii="Calibri" w:cs="Calibri" w:eastAsia="Calibri" w:hAnsi="Calibri"/>
          <w:sz w:val="22"/>
          <w:szCs w:val="22"/>
        </w:rPr>
        <w:t xml:space="preserve">Identificar colunas calculadas (window functions) que não podem virar Join na interface — nesses casos a cobertura fica só via Instructions + Example Query, documentando o risco de divergência.</w:t>
      </w:r>
    </w:p>
    <w:p>
      <w:pPr>
        <w:pStyle w:val="ListParagraph"/>
        <w:numPr>
          <w:ilvl w:val="0"/>
          <w:numId w:val="2"/>
        </w:numPr>
        <w:spacing w:after="60"/>
      </w:pPr>
      <w:r>
        <w:rPr>
          <w:rFonts w:ascii="Calibri" w:cs="Calibri" w:eastAsia="Calibri" w:hAnsi="Calibri"/>
          <w:sz w:val="22"/>
          <w:szCs w:val="22"/>
        </w:rPr>
        <w:t xml:space="preserve">Criação de joins em lote via Genie Code: descrever em um único prompt os relacionamentos identificados (tabela esquerda, tabela direita, chave, cardinalidade), pedindo para o Genie Code criá-los como Joins formais, preservando o que já existe na sala. Excluir explicitamente do prompt qualquer tabela virtual ou sem correspondência física. Revisar cada sugestão (catálogo/schema usado e cardinalidade) antes de aceitar.</w:t>
      </w:r>
    </w:p>
    <w:p>
      <w:pPr>
        <w:pStyle w:val="ListParagraph"/>
        <w:numPr>
          <w:ilvl w:val="0"/>
          <w:numId w:val="2"/>
        </w:numPr>
        <w:spacing w:after="60"/>
      </w:pPr>
      <w:r>
        <w:rPr>
          <w:rFonts w:ascii="Calibri" w:cs="Calibri" w:eastAsia="Calibri" w:hAnsi="Calibri"/>
          <w:sz w:val="22"/>
          <w:szCs w:val="22"/>
        </w:rPr>
        <w:t xml:space="preserve">Priorização de medidas: antes de detalhar e cadastrar cada medida do inventário (INFO.VIEW.MEASURES()), solicitar ao usuário quais perguntas de negócio a sala Genie precisa responder. Cruzar essa lista de perguntas com o inventário de medidas — apenas as medidas relevantes para essas perguntas são analisadas em detalhe e viram Instruction, Example Query ou Measure formal. As demais ficam registradas como inventariadas, mas não implementadas, evitando esforço em medidas que nunca serão de fato perguntadas.</w:t>
      </w:r>
    </w:p>
    <w:p>
      <w:pPr>
        <w:pStyle w:val="ListParagraph"/>
        <w:numPr>
          <w:ilvl w:val="0"/>
          <w:numId w:val="2"/>
        </w:numPr>
        <w:spacing w:after="60"/>
      </w:pPr>
      <w:r>
        <w:rPr>
          <w:rFonts w:ascii="Calibri" w:cs="Calibri" w:eastAsia="Calibri" w:hAnsi="Calibri"/>
          <w:sz w:val="22"/>
          <w:szCs w:val="22"/>
        </w:rPr>
        <w:t xml:space="preserve">Avaliar se uma métrica pode virar Measure formal (SQL expression escopado a uma única tabela) ou se, por depender de múltiplas tabelas/colunas calculadas, precisa ficar só como Instruction + Example Query.</w:t>
      </w:r>
    </w:p>
    <w:p>
      <w:pPr>
        <w:pStyle w:val="Heading2"/>
        <w:spacing w:after="100" w:before="220"/>
      </w:pPr>
      <w:r>
        <w:t xml:space="preserve">6.1 Cruzamento pergunta ↔ métrica ↔ query genérica</w:t>
      </w:r>
    </w:p>
    <w:p>
      <w:pPr>
        <w:spacing w:after="120"/>
      </w:pPr>
      <w:r>
        <w:rPr>
          <w:rFonts w:ascii="Calibri" w:cs="Calibri" w:eastAsia="Calibri" w:hAnsi="Calibri"/>
          <w:sz w:val="22"/>
          <w:szCs w:val="22"/>
        </w:rPr>
        <w:t xml:space="preserve">Para cada pergunta de negócio levantada, classificar em uma das categorias:</w:t>
      </w:r>
    </w:p>
    <w:p>
      <w:pPr>
        <w:pStyle w:val="ListParagraph"/>
        <w:numPr>
          <w:ilvl w:val="0"/>
          <w:numId w:val="2"/>
        </w:numPr>
        <w:spacing w:after="60"/>
      </w:pPr>
      <w:r>
        <w:rPr>
          <w:rFonts w:ascii="Calibri" w:cs="Calibri" w:eastAsia="Calibri" w:hAnsi="Calibri"/>
          <w:sz w:val="22"/>
          <w:szCs w:val="22"/>
        </w:rPr>
        <w:t xml:space="preserve">Query genérica: a medida já documentada resolve, e o agrupamento por dimensão (turno, máquina, produto, etc.) é resolvido pelo próprio Genie a partir das Instructions e Joins já cadastrados — NÃO criar uma Example Query específica por dimensão (ex.: não criar uma query para "parada por turno" e outra para "parada por produto"; isso não escala e vira manutenção infinita).</w:t>
      </w:r>
    </w:p>
    <w:p>
      <w:pPr>
        <w:pStyle w:val="ListParagraph"/>
        <w:numPr>
          <w:ilvl w:val="0"/>
          <w:numId w:val="2"/>
        </w:numPr>
        <w:spacing w:after="60"/>
      </w:pPr>
      <w:r>
        <w:rPr>
          <w:rFonts w:ascii="Calibri" w:cs="Calibri" w:eastAsia="Calibri" w:hAnsi="Calibri"/>
          <w:sz w:val="22"/>
          <w:szCs w:val="22"/>
        </w:rPr>
        <w:t xml:space="preserve">Pergunta específica: a pergunta pede uma estrutura de SQL menos óbvia e reutilizável entre medidas (ex.: Top N, percentual acumulado/Pareto). Aqui sim vale criar uma Example Query — mas como PADRÃO REUTILIZÁVEL por medida, não amarrada a uma dimensão específica.</w:t>
      </w:r>
    </w:p>
    <w:p>
      <w:pPr>
        <w:pStyle w:val="ListParagraph"/>
        <w:numPr>
          <w:ilvl w:val="0"/>
          <w:numId w:val="2"/>
        </w:numPr>
        <w:spacing w:after="60"/>
      </w:pPr>
      <w:r>
        <w:rPr>
          <w:rFonts w:ascii="Calibri" w:cs="Calibri" w:eastAsia="Calibri" w:hAnsi="Calibri"/>
          <w:sz w:val="22"/>
          <w:szCs w:val="22"/>
        </w:rPr>
        <w:t xml:space="preserve">Métrica faltante: não existe medida correspondente. Subdividir em: (a) falta uma métrica simples de calcular (ex.: média, quando só existe soma) — decidir com o usuário se vale criar; (b) critério subjetivo sem threshold definido (ex.: "diferença significativa", "muito diferente") — não implementável sem definição de negócio; (c) exploratório/correlação (cruzamento de duas métricas sem fórmula fixa) ou estrutural (exige lógica nova de sequência/tempo, não é composição do que já existe) — normalmente fica fora do escopo da fase atual.</w:t>
      </w:r>
    </w:p>
    <w:p>
      <w:pPr>
        <w:spacing w:after="120"/>
      </w:pPr>
      <w:r>
        <w:rPr>
          <w:rFonts w:ascii="Calibri" w:cs="Calibri" w:eastAsia="Calibri" w:hAnsi="Calibri"/>
          <w:sz w:val="22"/>
          <w:szCs w:val="22"/>
        </w:rPr>
        <w:t xml:space="preserve">Produzir duas tabelas de rastreabilidade:</w:t>
      </w:r>
    </w:p>
    <w:p>
      <w:pPr>
        <w:pStyle w:val="ListParagraph"/>
        <w:numPr>
          <w:ilvl w:val="0"/>
          <w:numId w:val="2"/>
        </w:numPr>
        <w:spacing w:after="60"/>
      </w:pPr>
      <w:r>
        <w:rPr>
          <w:rFonts w:ascii="Calibri" w:cs="Calibri" w:eastAsia="Calibri" w:hAnsi="Calibri"/>
          <w:sz w:val="22"/>
          <w:szCs w:val="22"/>
        </w:rPr>
        <w:t xml:space="preserve">Tabela 1 — Perguntas e roteamento: cada pergunta ORIGINAL (sem resumir), a métrica identificada, a classificação (query genérica / pergunta específica / métrica faltante) e o ID da query genérica que a atende (quando aplicável).</w:t>
      </w:r>
    </w:p>
    <w:p>
      <w:pPr>
        <w:pStyle w:val="ListParagraph"/>
        <w:numPr>
          <w:ilvl w:val="0"/>
          <w:numId w:val="2"/>
        </w:numPr>
        <w:spacing w:after="60"/>
      </w:pPr>
      <w:r>
        <w:rPr>
          <w:rFonts w:ascii="Calibri" w:cs="Calibri" w:eastAsia="Calibri" w:hAnsi="Calibri"/>
          <w:sz w:val="22"/>
          <w:szCs w:val="22"/>
        </w:rPr>
        <w:t xml:space="preserve">Tabela 2 — Catálogo de queries genéricas: UMA LINHA POR MEDIDA (não agrupar medidas diferentes numa linha só, para não perder qualidade/precisão) — ID, pergunta genérica que resolve, a medida base (DAX/fórmula), a base SQL para construção (qual Example Query ou tabela documentada sustenta o cálculo) e o formato de agregação final.</w:t>
      </w:r>
    </w:p>
    <w:p>
      <w:pPr>
        <w:shd w:fill="F2F2F2" w:val="clear"/>
        <w:spacing w:after="160"/>
      </w:pPr>
      <w:r>
        <w:rPr>
          <w:rFonts w:ascii="Calibri" w:cs="Calibri" w:eastAsia="Calibri" w:hAnsi="Calibri"/>
          <w:i/>
          <w:iCs/>
          <w:color w:val="555555"/>
          <w:sz w:val="20"/>
          <w:szCs w:val="20"/>
        </w:rPr>
        <w:t xml:space="preserve">Fluxo de confirmação: a métrica/classificação sugerida para cada pergunta é sempre uma PROPOSTA — a pessoa confirma, corrige (indicando a métrica certa) ou marca a pergunta para pular (quando for métrica faltante fora do escopo atual). Nunca assumir a sugestão como definitiva sem confirmação.</w:t>
      </w:r>
    </w:p>
    <w:p>
      <w:pPr>
        <w:shd w:fill="F2F2F2" w:val="clear"/>
        <w:spacing w:after="160"/>
      </w:pPr>
      <w:r>
        <w:rPr>
          <w:rFonts w:ascii="Calibri" w:cs="Calibri" w:eastAsia="Calibri" w:hAnsi="Calibri"/>
          <w:i/>
          <w:iCs/>
          <w:color w:val="555555"/>
          <w:sz w:val="20"/>
          <w:szCs w:val="20"/>
        </w:rPr>
        <w:t xml:space="preserve">O texto de instrução das métricas (organizado por camada de dependência) é redigido DEPOIS dessa confirmação, como resultado direto dela — não como etapa à parte. No prompt final ao Genie Code (etapa 5), apresentar esse conteúdo diretamente como instrução, sem frase-ponte redundante do tipo "adicione o seguinte texto às instruções".</w:t>
      </w:r>
    </w:p>
    <w:p>
      <w:pPr>
        <w:pStyle w:val="Heading1"/>
        <w:spacing w:after="150" w:before="300"/>
      </w:pPr>
      <w:r>
        <w:t xml:space="preserve">7. Teste comparativo (Genie vs Power BI)</w:t>
      </w:r>
    </w:p>
    <w:p>
      <w:pPr>
        <w:pStyle w:val="ListParagraph"/>
        <w:numPr>
          <w:ilvl w:val="0"/>
          <w:numId w:val="2"/>
        </w:numPr>
        <w:spacing w:after="60"/>
      </w:pPr>
      <w:r>
        <w:rPr>
          <w:rFonts w:ascii="Calibri" w:cs="Calibri" w:eastAsia="Calibri" w:hAnsi="Calibri"/>
          <w:sz w:val="22"/>
          <w:szCs w:val="22"/>
        </w:rPr>
        <w:t xml:space="preserve">Perguntar a mesma métrica dos dois lados, sempre no mesmo instante e sem filtros de página divergentes entre BI e Genie.</w:t>
      </w:r>
    </w:p>
    <w:p>
      <w:pPr>
        <w:pStyle w:val="ListParagraph"/>
        <w:numPr>
          <w:ilvl w:val="0"/>
          <w:numId w:val="2"/>
        </w:numPr>
        <w:spacing w:after="60"/>
      </w:pPr>
      <w:r>
        <w:rPr>
          <w:rFonts w:ascii="Calibri" w:cs="Calibri" w:eastAsia="Calibri" w:hAnsi="Calibri"/>
          <w:sz w:val="22"/>
          <w:szCs w:val="22"/>
        </w:rPr>
        <w:t xml:space="preserve">Analisar o SQL gerado pelo Genie ("Show generated code"), não apenas o número final.</w:t>
      </w:r>
    </w:p>
    <w:p>
      <w:pPr>
        <w:pStyle w:val="ListParagraph"/>
        <w:numPr>
          <w:ilvl w:val="0"/>
          <w:numId w:val="2"/>
        </w:numPr>
        <w:spacing w:after="60"/>
      </w:pPr>
      <w:r>
        <w:rPr>
          <w:rFonts w:ascii="Calibri" w:cs="Calibri" w:eastAsia="Calibri" w:hAnsi="Calibri"/>
          <w:sz w:val="22"/>
          <w:szCs w:val="22"/>
        </w:rPr>
        <w:t xml:space="preserve">Lembrete de aprendizado: filtros de tela ativos no Power BI e defasagem de dados em tempo real (dados operacionais ao vivo) são causas comuns de falso positivo de erro — devem ser descartadas antes de assumir erro de lógica.</w:t>
      </w:r>
    </w:p>
    <w:p>
      <w:pPr>
        <w:pStyle w:val="ListParagraph"/>
        <w:numPr>
          <w:ilvl w:val="0"/>
          <w:numId w:val="2"/>
        </w:numPr>
        <w:spacing w:after="60"/>
      </w:pPr>
      <w:r>
        <w:rPr>
          <w:rFonts w:ascii="Calibri" w:cs="Calibri" w:eastAsia="Calibri" w:hAnsi="Calibri"/>
          <w:sz w:val="22"/>
          <w:szCs w:val="22"/>
        </w:rPr>
        <w:t xml:space="preserve">Caminho de diagnóstico mais eficiente quando o número diverge: (1) escrever o SQL manualmente, seguindo as regras já documentadas, e rodar DIRETO no SQL Editor do Databricks — fora do chat do Genie — para confirmar se aquele SQL específico bate com o Power BI; (2) só depois de confirmado que o SQL está correto, usar esse mesmo SQL validado como referência em um prompt para o Genie Code, pedindo que ele compare com o que está gerando no chat e identifique a causa da divergência. Esse caminho isola se o problema é de lógica/dado (etapa 1 resolve sozinha) ou de comportamento do Genie ao responder (só a etapa 2 revela — ex.: título de Example Query longo demais, cache de resposta anterior sendo reciclado, Example Query não sendo usada mesmo estando correta).</w:t>
      </w:r>
    </w:p>
    <w:p>
      <w:pPr>
        <w:pStyle w:val="Heading1"/>
        <w:spacing w:after="150" w:before="300"/>
      </w:pPr>
      <w:r>
        <w:t xml:space="preserve">8. Diagnóstico de divergência</w:t>
      </w:r>
    </w:p>
    <w:p>
      <w:pPr>
        <w:spacing w:after="120"/>
      </w:pPr>
      <w:r>
        <w:rPr>
          <w:rFonts w:ascii="Calibri" w:cs="Calibri" w:eastAsia="Calibri" w:hAnsi="Calibri"/>
          <w:sz w:val="22"/>
          <w:szCs w:val="22"/>
        </w:rPr>
        <w:t xml:space="preserve">Quando os números não batem, comparar o SQL gerado com a regra documentada, verificando na ordem:</w:t>
      </w:r>
    </w:p>
    <w:p>
      <w:pPr>
        <w:pStyle w:val="ListParagraph"/>
        <w:numPr>
          <w:ilvl w:val="0"/>
          <w:numId w:val="2"/>
        </w:numPr>
        <w:spacing w:after="60"/>
      </w:pPr>
      <w:r>
        <w:rPr>
          <w:rFonts w:ascii="Calibri" w:cs="Calibri" w:eastAsia="Calibri" w:hAnsi="Calibri"/>
          <w:sz w:val="22"/>
          <w:szCs w:val="22"/>
        </w:rPr>
        <w:t xml:space="preserve">Join errado (tipo INNER vs LEFT, ou caminho de tabela incorreto).</w:t>
      </w:r>
    </w:p>
    <w:p>
      <w:pPr>
        <w:pStyle w:val="ListParagraph"/>
        <w:numPr>
          <w:ilvl w:val="0"/>
          <w:numId w:val="2"/>
        </w:numPr>
        <w:spacing w:after="60"/>
      </w:pPr>
      <w:r>
        <w:rPr>
          <w:rFonts w:ascii="Calibri" w:cs="Calibri" w:eastAsia="Calibri" w:hAnsi="Calibri"/>
          <w:sz w:val="22"/>
          <w:szCs w:val="22"/>
        </w:rPr>
        <w:t xml:space="preserve">Coluna calculada usada de forma incorreta (ex.: linha em avaliação em vez da linha ativa/agregada por window function).</w:t>
      </w:r>
    </w:p>
    <w:p>
      <w:pPr>
        <w:pStyle w:val="ListParagraph"/>
        <w:numPr>
          <w:ilvl w:val="0"/>
          <w:numId w:val="2"/>
        </w:numPr>
        <w:spacing w:after="60"/>
      </w:pPr>
      <w:r>
        <w:rPr>
          <w:rFonts w:ascii="Calibri" w:cs="Calibri" w:eastAsia="Calibri" w:hAnsi="Calibri"/>
          <w:sz w:val="22"/>
          <w:szCs w:val="22"/>
        </w:rPr>
        <w:t xml:space="preserve">Fan-out por duplicação de registros em alguma tabela envolvida no join.</w:t>
      </w:r>
    </w:p>
    <w:p>
      <w:pPr>
        <w:pStyle w:val="ListParagraph"/>
        <w:numPr>
          <w:ilvl w:val="0"/>
          <w:numId w:val="2"/>
        </w:numPr>
        <w:spacing w:after="60"/>
      </w:pPr>
      <w:r>
        <w:rPr>
          <w:rFonts w:ascii="Calibri" w:cs="Calibri" w:eastAsia="Calibri" w:hAnsi="Calibri"/>
          <w:sz w:val="22"/>
          <w:szCs w:val="22"/>
        </w:rPr>
        <w:t xml:space="preserve">Instrução sendo ignorada ou cortada por limite de tamanho do texto (sintoma: aviso de "long instruction" na sala).</w:t>
      </w:r>
    </w:p>
    <w:p>
      <w:pPr>
        <w:pStyle w:val="ListParagraph"/>
        <w:numPr>
          <w:ilvl w:val="0"/>
          <w:numId w:val="2"/>
        </w:numPr>
        <w:spacing w:after="60"/>
      </w:pPr>
      <w:r>
        <w:rPr>
          <w:rFonts w:ascii="Calibri" w:cs="Calibri" w:eastAsia="Calibri" w:hAnsi="Calibri"/>
          <w:sz w:val="22"/>
          <w:szCs w:val="22"/>
        </w:rPr>
        <w:t xml:space="preserve">Example Query correta cadastrada, mas ignorada pelo Genie mesmo assim: verificar o tamanho do título/descrição do exemplo (retrieval por embedding prefere título curto e específico — ver etapa 5). Sintoma: mesma pergunta, com SQL correto e validado cadastrado, continua recebendo uma resposta diferente e desatualizada, às vezes até reciclando um número já visto antes na conversa em vez de recalcular.</w:t>
      </w:r>
    </w:p>
    <w:p>
      <w:pPr>
        <w:spacing w:after="120"/>
      </w:pPr>
      <w:r>
        <w:rPr>
          <w:rFonts w:ascii="Calibri" w:cs="Calibri" w:eastAsia="Calibri" w:hAnsi="Calibri"/>
          <w:sz w:val="22"/>
          <w:szCs w:val="22"/>
        </w:rPr>
        <w:t xml:space="preserve">A correção deve sempre atacar a causa raiz — nunca ajustar apenas o resultado final sem entender por que divergiu.</w:t>
      </w:r>
    </w:p>
    <w:p>
      <w:pPr>
        <w:pStyle w:val="Heading2"/>
        <w:spacing w:after="100" w:before="220"/>
      </w:pPr>
      <w:r>
        <w:t xml:space="preserve">8.1 Padrões de SQL que causam divergência silenciosa</w:t>
      </w:r>
    </w:p>
    <w:p>
      <w:pPr>
        <w:spacing w:after="120"/>
      </w:pPr>
      <w:r>
        <w:rPr>
          <w:rFonts w:ascii="Calibri" w:cs="Calibri" w:eastAsia="Calibri" w:hAnsi="Calibri"/>
          <w:sz w:val="22"/>
          <w:szCs w:val="22"/>
        </w:rPr>
        <w:t xml:space="preserve">Quatro padrões recorrentes, encontrados em métricas de OEE que combinam produção e parada — vale checar cada um deles antes de assumir que a lógica está certa:</w:t>
      </w:r>
    </w:p>
    <w:p>
      <w:pPr>
        <w:pStyle w:val="ListParagraph"/>
        <w:numPr>
          <w:ilvl w:val="0"/>
          <w:numId w:val="2"/>
        </w:numPr>
        <w:spacing w:after="60"/>
      </w:pPr>
      <w:r>
        <w:rPr>
          <w:rFonts w:ascii="Calibri" w:cs="Calibri" w:eastAsia="Calibri" w:hAnsi="Calibri"/>
          <w:sz w:val="22"/>
          <w:szCs w:val="22"/>
        </w:rPr>
        <w:t xml:space="preserve">Filtro de data nunca pode entrar ANTES de uma window function que precisa de contexto completo. Quando uma proporção é calculada via SUM(...) OVER (PARTITION BY id_da_ordem, ...) — distribuindo um valor da ordem inteira entre os dias/linhas dela — filtrar por uma data específica dentro da mesma subconsulta corta o denominador da partição, inflando o resultado (visto até 40x maior que o correto). O filtro de data só pode ser aplicado no SELECT externo, depois da window function já ter sido calculada com a ordem inteira como contexto.</w:t>
      </w:r>
    </w:p>
    <w:p>
      <w:pPr>
        <w:pStyle w:val="ListParagraph"/>
        <w:numPr>
          <w:ilvl w:val="0"/>
          <w:numId w:val="2"/>
        </w:numPr>
        <w:spacing w:after="60"/>
      </w:pPr>
      <w:r>
        <w:rPr>
          <w:rFonts w:ascii="Calibri" w:cs="Calibri" w:eastAsia="Calibri" w:hAnsi="Calibri"/>
          <w:sz w:val="22"/>
          <w:szCs w:val="22"/>
        </w:rPr>
        <w:t xml:space="preserve">Filtros condicionais ao contexto de filtro do DAX original (ex.: IF(ISFILTERED(dm_production_order[order_code])...) — que aplicam uma restrição adicional SOMENTE quando a pergunta está filtrada por uma ordem de produção específica) não devem ser aplicados quando a pergunta agrupa por outra dimensão (máquina, turno, motivo). Aplicar esse filtro condicional sempre, mesmo sem filtro de ordem, restringe demais o resultado e reduz artificialmente o valor.</w:t>
      </w:r>
    </w:p>
    <w:p>
      <w:pPr>
        <w:pStyle w:val="ListParagraph"/>
        <w:numPr>
          <w:ilvl w:val="0"/>
          <w:numId w:val="2"/>
        </w:numPr>
        <w:spacing w:after="60"/>
      </w:pPr>
      <w:r>
        <w:rPr>
          <w:rFonts w:ascii="Calibri" w:cs="Calibri" w:eastAsia="Calibri" w:hAnsi="Calibri"/>
          <w:sz w:val="22"/>
          <w:szCs w:val="22"/>
        </w:rPr>
        <w:t xml:space="preserve">Ao combinar duas bases físicas diferentes por dimensão (ex.: tempo de produção + tempo de parada, agrupados por equipamento), começar o FROM em uma delas e fazer LEFT JOIN da outra perde silenciosamente qualquer equipamento que só exista do lado que ficou de fora do FROM inicial. Usar UNION (não UNION ALL, para não duplicar equipamento presente nas duas fontes) das chaves de agrupamento de ambas as bases como ponto de partida, com LEFT JOIN de cada agregação a partir dela.</w:t>
      </w:r>
    </w:p>
    <w:p>
      <w:pPr>
        <w:pStyle w:val="ListParagraph"/>
        <w:numPr>
          <w:ilvl w:val="0"/>
          <w:numId w:val="2"/>
        </w:numPr>
        <w:spacing w:after="60"/>
      </w:pPr>
      <w:r>
        <w:rPr>
          <w:rFonts w:ascii="Calibri" w:cs="Calibri" w:eastAsia="Calibri" w:hAnsi="Calibri"/>
          <w:sz w:val="22"/>
          <w:szCs w:val="22"/>
        </w:rPr>
        <w:t xml:space="preserve">DAX DIVIDE(numerador, denominador, 0) retorna 0 quando o denominador é zero — mas NULLIF(denominador, 0) sozinho em SQL faz a divisão inteira retornar NULL, não 0. É preciso envolver a divisão inteira em COALESCE(..., 0) por fora do NULLIF interno para replicar o terceiro parâmetro do DIVIDE corretamente.</w:t>
      </w:r>
    </w:p>
    <w:p>
      <w:pPr>
        <w:pStyle w:val="Heading1"/>
        <w:spacing w:after="150" w:before="300"/>
      </w:pPr>
      <w:r>
        <w:t xml:space="preserve">9. Reteste e fechamento</w:t>
      </w:r>
    </w:p>
    <w:p>
      <w:pPr>
        <w:pStyle w:val="ListParagraph"/>
        <w:numPr>
          <w:ilvl w:val="0"/>
          <w:numId w:val="2"/>
        </w:numPr>
        <w:spacing w:after="60"/>
      </w:pPr>
      <w:r>
        <w:rPr>
          <w:rFonts w:ascii="Calibri" w:cs="Calibri" w:eastAsia="Calibri" w:hAnsi="Calibri"/>
          <w:sz w:val="22"/>
          <w:szCs w:val="22"/>
        </w:rPr>
        <w:t xml:space="preserve">Reteste após cada correção aplicada.</w:t>
      </w:r>
    </w:p>
    <w:p>
      <w:pPr>
        <w:pStyle w:val="ListParagraph"/>
        <w:numPr>
          <w:ilvl w:val="0"/>
          <w:numId w:val="2"/>
        </w:numPr>
        <w:spacing w:after="60"/>
      </w:pPr>
      <w:r>
        <w:rPr>
          <w:rFonts w:ascii="Calibri" w:cs="Calibri" w:eastAsia="Calibri" w:hAnsi="Calibri"/>
          <w:sz w:val="22"/>
          <w:szCs w:val="22"/>
        </w:rPr>
        <w:t xml:space="preserve">Quando o resultado bate, a métrica é marcada como validada e o processo segue para a próxima.</w:t>
      </w:r>
    </w:p>
    <w:p>
      <w:pPr>
        <w:pStyle w:val="Heading1"/>
        <w:spacing w:after="150" w:before="300"/>
      </w:pPr>
      <w:r>
        <w:t xml:space="preserve">10. Documentação final do projeto</w:t>
      </w:r>
    </w:p>
    <w:p>
      <w:pPr>
        <w:pStyle w:val="ListParagraph"/>
        <w:numPr>
          <w:ilvl w:val="0"/>
          <w:numId w:val="2"/>
        </w:numPr>
        <w:spacing w:after="60"/>
      </w:pPr>
      <w:r>
        <w:rPr>
          <w:rFonts w:ascii="Calibri" w:cs="Calibri" w:eastAsia="Calibri" w:hAnsi="Calibri"/>
          <w:sz w:val="22"/>
          <w:szCs w:val="22"/>
        </w:rPr>
        <w:t xml:space="preserve">Ao fechar um projeto, consolidar tudo em um documento único: instruções finais, example queries cadastradas, joins configurados (com limitações), métricas validadas e pendências.</w:t>
      </w:r>
    </w:p>
    <w:p>
      <w:pPr>
        <w:pStyle w:val="ListParagraph"/>
        <w:numPr>
          <w:ilvl w:val="0"/>
          <w:numId w:val="2"/>
        </w:numPr>
        <w:spacing w:after="60"/>
      </w:pPr>
      <w:r>
        <w:rPr>
          <w:rFonts w:ascii="Calibri" w:cs="Calibri" w:eastAsia="Calibri" w:hAnsi="Calibri"/>
          <w:sz w:val="22"/>
          <w:szCs w:val="22"/>
        </w:rPr>
        <w:t xml:space="preserve">O documento final retrata o estado final do projeto — não o histórico do processo de correção (erros de desenvolvimento, migrações de catálogo, tentativas anteriores não entram no documento final).</w:t>
      </w:r>
    </w:p>
    <w:p>
      <w:pPr>
        <w:pStyle w:val="Heading1"/>
        <w:spacing w:after="150" w:before="300"/>
      </w:pPr>
      <w:r>
        <w:t xml:space="preserve">Histórico de revisões deste guia</w:t>
      </w:r>
    </w:p>
    <w:p>
      <w:pPr>
        <w:spacing w:after="120"/>
      </w:pPr>
      <w:r>
        <w:rPr>
          <w:rFonts w:ascii="Calibri" w:cs="Calibri" w:eastAsia="Calibri" w:hAnsi="Calibri"/>
          <w:sz w:val="22"/>
          <w:szCs w:val="22"/>
        </w:rPr>
        <w:t xml:space="preserve">Versão 1 — criada a partir do método aplicado nos projetos Heijunka e OEE.</w:t>
      </w:r>
    </w:p>
    <w:p>
      <w:pPr>
        <w:spacing w:after="120"/>
      </w:pPr>
      <w:r>
        <w:rPr>
          <w:rFonts w:ascii="Calibri" w:cs="Calibri" w:eastAsia="Calibri" w:hAnsi="Calibri"/>
          <w:sz w:val="22"/>
          <w:szCs w:val="22"/>
        </w:rPr>
        <w:t xml:space="preserve">Versão 2 — detalhado o passo de Sources (etapa 5) para diferenciar sala construída do zero (levantamento/inventário, sem comparação) de sala pré-existente (comparação entre sources cadastrados e tabelas em uso).</w:t>
      </w:r>
    </w:p>
    <w:p>
      <w:pPr>
        <w:spacing w:after="120"/>
      </w:pPr>
      <w:r>
        <w:rPr>
          <w:rFonts w:ascii="Calibri" w:cs="Calibri" w:eastAsia="Calibri" w:hAnsi="Calibri"/>
          <w:sz w:val="22"/>
          <w:szCs w:val="22"/>
        </w:rPr>
        <w:t xml:space="preserve">Versão 3 — incluído o uso de funções DAX INFO.VIEW.* (RELATIONSHIPS, MEASURES) e do método confirmado de extração em lote das consultas M via DMV TMSCHEMA_PARTITIONS (conexão Analysis Services / XMLA endpoint do workspace), substituindo o levantamento manual tabela por tabela. Incluída a priorização de medidas por pergunta de negócio antes do detalhamento e cadastro na sala Genie.</w:t>
      </w:r>
    </w:p>
    <w:p>
      <w:pPr>
        <w:spacing w:after="120"/>
      </w:pPr>
      <w:r>
        <w:rPr>
          <w:rFonts w:ascii="Calibri" w:cs="Calibri" w:eastAsia="Calibri" w:hAnsi="Calibri"/>
          <w:sz w:val="22"/>
          <w:szCs w:val="22"/>
        </w:rPr>
        <w:t xml:space="preserve">Versão 4 — incluído o uso do Genie Code para criação de Joins em lote a partir de um prompt único descrevendo os relacionamentos extraídos. Documento desdobrado: este arquivo cobre o processo manual; o processo com o site de automação (IA que classifica o CSV extraído e gera o prompt de configuração) passou a ter documento próprio.</w:t>
      </w:r>
    </w:p>
    <w:p>
      <w:pPr>
        <w:spacing w:after="120"/>
      </w:pPr>
      <w:r>
        <w:rPr>
          <w:rFonts w:ascii="Calibri" w:cs="Calibri" w:eastAsia="Calibri" w:hAnsi="Calibri"/>
          <w:sz w:val="22"/>
          <w:szCs w:val="22"/>
        </w:rPr>
        <w:t xml:space="preserve">Versão 5 — detalhado o cruzamento pergunta ↔ métrica ↔ query genérica (etapa 6.1): classificação de cada pergunta de negócio (query genérica / pergunta específica / métrica faltante), com as duas tabelas de rastreabilidade (roteamento e catálogo de queries genéricas, uma linha por medida) e o princípio de nunca criar Example Query específica por dimensão.</w:t>
      </w:r>
    </w:p>
    <w:p>
      <w:pPr>
        <w:spacing w:after="120"/>
      </w:pPr>
      <w:r>
        <w:rPr>
          <w:rFonts w:ascii="Calibri" w:cs="Calibri" w:eastAsia="Calibri" w:hAnsi="Calibri"/>
          <w:sz w:val="22"/>
          <w:szCs w:val="22"/>
        </w:rPr>
        <w:t xml:space="preserve">Versão 6 — adicionado à etapa 4 o princípio de não duplicar em Instructions descrições de coluna já existentes no Unity Catalog; nesses casos, uma regra geral orientando o Genie a consultar a descrição da coluna basta.</w:t>
      </w:r>
    </w:p>
    <w:p>
      <w:pPr>
        <w:spacing w:after="120"/>
      </w:pPr>
      <w:r>
        <w:rPr>
          <w:rFonts w:ascii="Calibri" w:cs="Calibri" w:eastAsia="Calibri" w:hAnsi="Calibri"/>
          <w:sz w:val="22"/>
          <w:szCs w:val="22"/>
        </w:rPr>
        <w:t xml:space="preserve">Versão 7 — esclarecido que o texto de instrução das métricas é redigido como resultado direto da confirmação do cruzamento pergunta↔métrica (etapa 6.1), e que o prompt final ao Genie Code não deve incluir frase-ponte redundante do tipo "adicione às instruções".</w:t>
      </w:r>
    </w:p>
    <w:p>
      <w:pPr>
        <w:spacing w:after="120"/>
      </w:pPr>
      <w:r>
        <w:rPr>
          <w:rFonts w:ascii="Calibri" w:cs="Calibri" w:eastAsia="Calibri" w:hAnsi="Calibri"/>
          <w:sz w:val="22"/>
          <w:szCs w:val="22"/>
        </w:rPr>
        <w:t xml:space="preserve">Versão 8 — esclarecido que as instruções são enviadas por partes ao longo do projeto (por tabela, depois por métricas, etc.) e que cada novo artefato de instrução é sempre incremental — adicionado ao final do texto existente, nunca uma substituição completa.</w:t>
      </w:r>
    </w:p>
    <w:p>
      <w:pPr>
        <w:spacing w:after="120"/>
      </w:pPr>
      <w:r>
        <w:rPr>
          <w:rFonts w:ascii="Calibri" w:cs="Calibri" w:eastAsia="Calibri" w:hAnsi="Calibri"/>
          <w:sz w:val="22"/>
          <w:szCs w:val="22"/>
        </w:rPr>
        <w:t xml:space="preserve">Versão 9 — adicionado à etapa 5 (e referenciado na etapa 8) o princípio de manter o título/descrição da Example Query curto e no formato de uma única pergunta direta, nunca uma lista de variações entre aspas — causa raiz confirmada em caso real onde um título de 198 caracteres impedia o retrieval do Genie de encontrar e usar o exemplo correto, mesmo com o SQL validado e a descrição batendo quase literalmente com a pergunta feita. Cobertura de variações de pergunta deve ir na Instructions, não no título do exemplo.</w:t>
      </w:r>
    </w:p>
    <w:p>
      <w:pPr>
        <w:spacing w:after="120"/>
      </w:pPr>
      <w:r>
        <w:rPr>
          <w:rFonts w:ascii="Calibri" w:cs="Calibri" w:eastAsia="Calibri" w:hAnsi="Calibri"/>
          <w:sz w:val="22"/>
          <w:szCs w:val="22"/>
        </w:rPr>
        <w:t xml:space="preserve">Versão 10 — adicionado à etapa 7 o caminho de diagnóstico de validar o SQL manualmente no Databricks antes de pedir ao Genie Code que compare e investigue a divergência do que ele mesmo gera no chat — isola causa de lógica/dado de causa de comportamento do Genie. Incluída a etapa 8.1 com quatro padrões de SQL recorrentes que causam divergência silenciosa em métricas que combinam produção e parada: ordem do filtro de data em relação a window functions, aplicação condicional de filtros de alocação apenas quando há filtro de ordem específica, uso de UNION (em vez de LEFT JOIN a partir de uma única base) para não perder equipamento presente em só uma das fontes, e COALESCE por fora do NULLIF para replicar o terceiro parâmetro do DIVIDE do DAX.</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lvl>
    <w:lvl w:ilvl="1"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2026-09-17T19:52:02.612Z</dcterms:created>
  <dcterms:modified xsi:type="dcterms:W3CDTF">2026-09-17T19:52:02.620Z</dcterms:modified>
</cp:coreProperties>
</file>

<file path=docProps/custom.xml><?xml version="1.0" encoding="utf-8"?>
<Properties xmlns="http://schemas.openxmlformats.org/officeDocument/2006/custom-properties" xmlns:vt="http://schemas.openxmlformats.org/officeDocument/2006/docPropsVTypes"/>
</file>