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E79"/>
          <w:sz w:val="36"/>
        </w:rPr>
        <w:t>Felipe Maldonado</w:t>
      </w:r>
    </w:p>
    <w:p>
      <w:pPr>
        <w:jc w:val="center"/>
      </w:pPr>
      <w:r>
        <w:rPr>
          <w:rFonts w:ascii="Calibri" w:hAnsi="Calibri"/>
          <w:b/>
          <w:sz w:val="22"/>
        </w:rPr>
        <w:t>Leader Sénior en Business Intelligence et Données | Stratégie BI | Reporting Exécutif | Analytique des Services Financiers</w:t>
      </w:r>
    </w:p>
    <w:p>
      <w:pPr>
        <w:jc w:val="center"/>
      </w:pPr>
      <w:r>
        <w:rPr>
          <w:rFonts w:ascii="Calibri" w:hAnsi="Calibri"/>
          <w:b w:val="0"/>
          <w:sz w:val="21"/>
        </w:rPr>
        <w:t>Montréal, QC  |  +1 438 340 3252  |  inq.felipe.maldonado@gmail.com  |  linkedin.com/in/felipe-maldonado</w:t>
      </w:r>
    </w:p>
    <w:p>
      <w:pPr>
        <w:spacing w:before="160" w:after="40"/>
      </w:pPr>
      <w:r>
        <w:rPr>
          <w:rFonts w:ascii="Calibri" w:hAnsi="Calibri"/>
          <w:b/>
          <w:color w:val="1F4E79"/>
          <w:sz w:val="22"/>
        </w:rPr>
        <w:t>PROFIL PROFESSIONNEL</w:t>
      </w:r>
    </w:p>
    <w:p>
      <w:pPr>
        <w:spacing w:after="40"/>
      </w:pPr>
      <w:r>
        <w:rPr>
          <w:rFonts w:ascii="Calibri" w:hAnsi="Calibri"/>
          <w:sz w:val="21"/>
        </w:rPr>
        <w:t>Professionnel sénior en business intelligence et en données avec 18 ans d’expérience, des systèmes transactionnels mainframe jusqu’aux plateformes de données infonuagiques modernes, dont 11 ans dans les services financiers (banque de détail, crédit, gestion de créances et LBA/AML) au Canada, en Colombie, au Mexique et en Espagne. Je dirige actuellement le volet BI d’une migration stratégique d’un système opérationnel sur site vers l’infonuagique, avec une architecture cible dans Snowflake certifiée à 99 % d’exactitude au niveau de l’enregistrement, et j’ai conçu de bout en bout une plateforme d’entreprise de commissions de vente. J’ai géré des équipes allant jusqu’à six personnes et standardisé les définitions de KPI sur 30 portefeuilles clients et quatre secteurs d’affaires. Trilingue (espagnol, français, anglais), à l’aise tant avec les intervenants exécutifs qu’avec les équipes techniques.</w:t>
      </w:r>
    </w:p>
    <w:p>
      <w:pPr>
        <w:spacing w:before="160" w:after="40"/>
      </w:pPr>
      <w:r>
        <w:rPr>
          <w:rFonts w:ascii="Calibri" w:hAnsi="Calibri"/>
          <w:b/>
          <w:color w:val="1F4E79"/>
          <w:sz w:val="22"/>
        </w:rPr>
        <w:t>COMPÉTENCES CLÉS</w:t>
      </w:r>
    </w:p>
    <w:p>
      <w:pPr>
        <w:pStyle w:val="ListBullet"/>
        <w:spacing w:after="20"/>
      </w:pPr>
      <w:r>
        <w:rPr>
          <w:rFonts w:ascii="Calibri" w:hAnsi="Calibri"/>
          <w:sz w:val="21"/>
        </w:rPr>
        <w:t>Stratégie de business intelligence et reporting exécutif</w:t>
      </w:r>
    </w:p>
    <w:p>
      <w:pPr>
        <w:pStyle w:val="ListBullet"/>
        <w:spacing w:after="20"/>
      </w:pPr>
      <w:r>
        <w:rPr>
          <w:rFonts w:ascii="Calibri" w:hAnsi="Calibri"/>
          <w:sz w:val="21"/>
        </w:rPr>
        <w:t>Cadres de KPI / OKR et gestion de la performance d’affaires</w:t>
      </w:r>
    </w:p>
    <w:p>
      <w:pPr>
        <w:pStyle w:val="ListBullet"/>
        <w:spacing w:after="20"/>
      </w:pPr>
      <w:r>
        <w:rPr>
          <w:rFonts w:ascii="Calibri" w:hAnsi="Calibri"/>
          <w:sz w:val="21"/>
        </w:rPr>
        <w:t>Analytique des services financiers, bancaires et de campagnes</w:t>
      </w:r>
    </w:p>
    <w:p>
      <w:pPr>
        <w:pStyle w:val="ListBullet"/>
        <w:spacing w:after="20"/>
      </w:pPr>
      <w:r>
        <w:rPr>
          <w:rFonts w:ascii="Calibri" w:hAnsi="Calibri"/>
          <w:sz w:val="21"/>
        </w:rPr>
        <w:t>Réconciliation, validation et gouvernance des données</w:t>
      </w:r>
    </w:p>
    <w:p>
      <w:pPr>
        <w:pStyle w:val="ListBullet"/>
        <w:spacing w:after="20"/>
      </w:pPr>
      <w:r>
        <w:rPr>
          <w:rFonts w:ascii="Calibri" w:hAnsi="Calibri"/>
          <w:sz w:val="21"/>
        </w:rPr>
        <w:t>Développement de tableaux de bord (Power BI)</w:t>
      </w:r>
    </w:p>
    <w:p>
      <w:pPr>
        <w:pStyle w:val="ListBullet"/>
        <w:spacing w:after="20"/>
      </w:pPr>
      <w:r>
        <w:rPr>
          <w:rFonts w:ascii="Calibri" w:hAnsi="Calibri"/>
          <w:sz w:val="21"/>
        </w:rPr>
        <w:t>SQL avancé, modélisation de données et ETL/ELT</w:t>
      </w:r>
    </w:p>
    <w:p>
      <w:pPr>
        <w:pStyle w:val="ListBullet"/>
        <w:spacing w:after="20"/>
      </w:pPr>
      <w:r>
        <w:rPr>
          <w:rFonts w:ascii="Calibri" w:hAnsi="Calibri"/>
          <w:sz w:val="21"/>
        </w:rPr>
        <w:t>Gestion d’intervenants exécutifs et leadership interfonctionnel</w:t>
      </w:r>
    </w:p>
    <w:p>
      <w:pPr>
        <w:pStyle w:val="ListBullet"/>
        <w:spacing w:after="20"/>
      </w:pPr>
      <w:r>
        <w:rPr>
          <w:rFonts w:ascii="Calibri" w:hAnsi="Calibri"/>
          <w:sz w:val="21"/>
        </w:rPr>
        <w:t>Gestion du changement et amélioration continue</w:t>
      </w:r>
    </w:p>
    <w:p>
      <w:pPr>
        <w:pStyle w:val="ListBullet"/>
        <w:spacing w:after="20"/>
      </w:pPr>
      <w:r>
        <w:rPr>
          <w:rFonts w:ascii="Calibri" w:hAnsi="Calibri"/>
          <w:sz w:val="21"/>
        </w:rPr>
        <w:t>Ingénierie assistée par IA (Devin, Windsurf / Cascade)</w:t>
      </w:r>
    </w:p>
    <w:p>
      <w:pPr>
        <w:pStyle w:val="ListBullet"/>
        <w:spacing w:after="20"/>
      </w:pPr>
      <w:r>
        <w:rPr>
          <w:rFonts w:ascii="Calibri" w:hAnsi="Calibri"/>
          <w:sz w:val="21"/>
        </w:rPr>
        <w:t>Livraison de projets et gestion des exigences d’affaires</w:t>
      </w:r>
    </w:p>
    <w:p>
      <w:pPr>
        <w:spacing w:before="160" w:after="40"/>
      </w:pPr>
      <w:r>
        <w:rPr>
          <w:rFonts w:ascii="Calibri" w:hAnsi="Calibri"/>
          <w:b/>
          <w:color w:val="1F4E79"/>
          <w:sz w:val="22"/>
        </w:rPr>
        <w:t>EXPÉRIENCE PROFESSIONNELLE</w:t>
      </w:r>
    </w:p>
    <w:p>
      <w:pPr>
        <w:spacing w:before="80" w:after="20"/>
      </w:pPr>
      <w:r>
        <w:rPr>
          <w:rFonts w:ascii="Calibri" w:hAnsi="Calibri"/>
          <w:b/>
          <w:sz w:val="21"/>
        </w:rPr>
        <w:t>Senior Business Intelligence Analyst  |  Alithya</w:t>
      </w:r>
    </w:p>
    <w:p>
      <w:pPr>
        <w:spacing w:after="20"/>
      </w:pPr>
      <w:r>
        <w:rPr>
          <w:rFonts w:ascii="Calibri" w:hAnsi="Calibri"/>
          <w:i/>
          <w:sz w:val="20"/>
        </w:rPr>
        <w:t>Août 2022 - Présent  |  Montréal, QC</w:t>
      </w:r>
    </w:p>
    <w:p>
      <w:pPr>
        <w:pStyle w:val="ListBullet"/>
        <w:spacing w:after="20"/>
      </w:pPr>
      <w:r>
        <w:rPr>
          <w:rFonts w:ascii="Calibri" w:hAnsi="Calibri"/>
          <w:sz w:val="21"/>
        </w:rPr>
        <w:t>J’ai défini l’architecture cible de données dans Snowflake et dirigé le volet BI de l’analyse des systèmes sources jusqu’à l’approbation en production.</w:t>
      </w:r>
    </w:p>
    <w:p>
      <w:pPr>
        <w:pStyle w:val="ListBullet"/>
        <w:spacing w:after="20"/>
      </w:pPr>
      <w:r>
        <w:rPr>
          <w:rFonts w:ascii="Calibri" w:hAnsi="Calibri"/>
          <w:sz w:val="21"/>
        </w:rPr>
        <w:t>J’ai bâti la validation massive d’intégrité qui a certifié la migration à 99 % d’exactitude au niveau de l’enregistrement sur 5 cycles de validation, le seuil fixé par l’entreprise pour approuver la mise en production.</w:t>
      </w:r>
    </w:p>
    <w:p>
      <w:pPr>
        <w:pStyle w:val="ListBullet"/>
        <w:spacing w:after="20"/>
      </w:pPr>
      <w:r>
        <w:rPr>
          <w:rFonts w:ascii="Calibri" w:hAnsi="Calibri"/>
          <w:sz w:val="21"/>
        </w:rPr>
        <w:t>J’ai conçu et bâti de bout en bout une plateforme d’entreprise de commissions de vente en tant que seul responsable (analyse d’affaires, modélisation SCD Type 2, procédures stockées, reporting), en validant le modèle directement avec le VP Finances.</w:t>
      </w:r>
    </w:p>
    <w:p>
      <w:pPr>
        <w:pStyle w:val="ListBullet"/>
        <w:spacing w:after="20"/>
      </w:pPr>
      <w:r>
        <w:rPr>
          <w:rFonts w:ascii="Calibri" w:hAnsi="Calibri"/>
          <w:sz w:val="21"/>
        </w:rPr>
        <w:t>J’ai reconstruit la couche de données d’un secteur d’affichage extérieur en chargement modulaire, améliorant le temps de rafraîchissement des rapports de 45 %.</w:t>
      </w:r>
    </w:p>
    <w:p>
      <w:pPr>
        <w:pStyle w:val="ListBullet"/>
        <w:spacing w:after="20"/>
      </w:pPr>
      <w:r>
        <w:rPr>
          <w:rFonts w:ascii="Calibri" w:hAnsi="Calibri"/>
          <w:sz w:val="21"/>
        </w:rPr>
        <w:t>J’ai reconstruit 18 rapports hérités et livré 13 nouveaux rapports à travers la migration et les secteurs d’affaires.</w:t>
      </w:r>
    </w:p>
    <w:p>
      <w:pPr>
        <w:pStyle w:val="ListBullet"/>
        <w:spacing w:after="20"/>
      </w:pPr>
      <w:r>
        <w:rPr>
          <w:rFonts w:ascii="Calibri" w:hAnsi="Calibri"/>
          <w:sz w:val="21"/>
        </w:rPr>
        <w:t>Sur un mandat en aviation de 6 mois, j’ai livré 24 rapports Power BI et encadré 5 collègues; sur un mandat en santé publique de 8 mois, j’ai formé 6 départements à bâtir et maintenir leurs propres rapports.</w:t>
      </w:r>
    </w:p>
    <w:p>
      <w:pPr>
        <w:spacing w:before="80" w:after="20"/>
      </w:pPr>
      <w:r>
        <w:rPr>
          <w:rFonts w:ascii="Calibri" w:hAnsi="Calibri"/>
          <w:b/>
          <w:sz w:val="21"/>
        </w:rPr>
        <w:t>Data Analyst  |  CGI</w:t>
      </w:r>
    </w:p>
    <w:p>
      <w:pPr>
        <w:spacing w:after="20"/>
      </w:pPr>
      <w:r>
        <w:rPr>
          <w:rFonts w:ascii="Calibri" w:hAnsi="Calibri"/>
          <w:i/>
          <w:sz w:val="20"/>
        </w:rPr>
        <w:t>Juillet 2021 - Août 2022  |  Montréal, QC</w:t>
      </w:r>
    </w:p>
    <w:p>
      <w:pPr>
        <w:pStyle w:val="ListBullet"/>
        <w:spacing w:after="20"/>
      </w:pPr>
      <w:r>
        <w:rPr>
          <w:rFonts w:ascii="Calibri" w:hAnsi="Calibri"/>
          <w:sz w:val="21"/>
        </w:rPr>
        <w:t>J’ai mis en place l’exécution en parallèle des paquets SSIS, réduisant la fenêtre de chargement globale de 45 %.</w:t>
      </w:r>
    </w:p>
    <w:p>
      <w:pPr>
        <w:pStyle w:val="ListBullet"/>
        <w:spacing w:after="20"/>
      </w:pPr>
      <w:r>
        <w:rPr>
          <w:rFonts w:ascii="Calibri" w:hAnsi="Calibri"/>
          <w:sz w:val="21"/>
        </w:rPr>
        <w:t>J’ai revu les processus ETL Pentaho existants pour éliminer les goulots d’étranglement et permettre le parallélisme, en amont d’une migration vers Talend.</w:t>
      </w:r>
    </w:p>
    <w:p>
      <w:pPr>
        <w:pStyle w:val="ListBullet"/>
        <w:spacing w:after="20"/>
      </w:pPr>
      <w:r>
        <w:rPr>
          <w:rFonts w:ascii="Calibri" w:hAnsi="Calibri"/>
          <w:sz w:val="21"/>
        </w:rPr>
        <w:t>J’ai bâti le premier référentiel de documentation de la plateforme, couvrant ~150 processus ETL et cartographiant leurs dépendances d’exécution.</w:t>
      </w:r>
    </w:p>
    <w:p>
      <w:pPr>
        <w:pStyle w:val="ListBullet"/>
        <w:spacing w:after="20"/>
      </w:pPr>
      <w:r>
        <w:rPr>
          <w:rFonts w:ascii="Calibri" w:hAnsi="Calibri"/>
          <w:sz w:val="21"/>
        </w:rPr>
        <w:t>J’ai mené des ateliers de découverte avec 8 fonctions d’affaires et conçu des modèles de données logiques et physiques.</w:t>
      </w:r>
    </w:p>
    <w:p>
      <w:pPr>
        <w:pStyle w:val="ListBullet"/>
        <w:spacing w:after="20"/>
      </w:pPr>
      <w:r>
        <w:rPr>
          <w:rFonts w:ascii="Calibri" w:hAnsi="Calibri"/>
          <w:sz w:val="21"/>
        </w:rPr>
        <w:t>J’ai contribué au déploiement des politiques et normes de gestion des données à l’échelle de l’entreprise.</w:t>
      </w:r>
    </w:p>
    <w:p>
      <w:pPr>
        <w:spacing w:before="80" w:after="20"/>
      </w:pPr>
      <w:r>
        <w:rPr>
          <w:rFonts w:ascii="Calibri" w:hAnsi="Calibri"/>
          <w:b/>
          <w:sz w:val="21"/>
        </w:rPr>
        <w:t>Directeur de Données Stratégique  |  AECSA</w:t>
      </w:r>
    </w:p>
    <w:p>
      <w:pPr>
        <w:spacing w:after="20"/>
      </w:pPr>
      <w:r>
        <w:rPr>
          <w:rFonts w:ascii="Calibri" w:hAnsi="Calibri"/>
          <w:i/>
          <w:sz w:val="20"/>
        </w:rPr>
        <w:t>Avril 2017 - Juillet 2018  |  Bogotá, Colombie</w:t>
      </w:r>
    </w:p>
    <w:p>
      <w:pPr>
        <w:pStyle w:val="ListBullet"/>
        <w:spacing w:after="20"/>
      </w:pPr>
      <w:r>
        <w:rPr>
          <w:rFonts w:ascii="Calibri" w:hAnsi="Calibri"/>
          <w:sz w:val="21"/>
        </w:rPr>
        <w:t>J’ai dirigé la conception d’un nouvel écosystème de données centralisé pour remplacer le reporting fragmenté portefeuille par portefeuille par un seul environnement intégré.</w:t>
      </w:r>
    </w:p>
    <w:p>
      <w:pPr>
        <w:pStyle w:val="ListBullet"/>
        <w:spacing w:after="20"/>
      </w:pPr>
      <w:r>
        <w:rPr>
          <w:rFonts w:ascii="Calibri" w:hAnsi="Calibri"/>
          <w:sz w:val="21"/>
        </w:rPr>
        <w:t>J’ai interrogé 9 directeurs de comptes et défini un ensemble standard de 12 KPI adopté sur les 30 portefeuilles.</w:t>
      </w:r>
    </w:p>
    <w:p>
      <w:pPr>
        <w:pStyle w:val="ListBullet"/>
        <w:spacing w:after="20"/>
      </w:pPr>
      <w:r>
        <w:rPr>
          <w:rFonts w:ascii="Calibri" w:hAnsi="Calibri"/>
          <w:sz w:val="21"/>
        </w:rPr>
        <w:t>J’ai conçu l’architecture autour d’exigences strictes de ségrégation des données entre institutions financières.</w:t>
      </w:r>
    </w:p>
    <w:p>
      <w:pPr>
        <w:pStyle w:val="ListBullet"/>
        <w:spacing w:after="20"/>
      </w:pPr>
      <w:r>
        <w:rPr>
          <w:rFonts w:ascii="Calibri" w:hAnsi="Calibri"/>
          <w:sz w:val="21"/>
        </w:rPr>
        <w:t>J’ai bâti et dirigé une équipe de 6 personnes (3 analystes d’affaires, 3 développeurs BI), en livrant un pilote intégrant 2 portefeuilles.</w:t>
      </w:r>
    </w:p>
    <w:p>
      <w:pPr>
        <w:pStyle w:val="ListBullet"/>
        <w:spacing w:after="20"/>
      </w:pPr>
      <w:r>
        <w:rPr>
          <w:rFonts w:ascii="Calibri" w:hAnsi="Calibri"/>
          <w:sz w:val="21"/>
        </w:rPr>
        <w:t>J’ai bâti l’analyse de rentabilité pour un état cible infonuagique et dirigé la négociation avec Microsoft, incluant la livraison de Power BI sur mobile.</w:t>
      </w:r>
    </w:p>
    <w:p>
      <w:pPr>
        <w:spacing w:before="80" w:after="20"/>
      </w:pPr>
      <w:r>
        <w:rPr>
          <w:rFonts w:ascii="Calibri" w:hAnsi="Calibri"/>
          <w:b/>
          <w:sz w:val="21"/>
        </w:rPr>
        <w:t>Coordinateur de Campagnes – Business Intelligence  |  Banco Falabella Colombia</w:t>
      </w:r>
    </w:p>
    <w:p>
      <w:pPr>
        <w:spacing w:after="20"/>
      </w:pPr>
      <w:r>
        <w:rPr>
          <w:rFonts w:ascii="Calibri" w:hAnsi="Calibri"/>
          <w:i/>
          <w:sz w:val="20"/>
        </w:rPr>
        <w:t>Décembre 2014 - Novembre 2016  |  Bogotá, Colombie</w:t>
      </w:r>
    </w:p>
    <w:p>
      <w:pPr>
        <w:pStyle w:val="ListBullet"/>
        <w:spacing w:after="20"/>
      </w:pPr>
      <w:r>
        <w:rPr>
          <w:rFonts w:ascii="Calibri" w:hAnsi="Calibri"/>
          <w:sz w:val="21"/>
        </w:rPr>
        <w:t>J’ai bâti des profils clients consolidés par modélisation RFM sur 1,5 million de clients, faisant passer le ciblage de la détention de carte au comportement.</w:t>
      </w:r>
    </w:p>
    <w:p>
      <w:pPr>
        <w:pStyle w:val="ListBullet"/>
        <w:spacing w:after="20"/>
      </w:pPr>
      <w:r>
        <w:rPr>
          <w:rFonts w:ascii="Calibri" w:hAnsi="Calibri"/>
          <w:sz w:val="21"/>
        </w:rPr>
        <w:t>J’ai priorisé le pipeline de campagnes par impact attendu par secteur; la facturation a augmenté de 8 % d’une année à l’autre.</w:t>
      </w:r>
    </w:p>
    <w:p>
      <w:pPr>
        <w:pStyle w:val="ListBullet"/>
        <w:spacing w:after="20"/>
      </w:pPr>
      <w:r>
        <w:rPr>
          <w:rFonts w:ascii="Calibri" w:hAnsi="Calibri"/>
          <w:sz w:val="21"/>
        </w:rPr>
        <w:t>J’ai réduit l’abandon des canaux numériques de 14 % en appliquant la réglementation colombienne sur le recontact.</w:t>
      </w:r>
    </w:p>
    <w:p>
      <w:pPr>
        <w:pStyle w:val="ListBullet"/>
        <w:spacing w:after="20"/>
      </w:pPr>
      <w:r>
        <w:rPr>
          <w:rFonts w:ascii="Calibri" w:hAnsi="Calibri"/>
          <w:sz w:val="21"/>
        </w:rPr>
        <w:t>J’ai réduit les coûts de communication de 35 % en déplaçant le volume vers le courriel et standardisé le reporting de campagnes en un seul ensemble de KPI.</w:t>
      </w:r>
    </w:p>
    <w:p>
      <w:pPr>
        <w:pStyle w:val="ListBullet"/>
        <w:spacing w:after="20"/>
      </w:pPr>
      <w:r>
        <w:rPr>
          <w:rFonts w:ascii="Calibri" w:hAnsi="Calibri"/>
          <w:sz w:val="21"/>
        </w:rPr>
        <w:t>J’ai développé le scoring de propension de vente croisée et le moteur de sélection de clients en PHP sur SQL Server.</w:t>
      </w:r>
    </w:p>
    <w:p>
      <w:pPr>
        <w:spacing w:before="80" w:after="20"/>
      </w:pPr>
      <w:r>
        <w:rPr>
          <w:rFonts w:ascii="Calibri" w:hAnsi="Calibri"/>
          <w:b/>
          <w:sz w:val="21"/>
        </w:rPr>
        <w:t>Chef de Projet TI – Business Intelligence  |  INFOMEDIA / SoftTek Solutions</w:t>
      </w:r>
    </w:p>
    <w:p>
      <w:pPr>
        <w:spacing w:after="20"/>
      </w:pPr>
      <w:r>
        <w:rPr>
          <w:rFonts w:ascii="Calibri" w:hAnsi="Calibri"/>
          <w:i/>
          <w:sz w:val="20"/>
        </w:rPr>
        <w:t>Août 2013 - Septembre 2014  |  Mexico, Mexique</w:t>
      </w:r>
    </w:p>
    <w:p>
      <w:pPr>
        <w:pStyle w:val="ListBullet"/>
        <w:spacing w:after="20"/>
      </w:pPr>
      <w:r>
        <w:rPr>
          <w:rFonts w:ascii="Calibri" w:hAnsi="Calibri"/>
          <w:sz w:val="21"/>
        </w:rPr>
        <w:t>J’ai conçu l’extraction et la consolidation des données transactionnelles afin de tracer les mouvements de fonds de bout en bout, à un volume de ~210 millions de transactions par mois.</w:t>
      </w:r>
    </w:p>
    <w:p>
      <w:pPr>
        <w:pStyle w:val="ListBullet"/>
        <w:spacing w:after="20"/>
      </w:pPr>
      <w:r>
        <w:rPr>
          <w:rFonts w:ascii="Calibri" w:hAnsi="Calibri"/>
          <w:sz w:val="21"/>
        </w:rPr>
        <w:t>J’ai déplacé les données du mainframe (DB2) vers Teradata et mis en place une extraction en parallèle qui a amélioré les temps d’extraction de 40 %.</w:t>
      </w:r>
    </w:p>
    <w:p>
      <w:pPr>
        <w:pStyle w:val="ListBullet"/>
        <w:spacing w:after="20"/>
      </w:pPr>
      <w:r>
        <w:rPr>
          <w:rFonts w:ascii="Calibri" w:hAnsi="Calibri"/>
          <w:sz w:val="21"/>
        </w:rPr>
        <w:t>J’ai implémenté le profilage de risque client et la logique d’identification des flux d’argent selon les règles de détection LBA/AML.</w:t>
      </w:r>
    </w:p>
    <w:p>
      <w:pPr>
        <w:pStyle w:val="ListBullet"/>
        <w:spacing w:after="20"/>
      </w:pPr>
      <w:r>
        <w:rPr>
          <w:rFonts w:ascii="Calibri" w:hAnsi="Calibri"/>
          <w:sz w:val="21"/>
        </w:rPr>
        <w:t>J’ai assuré la gouvernance de livraison de ~25 rapports réglementaires interdépendants, en suivant leur état avec des intervenants de niveau VP.</w:t>
      </w:r>
    </w:p>
    <w:p>
      <w:pPr>
        <w:spacing w:before="80" w:after="20"/>
      </w:pPr>
      <w:r>
        <w:rPr>
          <w:rFonts w:ascii="Calibri" w:hAnsi="Calibri"/>
          <w:b/>
          <w:sz w:val="21"/>
        </w:rPr>
        <w:t>Spécialiste BI (progression depuis Développeur COBOL)  |  BBVA Colombia</w:t>
      </w:r>
    </w:p>
    <w:p>
      <w:pPr>
        <w:spacing w:after="20"/>
      </w:pPr>
      <w:r>
        <w:rPr>
          <w:rFonts w:ascii="Calibri" w:hAnsi="Calibri"/>
          <w:i/>
          <w:sz w:val="20"/>
        </w:rPr>
        <w:t>Janvier 2008 - Juillet 2013  |  Bogotá, Colombie</w:t>
      </w:r>
    </w:p>
    <w:p>
      <w:pPr>
        <w:pStyle w:val="ListBullet"/>
        <w:spacing w:after="20"/>
      </w:pPr>
      <w:r>
        <w:rPr>
          <w:rFonts w:ascii="Calibri" w:hAnsi="Calibri"/>
          <w:sz w:val="21"/>
        </w:rPr>
        <w:t>J’ai agi comme leader technique pour la Colombie sur le programme corporatif de Campagnes Commerciales du groupe, déployé ensuite au Pérou, en Argentine et au Chili.</w:t>
      </w:r>
    </w:p>
    <w:p>
      <w:pPr>
        <w:pStyle w:val="ListBullet"/>
        <w:spacing w:after="20"/>
      </w:pPr>
      <w:r>
        <w:rPr>
          <w:rFonts w:ascii="Calibri" w:hAnsi="Calibri"/>
          <w:sz w:val="21"/>
        </w:rPr>
        <w:t>J’ai été responsable du moteur de règles d’affaires calculant la probabilité de chaque client d’accepter une offre de crédit et transmettant les profils qualifiés au Risque.</w:t>
      </w:r>
    </w:p>
    <w:p>
      <w:pPr>
        <w:pStyle w:val="ListBullet"/>
        <w:spacing w:after="20"/>
      </w:pPr>
      <w:r>
        <w:rPr>
          <w:rFonts w:ascii="Calibri" w:hAnsi="Calibri"/>
          <w:sz w:val="21"/>
        </w:rPr>
        <w:t>J’ai automatisé le profilage client et le transfert au Risque sur tous les canaux; l’efficacité des campagnes est passée de 45 % à 66 %.</w:t>
      </w:r>
    </w:p>
    <w:p>
      <w:pPr>
        <w:pStyle w:val="ListBullet"/>
        <w:spacing w:after="20"/>
      </w:pPr>
      <w:r>
        <w:rPr>
          <w:rFonts w:ascii="Calibri" w:hAnsi="Calibri"/>
          <w:sz w:val="21"/>
        </w:rPr>
        <w:t>J’ai bâti une transaction de reporting de risque opérationnel à l’échelle de la banque (COBOL/JCL/CICS) déployée dans 350 succursales.</w:t>
      </w:r>
    </w:p>
    <w:p>
      <w:pPr>
        <w:spacing w:before="160" w:after="40"/>
      </w:pPr>
      <w:r>
        <w:rPr>
          <w:rFonts w:ascii="Calibri" w:hAnsi="Calibri"/>
          <w:b/>
          <w:color w:val="1F4E79"/>
          <w:sz w:val="22"/>
        </w:rPr>
        <w:t>EXPÉRIENCE ADDITIONNELLE</w:t>
      </w:r>
    </w:p>
    <w:p>
      <w:pPr>
        <w:spacing w:after="40"/>
      </w:pPr>
      <w:r>
        <w:rPr>
          <w:rFonts w:ascii="Calibri" w:hAnsi="Calibri"/>
          <w:sz w:val="21"/>
        </w:rPr>
        <w:t>Consultant Indépendant en Données et Analytique  |  À distance depuis Montréal, QC  |  Février 2019 - Avril 2020</w:t>
      </w:r>
    </w:p>
    <w:p>
      <w:pPr>
        <w:spacing w:after="40"/>
      </w:pPr>
      <w:r>
        <w:rPr>
          <w:rFonts w:ascii="Calibri" w:hAnsi="Calibri"/>
          <w:sz w:val="21"/>
        </w:rPr>
        <w:t>oXya, A Hitachi Group Company — Technicien des Opérations  |  Montréal, QC  |  Janvier 2021 - Juillet 2021</w:t>
      </w:r>
    </w:p>
    <w:p>
      <w:pPr>
        <w:spacing w:after="40"/>
      </w:pPr>
      <w:r>
        <w:rPr>
          <w:rFonts w:ascii="Calibri" w:hAnsi="Calibri"/>
          <w:sz w:val="21"/>
        </w:rPr>
        <w:t>InteRecycle — Spécialiste du Support Technique  |  Montréal, QC  |  Juillet 2020 - Septembre 2020</w:t>
      </w:r>
    </w:p>
    <w:p>
      <w:pPr>
        <w:spacing w:before="160" w:after="40"/>
      </w:pPr>
      <w:r>
        <w:rPr>
          <w:rFonts w:ascii="Calibri" w:hAnsi="Calibri"/>
          <w:b/>
          <w:color w:val="1F4E79"/>
          <w:sz w:val="22"/>
        </w:rPr>
        <w:t>COMPÉTENCES TECHNIQUES</w:t>
      </w:r>
    </w:p>
    <w:p>
      <w:pPr>
        <w:pStyle w:val="ListBullet"/>
        <w:spacing w:after="20"/>
      </w:pPr>
      <w:r>
        <w:rPr>
          <w:rFonts w:ascii="Calibri" w:hAnsi="Calibri"/>
          <w:sz w:val="21"/>
        </w:rPr>
        <w:t>BI et Analytique : Power BI, Power BI Service, DAX, Power Query (M), SSRS, visualisation de données, BI en libre-service</w:t>
      </w:r>
    </w:p>
    <w:p>
      <w:pPr>
        <w:pStyle w:val="ListBullet"/>
        <w:spacing w:after="20"/>
      </w:pPr>
      <w:r>
        <w:rPr>
          <w:rFonts w:ascii="Calibri" w:hAnsi="Calibri"/>
          <w:sz w:val="21"/>
        </w:rPr>
        <w:t>Données et Ingénierie : SQL / T-SQL, Snowflake, Microsoft Fabric, Microsoft SQL Server, entreposage de données, ETL/ELT, modélisation dimensionnelle (Kimball), SCD Type 2, Python</w:t>
      </w:r>
    </w:p>
    <w:p>
      <w:pPr>
        <w:pStyle w:val="ListBullet"/>
        <w:spacing w:after="20"/>
      </w:pPr>
      <w:r>
        <w:rPr>
          <w:rFonts w:ascii="Calibri" w:hAnsi="Calibri"/>
          <w:sz w:val="21"/>
        </w:rPr>
        <w:t>Qualité et Gouvernance des Données : validation et réconciliation des données, lignage des données, gouvernance, certification de migration</w:t>
      </w:r>
    </w:p>
    <w:p>
      <w:pPr>
        <w:pStyle w:val="ListBullet"/>
        <w:spacing w:after="20"/>
      </w:pPr>
      <w:r>
        <w:rPr>
          <w:rFonts w:ascii="Calibri" w:hAnsi="Calibri"/>
          <w:sz w:val="21"/>
        </w:rPr>
        <w:t>CRM et Analytique Financière : Salesforce Marketing Cloud, analytique de campagnes, segmentation client (RFM), analytique bancaire</w:t>
      </w:r>
    </w:p>
    <w:p>
      <w:pPr>
        <w:pStyle w:val="ListBullet"/>
        <w:spacing w:after="20"/>
      </w:pPr>
      <w:r>
        <w:rPr>
          <w:rFonts w:ascii="Calibri" w:hAnsi="Calibri"/>
          <w:sz w:val="21"/>
        </w:rPr>
        <w:t>Collaboration et Livraison : Jira, Confluence, Git / Bitbucket, Agile / Scrum / Kanban</w:t>
      </w:r>
    </w:p>
    <w:p>
      <w:pPr>
        <w:pStyle w:val="ListBullet"/>
        <w:spacing w:after="20"/>
      </w:pPr>
      <w:r>
        <w:rPr>
          <w:rFonts w:ascii="Calibri" w:hAnsi="Calibri"/>
          <w:sz w:val="21"/>
        </w:rPr>
        <w:t>Leadership : gestion d’intervenants exécutifs, storytelling de données, présentations exécutives, leadership interfonctionnel, gestion du changement</w:t>
      </w:r>
    </w:p>
    <w:p>
      <w:pPr>
        <w:spacing w:before="160" w:after="40"/>
      </w:pPr>
      <w:r>
        <w:rPr>
          <w:rFonts w:ascii="Calibri" w:hAnsi="Calibri"/>
          <w:b/>
          <w:color w:val="1F4E79"/>
          <w:sz w:val="22"/>
        </w:rPr>
        <w:t>FORMATION</w:t>
      </w:r>
    </w:p>
    <w:p>
      <w:pPr>
        <w:spacing w:after="40"/>
      </w:pPr>
      <w:r>
        <w:rPr>
          <w:rFonts w:ascii="Calibri" w:hAnsi="Calibri"/>
          <w:sz w:val="21"/>
        </w:rPr>
        <w:t>Cours de 2e cycle – Big Data et Business Intelligence — Montréal, Québec, Canada — 2021</w:t>
      </w:r>
    </w:p>
    <w:p>
      <w:pPr>
        <w:spacing w:after="40"/>
      </w:pPr>
      <w:r>
        <w:rPr>
          <w:rFonts w:ascii="Calibri" w:hAnsi="Calibri"/>
          <w:sz w:val="21"/>
        </w:rPr>
        <w:t>Diplôme d’Études Professionnelles (DEP) – Soutien Informatique — Montréal, Québec, Canada — 2018 – 2020</w:t>
      </w:r>
    </w:p>
    <w:p>
      <w:pPr>
        <w:spacing w:after="40"/>
      </w:pPr>
      <w:r>
        <w:rPr>
          <w:rFonts w:ascii="Calibri" w:hAnsi="Calibri"/>
          <w:sz w:val="21"/>
        </w:rPr>
        <w:t>Spécialisation de 2e cycle en Marketing Numérique — 2014 – 2015</w:t>
      </w:r>
    </w:p>
    <w:p>
      <w:pPr>
        <w:spacing w:after="40"/>
      </w:pPr>
      <w:r>
        <w:rPr>
          <w:rFonts w:ascii="Calibri" w:hAnsi="Calibri"/>
          <w:sz w:val="21"/>
        </w:rPr>
        <w:t>Baccalauréat en Génie des Systèmes — 2002 – 2007</w:t>
      </w:r>
    </w:p>
    <w:p>
      <w:pPr>
        <w:spacing w:before="160" w:after="40"/>
      </w:pPr>
      <w:r>
        <w:rPr>
          <w:rFonts w:ascii="Calibri" w:hAnsi="Calibri"/>
          <w:b/>
          <w:color w:val="1F4E79"/>
          <w:sz w:val="22"/>
        </w:rPr>
        <w:t>LANGUES</w:t>
      </w:r>
    </w:p>
    <w:p>
      <w:pPr>
        <w:spacing w:after="40"/>
      </w:pPr>
      <w:r>
        <w:rPr>
          <w:rFonts w:ascii="Calibri" w:hAnsi="Calibri"/>
          <w:sz w:val="21"/>
        </w:rPr>
        <w:t>Espagnol — Langue Maternelle  |  Français — Compétence Professionnelle  |  Anglais — Compétence Professionnelle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