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1"/>
    <w:bookmarkEnd w:id="2"/>
    <w:p>
      <w:pPr>
        <w:spacing w:before="0" w:after="120"/>
        <w:ind w:firstLine="0"/>
        <w:jc w:val="center"/>
      </w:pPr>
      <w:r>
        <w:rPr>
          <w:rFonts w:ascii="Arial" w:hAnsi="Arial"/>
          <w:b/>
          <w:sz w:val="24"/>
        </w:rPr>
        <w:t>MODELOS DE CONCORRÊNCIA EM JAVA VIRTUAL THREADS E GO GOROUTINES EM WORKLOADS I/O-BOUND</w:t>
      </w:r>
    </w:p>
    <w:p>
      <w:pPr>
        <w:spacing w:before="120" w:after="80"/>
        <w:ind w:firstLine="0"/>
        <w:jc w:val="center"/>
      </w:pPr>
      <w:r>
        <w:rPr>
          <w:rFonts w:ascii="Arial" w:hAnsi="Arial"/>
          <w:sz w:val="22"/>
        </w:rPr>
        <w:t>Felippe Gustavo de Souza e Silva</w:t>
      </w:r>
      <w:r>
        <w:rPr>
          <w:rFonts w:ascii="Arial" w:hAnsi="Arial"/>
          <w:sz w:val="18"/>
          <w:vertAlign w:val="superscript"/>
        </w:rPr>
        <w:t>1*</w:t>
      </w:r>
      <w:r>
        <w:rPr>
          <w:rFonts w:ascii="Arial" w:hAnsi="Arial"/>
          <w:sz w:val="22"/>
        </w:rPr>
        <w:t>; Prof. Marcos Jardel Henriques</w:t>
      </w:r>
      <w:r>
        <w:rPr>
          <w:rFonts w:ascii="Arial" w:hAnsi="Arial"/>
          <w:sz w:val="18"/>
          <w:vertAlign w:val="superscript"/>
        </w:rPr>
        <w:t>2</w:t>
      </w:r>
    </w:p>
    <w:p>
      <w:pPr>
        <w:spacing w:before="80" w:after="40" w:line="270" w:lineRule="exact"/>
        <w:ind w:firstLine="0"/>
        <w:jc w:val="left"/>
      </w:pPr>
      <w:r>
        <w:rPr>
          <w:rFonts w:ascii="Arial" w:hAnsi="Arial"/>
          <w:sz w:val="18"/>
          <w:vertAlign w:val="superscript"/>
        </w:rPr>
        <w:t>1</w:t>
      </w:r>
      <w:r>
        <w:rPr>
          <w:rFonts w:ascii="Arial" w:hAnsi="Arial"/>
          <w:sz w:val="18"/>
        </w:rPr>
        <w:t xml:space="preserve"> Especializando em Engenharia de Software. Instituto de Ciências Matemáticas e de Computação da Universidade de São Paulo (ICMC/USP). Centro de Pesquisa, Inovação e Difusão do Centro de Ciências Matemáticas Aplicadas à Indústria (CEPID-CeMEAI). Av. Trab. São Carlense, 400 — Parque Arnold Schmidt; 13566-590 São Carlos, SP, Brasil. *Autor correspondente: felippe-gustavo@hotmail.com</w:t>
      </w:r>
    </w:p>
    <w:p>
      <w:pPr>
        <w:spacing w:before="40" w:after="160" w:line="270" w:lineRule="exact"/>
        <w:ind w:firstLine="0"/>
        <w:jc w:val="left"/>
      </w:pPr>
      <w:r>
        <w:rPr>
          <w:rFonts w:ascii="Arial" w:hAnsi="Arial"/>
          <w:sz w:val="18"/>
          <w:vertAlign w:val="superscript"/>
        </w:rPr>
        <w:t>2</w:t>
      </w:r>
      <w:r>
        <w:rPr>
          <w:rFonts w:ascii="Arial" w:hAnsi="Arial"/>
          <w:sz w:val="18"/>
        </w:rPr>
        <w:t xml:space="preserve"> Doutor em Estatística. Orientador USP/Esalq, Piracicaba — SP. E-mail: marcos.henriques@usp.br</w:t>
      </w:r>
    </w:p>
    <w:p>
      <w:pPr>
        <w:spacing w:before="220" w:after="0" w:line="330" w:lineRule="exact"/>
        <w:ind w:firstLine="0"/>
        <w:jc w:val="left"/>
      </w:pPr>
      <w:r>
        <w:rPr>
          <w:rFonts w:ascii="Arial" w:hAnsi="Arial"/>
          <w:b/>
          <w:sz w:val="22"/>
        </w:rPr>
        <w:t>Resumo</w:t>
      </w:r>
    </w:p>
    <w:p>
      <w:pPr>
        <w:spacing w:line="330" w:lineRule="exact"/>
        <w:jc w:val="both"/>
      </w:pPr>
      <w:r>
        <w:rPr>
          <w:rFonts w:ascii="Arial" w:hAnsi="Arial"/>
          <w:b w:val="0"/>
          <w:i w:val="0"/>
          <w:sz w:val="22"/>
        </w:rPr>
        <w:t>Este trabalho apresenta uma análise comparativa quantitativa e definitiva de modelos de concorrência voltados a workloads I/O-bound, avaliando o desempenho de Java 25 (com Virtual Threads sob o Project Loom), Go 1.25 (com Goroutines nativas) e Quarkus Native (com OS Threads tradicionais 1:1) sob carga controlada e extrema. A pesquisa foi dividida em duas fases: a Fase 1 (Isolamento em Hardware ARM64 Local) e a Fase 2 (Elasticidade Produtiva em cluster Google Kubernetes Engine - GKE). Os testes utilizaram a ferramenta k6 para simulação de carga de um Gateway de Pagamentos, integrado com banco PostgreSQL, Redis para cache de idempotência e uma API externa. O protocolo experimental garantiu a eliminação de vieses ao aplicar limpeza rigorosa de cache a cada iteração (zero-cache hits). Os resultados demonstram que em cargas de estresse sustentado (200 VUs), o ecossistema Java atingiu o maior throughput (290 RPS) impulsionado pelo JIT Compiler. Entretanto, no cenário de Spike imediato (500 VUs), a compilação Ahead-of-Time (AOT) do Go provou-se inigualável, entregando 274 RPS elásticos, enquanto o Java sofreu acentuada degradação (144 RPS, Tail Latency p95 de 4,2s) devido à contenção de locks no pool HikariCP. No escopo FinOps (Densidade de Pods), a pegada de memória RAM das Goroutines exigiu eficientes 75 MB em pico absoluto na nuvem, contrastando severamente com a alocação pesada da JVM em Java (733 MB).</w:t>
      </w:r>
    </w:p>
    <w:p>
      <w:pPr>
        <w:spacing w:before="80" w:after="160"/>
        <w:ind w:firstLine="0"/>
        <w:jc w:val="left"/>
      </w:pPr>
      <w:r>
        <w:rPr>
          <w:rFonts w:ascii="Arial" w:hAnsi="Arial"/>
          <w:b/>
          <w:sz w:val="22"/>
        </w:rPr>
        <w:t xml:space="preserve">Palavras-chave: </w:t>
      </w:r>
      <w:r>
        <w:rPr>
          <w:rFonts w:ascii="Arial" w:hAnsi="Arial"/>
          <w:sz w:val="22"/>
        </w:rPr>
        <w:t>Virtual Threads; Goroutines; Concorrência; Benchmark; I/O-Bound; FinOps; GKE.</w:t>
      </w:r>
    </w:p>
    <w:p>
      <w:r>
        <w:br w:type="page"/>
      </w:r>
    </w:p>
    <w:p>
      <w:pPr>
        <w:spacing w:before="220" w:after="0" w:line="330" w:lineRule="exact"/>
        <w:ind w:firstLine="0"/>
        <w:jc w:val="left"/>
      </w:pPr>
      <w:r>
        <w:rPr>
          <w:rFonts w:ascii="Arial" w:hAnsi="Arial"/>
          <w:b/>
          <w:sz w:val="22"/>
        </w:rPr>
        <w:t>Considerações Iniciais</w:t>
      </w:r>
    </w:p>
    <w:p>
      <w:pPr>
        <w:spacing w:line="330" w:lineRule="exact"/>
        <w:ind w:firstLine="709"/>
        <w:jc w:val="both"/>
      </w:pPr>
      <w:r>
        <w:rPr>
          <w:rFonts w:ascii="Arial" w:hAnsi="Arial"/>
          <w:b w:val="0"/>
          <w:i w:val="0"/>
          <w:sz w:val="22"/>
        </w:rPr>
        <w:t>O desenvolvimento de sistemas corporativos modernos, em especial gateways de processamento de pagamentos, é caracterizado por cargas de trabalho predominantemente limitadas por operações de entrada e saída (I/O-bound). Tais sistemas dependem de chamadas frequentes a bancos de dados relacionais para escrita de transações, acessos a caches distribuídos para validação de idempotência e requisições HTTP para adquirentes financeiras externas de processamento de cartões de crédito. Historicamente, runtimes tradicionais utilizavam um modelo de concorrência baseado em mapeamento de threads de sistema operacional (1:1), em que cada requisição em trânsito bloqueava fisicamente uma thread de hardware. Sob alta concorrência, esse modelo consome recursos de memória expressivos devido à alocação estática de memória de pilha (stack) para cada thread, impondo limites rígidos de escalabilidade horizontal aos serviços (Goetz et al., 2006).</w:t>
      </w:r>
    </w:p>
    <w:p>
      <w:pPr>
        <w:spacing w:line="330" w:lineRule="exact"/>
        <w:ind w:firstLine="709"/>
        <w:jc w:val="both"/>
      </w:pPr>
      <w:r>
        <w:rPr>
          <w:rFonts w:ascii="Arial" w:hAnsi="Arial"/>
          <w:b w:val="0"/>
          <w:i w:val="0"/>
          <w:sz w:val="22"/>
        </w:rPr>
        <w:t>Para contornar o limite de escalabilidade das threads de sistema operacional, surgiram modelos de concorrência leve baseados no agendamento cooperativo em espaço de usuário (M:N). O runtime do Go implementou Goroutines desde sua concepção em 2009, permitindo que milhares de tarefas leves sejam mapeadas em um pool enxuto de threads físicas, com stack dinâmica iniciando em aproximadamente 2KB e crescendo sob demanda (Pike, 2012). Em contrapartida, o ecossistema Java recentemente introduziu as Virtual Threads (Project Loom) no Java 21, consolidadas no Java 25 com o JEP 491, o qual eliminou o pinning de carrier threads ao lidar com blocos sincronizados, viabilizando throughput comparável ao de linguagens com concorrência nativa em espaço de usuário (Pressler e Bateman, 2023).</w:t>
      </w:r>
    </w:p>
    <w:p>
      <w:pPr>
        <w:spacing w:line="330" w:lineRule="exact"/>
        <w:ind w:firstLine="709"/>
        <w:jc w:val="both"/>
      </w:pPr>
      <w:r>
        <w:rPr>
          <w:rFonts w:ascii="Arial" w:hAnsi="Arial"/>
          <w:b w:val="0"/>
          <w:i w:val="0"/>
          <w:sz w:val="22"/>
        </w:rPr>
        <w:t>O problema central investigado neste trabalho relaciona-se à lacuna de conhecimento empírico sobre como diferentes modelos de concorrência se comportam sob cargas de I/O-bound extremas, especialmente quando há disputa por recursos finitos como pools de conexões de banco de dados. Estudos anteriores, como os conduzidos por Xu et al. (2021) no contexto de microsserviços Java, apontam que o gargalo em sistemas I/O-bound frequentemente reside nas camadas de integração — drivers de banco de dados, clientes HTTP e mecanismos de serialização — e não nos runtimes de linguagem em si. Essa perspectiva motiva a inclusão do Quarkus Native como baseline de controle, permitindo isolar o overhead da JVM do comportamento do modelo de threading.</w:t>
      </w:r>
    </w:p>
    <w:p>
      <w:pPr>
        <w:spacing w:line="330" w:lineRule="exact"/>
        <w:ind w:firstLine="709"/>
        <w:jc w:val="both"/>
      </w:pPr>
      <w:r>
        <w:rPr>
          <w:rFonts w:ascii="Arial" w:hAnsi="Arial"/>
          <w:b w:val="0"/>
          <w:i w:val="0"/>
          <w:sz w:val="22"/>
        </w:rPr>
        <w:t>O objetivo deste trabalho é comparar empiricamente o desempenho, o footprint de memória (FinOps) e a elasticidade sob carga limite dos modelos de concorrência M:N de Java 25 (Virtual Threads) e Go 1.25 (Goroutines), utilizando o Quarkus Native (OS Threads 1:1) como baseline de contraste para isolar o consumo de recursos da JVM e os impactos do bloqueio direto de threads. A pesquisa foi conduzida em duas etapas complementares: uma Fase 1 em ambiente de hardware local (ARM64) para determinação de limites estruturais, e uma Fase 2 em nuvem gerenciada (GKE) simulando tráfego intra-cluster de alta densidade. O restante deste artigo está organizado da seguinte forma: a seção Metodologia descreve a arquitetura da solução e os ambientes experimentais; a seção Resultados e Discussão apresenta as métricas coletadas nas duas fases com ênfase no custo-benefício computacional; e a seção Conclusão sintetiza as contribuições definitivas do estudo.</w:t>
      </w:r>
    </w:p>
    <w:p>
      <w:pPr>
        <w:spacing w:before="220" w:after="0" w:line="330" w:lineRule="exact"/>
        <w:ind w:firstLine="0"/>
        <w:jc w:val="left"/>
      </w:pPr>
      <w:r>
        <w:rPr>
          <w:rFonts w:ascii="Arial" w:hAnsi="Arial"/>
          <w:b/>
          <w:sz w:val="22"/>
        </w:rPr>
        <w:t>Implementação de Modelos de Concorrência</w:t>
      </w:r>
    </w:p>
    <w:p>
      <w:pPr>
        <w:spacing w:before="120" w:after="0" w:line="330" w:lineRule="exact"/>
        <w:ind w:firstLine="709"/>
        <w:jc w:val="left"/>
      </w:pPr>
      <w:r>
        <w:rPr>
          <w:rFonts w:ascii="Arial" w:hAnsi="Arial"/>
          <w:b/>
          <w:sz w:val="22"/>
        </w:rPr>
        <w:t>Arquitetura da Solução e Ambientes Experimentais (Local e Nuvem)</w:t>
      </w:r>
    </w:p>
    <w:p>
      <w:pPr>
        <w:spacing w:line="330" w:lineRule="exact"/>
        <w:ind w:firstLine="709"/>
        <w:jc w:val="both"/>
      </w:pPr>
      <w:r>
        <w:rPr>
          <w:rFonts w:ascii="Arial" w:hAnsi="Arial"/>
          <w:b w:val="0"/>
          <w:i w:val="0"/>
          <w:sz w:val="22"/>
        </w:rPr>
        <w:t>Construiu-se um Gateway de Pagamentos modular seguindo os princípios da Clean Architecture (Martin, 2017), padrão arquitetural que propõe a separação clara entre regras de negócio e detalhes de implementação. A lógica de negócio consistiu em cinco etapas sequenciais de I/O: recebimento HTTP, consulta ao Redis (idempotência), gravação no PostgreSQL, chamada HTTP externa simulada e atualização final de status no banco. A pesquisa foi executada em duas infraestruturas isoladas. A Fase 1 ocorreu em hardware Apple M4 (4 vCPUs, 8 GB RAM) operando no runtime Colima/Linux em arquitetura ARM64, estabelecendo um limite estrutural teórico sob latência de rede local nula. A Fase 2 consistiu na migração da arquitetura para um cluster Google Kubernetes Engine (GKE v1.28+, US-Central1) em arquitetura X86_64, simulando a realidade de um ambiente produtivo elástico.</w:t>
      </w:r>
    </w:p>
    <w:p>
      <w:pPr>
        <w:spacing w:line="330" w:lineRule="exact"/>
        <w:ind w:firstLine="709"/>
        <w:jc w:val="both"/>
      </w:pPr>
      <w:r>
        <w:rPr>
          <w:rFonts w:ascii="Arial" w:hAnsi="Arial"/>
          <w:b w:val="0"/>
          <w:i w:val="0"/>
          <w:sz w:val="22"/>
        </w:rPr>
        <w:t>Em ambas as fases, os serviços complementares foram estabilizados para evitar gargalos adjacentes. Utilizou-se o PostgreSQL 16 operando em modo efêmero para suprimir os custos de I/O de disco. O Redis 7 foi empregado para cache. O simulador de API de adquirente injetou latências uniformes variando de 200ms a 500ms por requisição. No ambiente GKE (Fase 2), implementou-se o isolamento físico via Node Affinity: o banco de dados e os injetores de carga (Jobs do K6) operaram em Nodes exclusivos, impedindo que flutuações de CPU e memória (o fenômeno noisy neighbor) interferissem na coleta dos processos em teste, garantindo a lisura dos percentis p95 de latência de cauda.</w:t>
      </w:r>
    </w:p>
    <w:p>
      <w:pPr>
        <w:spacing w:before="120" w:after="0" w:line="330" w:lineRule="exact"/>
        <w:ind w:firstLine="709"/>
        <w:jc w:val="left"/>
      </w:pPr>
      <w:r>
        <w:rPr>
          <w:rFonts w:ascii="Arial" w:hAnsi="Arial"/>
          <w:b/>
          <w:sz w:val="22"/>
        </w:rPr>
        <w:t>Protocolo de Isolamento Científico</w:t>
      </w:r>
    </w:p>
    <w:p>
      <w:pPr>
        <w:spacing w:line="330" w:lineRule="exact"/>
        <w:ind w:firstLine="709"/>
        <w:jc w:val="both"/>
      </w:pPr>
      <w:r>
        <w:rPr>
          <w:rFonts w:ascii="Arial" w:hAnsi="Arial"/>
          <w:b w:val="0"/>
          <w:i w:val="0"/>
          <w:sz w:val="22"/>
        </w:rPr>
        <w:t>Definiu-se um protocolo de isolamento estatístico rigoroso para garantir que nenhum teste fosse beneficiado por cache hits oriundos de rodadas anteriores. Antes de cada rodada de simulação de carga, realizou-se a limpeza completa do cache Redis por meio do comando redis-cli FLUSHALL. Esta prática segue as diretrizes de reprodutibilidade experimental propostas por Iosup et al. (2011), que recomendam a eliminação de estados compartilhados entre execuções independentes em benchmarks de sistemas distribuídos. O gerador de carga k6 foi programado para injetar chaves de idempotência únicas por meio do header HTTP X-Idempotency-Key, mapeado como k6-vu${__VU}-iter${__ITER}, forçando que todas as conexões percorressem o fluxo completo de I/O de banco e chamada externa, sem qualquer atalho de cache.</w:t>
      </w:r>
    </w:p>
    <w:p>
      <w:pPr>
        <w:spacing w:line="330" w:lineRule="exact"/>
        <w:ind w:firstLine="709"/>
        <w:jc w:val="both"/>
      </w:pPr>
      <w:r>
        <w:rPr>
          <w:rFonts w:ascii="Arial" w:hAnsi="Arial"/>
          <w:b w:val="0"/>
          <w:i w:val="0"/>
          <w:sz w:val="22"/>
        </w:rPr>
        <w:t>A escolha da ferramenta k6 como gerador de carga se baseou em sua capacidade de simular Virtual Users [VUs] com controle preciso de concorrência e na sua compatibilidade com protocolos HTTP/1.1 e HTTP/2 (Grafana Labs, 2024). Cada VU representa um cliente concorrente com sessão de conexão TCP independente, o que permite reproduzir com fidelidade o comportamento de múltiplos usuários reais em sistemas de pagamento de alto volume.</w:t>
      </w:r>
    </w:p>
    <w:p>
      <w:pPr>
        <w:spacing w:before="120" w:after="0" w:line="330" w:lineRule="exact"/>
        <w:ind w:firstLine="709"/>
        <w:jc w:val="left"/>
      </w:pPr>
      <w:r>
        <w:rPr>
          <w:rFonts w:ascii="Arial" w:hAnsi="Arial"/>
          <w:b/>
          <w:sz w:val="22"/>
        </w:rPr>
        <w:t>Modelos de Concorrência e Configuração dos Runtimes</w:t>
      </w:r>
    </w:p>
    <w:p>
      <w:pPr>
        <w:spacing w:line="330" w:lineRule="exact"/>
        <w:ind w:firstLine="709"/>
        <w:jc w:val="both"/>
      </w:pPr>
      <w:r>
        <w:rPr>
          <w:rFonts w:ascii="Arial" w:hAnsi="Arial"/>
          <w:b w:val="0"/>
          <w:i w:val="0"/>
          <w:sz w:val="22"/>
        </w:rPr>
        <w:t>Configuraram-se três runtimes de teste sob premissas equivalentes de pool de conexões (200 conexões ativas), garantindo que a única variável independente entre as implementações fosse o modelo de concorrência adotado:</w:t>
      </w:r>
    </w:p>
    <w:p>
      <w:pPr>
        <w:spacing w:line="330" w:lineRule="exact"/>
        <w:ind w:firstLine="709"/>
        <w:jc w:val="both"/>
      </w:pPr>
      <w:r>
        <w:rPr>
          <w:rFonts w:ascii="Arial" w:hAnsi="Arial"/>
          <w:b w:val="0"/>
          <w:i w:val="0"/>
          <w:sz w:val="22"/>
        </w:rPr>
        <w:t>(1) Java 25 com Virtual Threads: Compilado com OpenJDK 25, utilizando Spring Boot 3.5 com suporte nativo a Virtual Threads habilitado via propriedade spring.threads.virtual.enabled=true. O pool de conexões HikariCP foi configurado com 200 conexões e o Garbage Collector ZGC Generational foi adotado para minimizar pausas de coleta de lixo. As Virtual Threads, introduzidas pelo Project Loom (Pressler e Bateman, 2023), representam threads leves gerenciadas pela JVM que são desmontadas da carrier thread do sistema operacional durante operações de bloqueio I/O, evitando o desperdício de recursos de hardware.</w:t>
      </w:r>
    </w:p>
    <w:p>
      <w:pPr>
        <w:spacing w:line="330" w:lineRule="exact"/>
        <w:ind w:firstLine="709"/>
        <w:jc w:val="both"/>
      </w:pPr>
      <w:r>
        <w:rPr>
          <w:rFonts w:ascii="Arial" w:hAnsi="Arial"/>
          <w:b w:val="0"/>
          <w:i w:val="0"/>
          <w:sz w:val="22"/>
        </w:rPr>
        <w:t>(2) Go 1.25 com Goroutines: Implementado com o framework web Gin e o driver pgxpool para gerenciamento do pool de conexões com 200 conexões ativas. As Goroutines são unidades de execução leve do runtime do Go, com stack inicial de aproximadamente 2KB e crescimento dinâmico conforme a demanda, escalando para dezenas de milhares sem exaurir a memória disponível (Pike, 2012). O escalonador Go [G-M-P] mapeia as Goroutines em threads do sistema operacional de forma cooperativa e preemptiva, utilizando o algoritmo work-stealing para balancear a carga entre os processadores disponíveis.</w:t>
      </w:r>
    </w:p>
    <w:p>
      <w:pPr>
        <w:spacing w:line="330" w:lineRule="exact"/>
        <w:ind w:firstLine="709"/>
        <w:jc w:val="both"/>
      </w:pPr>
      <w:r>
        <w:rPr>
          <w:rFonts w:ascii="Arial" w:hAnsi="Arial"/>
          <w:b w:val="0"/>
          <w:i w:val="0"/>
          <w:sz w:val="22"/>
        </w:rPr>
        <w:t>(3) Quarkus Native (OS Threads 1:1): Desenvolvido com Quarkus 3.15.1 e compilado em binário nativo via GraalVM Mandrel por meio do processo de Compilação Antecipada [Ahead-of-Time Compilation — AOT]. O pool Agroal foi configurado com 200 conexões de banco de dados, 600 conexões de cliente REST e 600 threads do sistema operacional. O modelo 1:1 significa que cada conexão TCP ativa no pico de carga é atendida por uma thread de SO com stack fixa de aproximadamente 512KB, servindo como baseline de controle para isolar o overhead da JVM das características do modelo de threading (Red Hat, 2025).</w:t>
      </w:r>
    </w:p>
    <w:p>
      <w:pPr>
        <w:spacing w:before="120" w:after="0" w:line="330" w:lineRule="exact"/>
        <w:ind w:firstLine="709"/>
        <w:jc w:val="left"/>
      </w:pPr>
      <w:r>
        <w:rPr>
          <w:rFonts w:ascii="Arial" w:hAnsi="Arial"/>
          <w:b/>
          <w:sz w:val="22"/>
        </w:rPr>
        <w:t>Cenários de Teste e Métricas Coletadas</w:t>
      </w:r>
    </w:p>
    <w:p>
      <w:pPr>
        <w:spacing w:line="330" w:lineRule="exact"/>
        <w:ind w:firstLine="709"/>
        <w:jc w:val="both"/>
      </w:pPr>
      <w:r>
        <w:rPr>
          <w:rFonts w:ascii="Arial" w:hAnsi="Arial"/>
          <w:b w:val="0"/>
          <w:i w:val="0"/>
          <w:sz w:val="22"/>
        </w:rPr>
        <w:t>Executaram-se três cenários de carga controlados, cada um com três rodadas independentes (N=3) para cálculo de média e desvio padrão, assegurando significância estatística dos resultados (Jain, 1991): (i) Baseline — 20 VUs simultâneos por 2 minutos, representando carga normal de operação; (ii) Stress — 200 VUs simultâneos por aproximadamente 2 minutos, correspondendo ao limite do pool de conexões configurado, representando condição de alta concorrência; e (iii) Spike — 500 VUs simultâneos por 1 minuto, excedendo em 2,5 vezes o pool de conexões disponível, simulando um pico abrupto de demanda. Para cada cenário, coletaram-se as seguintes métricas: latência média, mediana (p50), percentil 95 (p95), throughput em requisições por segundo [RPS] e taxa de erros. O consumo de memória RAM do processo ativo [Resident Set Size — RSS] foi amostrado a cada 1 segundo por meio de scripts de estatística do sistema operacional.</w:t>
      </w:r>
    </w:p>
    <w:p>
      <w:pPr>
        <w:spacing w:before="220" w:after="0" w:line="330" w:lineRule="exact"/>
        <w:ind w:firstLine="0"/>
        <w:jc w:val="left"/>
      </w:pPr>
      <w:r>
        <w:rPr>
          <w:rFonts w:ascii="Arial" w:hAnsi="Arial"/>
          <w:b/>
          <w:sz w:val="22"/>
        </w:rPr>
        <w:t>Resultados e Discussão</w:t>
      </w:r>
    </w:p>
    <w:p>
      <w:pPr>
        <w:spacing w:before="120" w:after="0" w:line="330" w:lineRule="exact"/>
        <w:ind w:firstLine="709"/>
        <w:jc w:val="left"/>
      </w:pPr>
      <w:r>
        <w:rPr>
          <w:rFonts w:ascii="Arial" w:hAnsi="Arial"/>
          <w:b/>
          <w:sz w:val="22"/>
        </w:rPr>
        <w:t>Desempenho e Latência sob Carga Moderada (Baseline e Stress)</w:t>
      </w:r>
    </w:p>
    <w:p>
      <w:pPr>
        <w:spacing w:line="330" w:lineRule="exact"/>
        <w:ind w:firstLine="709"/>
        <w:jc w:val="both"/>
      </w:pPr>
      <w:r>
        <w:rPr>
          <w:rFonts w:ascii="Arial" w:hAnsi="Arial"/>
          <w:b w:val="0"/>
          <w:i w:val="0"/>
          <w:sz w:val="22"/>
        </w:rPr>
        <w:t>Nas rodadas iniciais com 20 VUs (Baseline) e 200 VUs (Stress), observou-se uma convergência estatística quase perfeita entre os três modelos de concorrência avaliados. A latência média manteve-se na faixa de 352ms a 358ms para todos os backends, correspondendo precisamente à média da latência de rede externa imposta pelo simulador de adquirente (200ms a 500ms uniformes). O throughput das requisições atingiu aproximadamente 24 req/s no Baseline e 342 req/s no Stress para todos os backends, com taxa de erro de 0,00%, conforme detalhado na Tabela 1. Esses resultados confirmam empiricamente a hipótese de que, abaixo do limite físico do pool de conexões de banco de dados, o paradigma de concorrência não exerce influência mensurável no desempenho de entrega em workloads I/O-bound.</w:t>
      </w:r>
    </w:p>
    <w:p>
      <w:pPr>
        <w:spacing w:line="330" w:lineRule="exact"/>
        <w:ind w:firstLine="709"/>
        <w:jc w:val="both"/>
      </w:pPr>
      <w:r>
        <w:rPr>
          <w:rFonts w:ascii="Arial" w:hAnsi="Arial"/>
          <w:b w:val="0"/>
          <w:i w:val="0"/>
          <w:sz w:val="22"/>
        </w:rPr>
        <w:t>Esse comportamento está alinhado com as conclusões de Xu et al. (2021), que demonstraram que em sistemas microsserviços com gargalos predominantemente externos, os diferentes modelos de threading convergem em desempenho, pois a maior parte do tempo de resposta é consumida aguardando I/O e não em computação da CPU. O desvio padrão extremamente reduzido entre as três rodadas (±0,5ms na latência média e ±0,3ms no p95 para o Java no cenário Stress) confirma a alta reprodutibilidade dos experimentos, validando o protocolo de isolamento científico adotado.</w:t>
      </w:r>
    </w:p>
    <w:p>
      <w:pPr>
        <w:spacing w:before="160" w:after="80"/>
        <w:ind w:firstLine="0"/>
        <w:jc w:val="left"/>
      </w:pPr>
      <w:r>
        <w:rPr>
          <w:rFonts w:ascii="Arial" w:hAnsi="Arial"/>
          <w:sz w:val="22"/>
        </w:rPr>
        <w:t>Tabela 1. Resultados consolidados para o cenário de stress (200 VUs)</w:t>
      </w:r>
    </w:p>
    <w:tbl>
      <w:tblPr>
        <w:tblStyle w:val="Tabelacomgrade"/>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Arial" w:hAnsi="Arial"/>
                <w:b/>
                <w:sz w:val="20"/>
              </w:rPr>
              <w:t>Backend</w:t>
            </w:r>
          </w:p>
        </w:tc>
        <w:tc>
          <w:tcPr>
            <w:tcW w:type="dxa" w:w="1512"/>
          </w:tcPr>
          <w:p>
            <w:r>
              <w:rPr>
                <w:rFonts w:ascii="Arial" w:hAnsi="Arial"/>
                <w:b/>
                <w:sz w:val="20"/>
              </w:rPr>
              <w:t>Latência Média</w:t>
            </w:r>
          </w:p>
        </w:tc>
        <w:tc>
          <w:tcPr>
            <w:tcW w:type="dxa" w:w="1512"/>
          </w:tcPr>
          <w:p>
            <w:r>
              <w:rPr>
                <w:rFonts w:ascii="Arial" w:hAnsi="Arial"/>
                <w:b/>
                <w:sz w:val="20"/>
              </w:rPr>
              <w:t>Mediana p50</w:t>
            </w:r>
          </w:p>
        </w:tc>
        <w:tc>
          <w:tcPr>
            <w:tcW w:type="dxa" w:w="1512"/>
          </w:tcPr>
          <w:p>
            <w:r>
              <w:rPr>
                <w:rFonts w:ascii="Arial" w:hAnsi="Arial"/>
                <w:b/>
                <w:sz w:val="20"/>
              </w:rPr>
              <w:t>Percentil p95</w:t>
            </w:r>
          </w:p>
        </w:tc>
        <w:tc>
          <w:tcPr>
            <w:tcW w:type="dxa" w:w="1512"/>
          </w:tcPr>
          <w:p>
            <w:r>
              <w:rPr>
                <w:rFonts w:ascii="Arial" w:hAnsi="Arial"/>
                <w:b/>
                <w:sz w:val="20"/>
              </w:rPr>
              <w:t>Throughput RPS</w:t>
            </w:r>
          </w:p>
        </w:tc>
        <w:tc>
          <w:tcPr>
            <w:tcW w:type="dxa" w:w="1512"/>
          </w:tcPr>
          <w:p>
            <w:r>
              <w:rPr>
                <w:rFonts w:ascii="Arial" w:hAnsi="Arial"/>
                <w:b/>
                <w:sz w:val="20"/>
              </w:rPr>
              <w:t>Erros</w:t>
            </w:r>
          </w:p>
        </w:tc>
      </w:tr>
      <w:tr>
        <w:tc>
          <w:tcPr>
            <w:tcW w:type="dxa" w:w="1512"/>
          </w:tcPr>
          <w:p>
            <w:r>
              <w:rPr>
                <w:rFonts w:ascii="Arial" w:hAnsi="Arial"/>
                <w:sz w:val="20"/>
              </w:rPr>
              <w:t>Java 25 (Virtual Threads)</w:t>
            </w:r>
          </w:p>
        </w:tc>
        <w:tc>
          <w:tcPr>
            <w:tcW w:type="dxa" w:w="1512"/>
          </w:tcPr>
          <w:p>
            <w:r>
              <w:rPr>
                <w:rFonts w:ascii="Arial" w:hAnsi="Arial"/>
                <w:sz w:val="20"/>
              </w:rPr>
              <w:t>353,4 ms ± 0,5</w:t>
            </w:r>
          </w:p>
        </w:tc>
        <w:tc>
          <w:tcPr>
            <w:tcW w:type="dxa" w:w="1512"/>
          </w:tcPr>
          <w:p>
            <w:r>
              <w:rPr>
                <w:rFonts w:ascii="Arial" w:hAnsi="Arial"/>
                <w:sz w:val="20"/>
              </w:rPr>
              <w:t>353,4 ms ± 0,6</w:t>
            </w:r>
          </w:p>
        </w:tc>
        <w:tc>
          <w:tcPr>
            <w:tcW w:type="dxa" w:w="1512"/>
          </w:tcPr>
          <w:p>
            <w:r>
              <w:rPr>
                <w:rFonts w:ascii="Arial" w:hAnsi="Arial"/>
                <w:sz w:val="20"/>
              </w:rPr>
              <w:t>488,4 ms ± 0,3</w:t>
            </w:r>
          </w:p>
        </w:tc>
        <w:tc>
          <w:tcPr>
            <w:tcW w:type="dxa" w:w="1512"/>
          </w:tcPr>
          <w:p>
            <w:r>
              <w:rPr>
                <w:rFonts w:ascii="Arial" w:hAnsi="Arial"/>
                <w:sz w:val="20"/>
              </w:rPr>
              <w:t>342,0 req/s</w:t>
            </w:r>
          </w:p>
        </w:tc>
        <w:tc>
          <w:tcPr>
            <w:tcW w:type="dxa" w:w="1512"/>
          </w:tcPr>
          <w:p>
            <w:r>
              <w:rPr>
                <w:rFonts w:ascii="Arial" w:hAnsi="Arial"/>
                <w:sz w:val="20"/>
              </w:rPr>
              <w:t>0,00%</w:t>
            </w:r>
          </w:p>
        </w:tc>
      </w:tr>
      <w:tr>
        <w:tc>
          <w:tcPr>
            <w:tcW w:type="dxa" w:w="1512"/>
          </w:tcPr>
          <w:p>
            <w:r>
              <w:rPr>
                <w:rFonts w:ascii="Arial" w:hAnsi="Arial"/>
                <w:sz w:val="20"/>
              </w:rPr>
              <w:t>Go 1.25 (Goroutines)</w:t>
            </w:r>
          </w:p>
        </w:tc>
        <w:tc>
          <w:tcPr>
            <w:tcW w:type="dxa" w:w="1512"/>
          </w:tcPr>
          <w:p>
            <w:r>
              <w:rPr>
                <w:rFonts w:ascii="Arial" w:hAnsi="Arial"/>
                <w:sz w:val="20"/>
              </w:rPr>
              <w:t>351,6 ms ± 0,2</w:t>
            </w:r>
          </w:p>
        </w:tc>
        <w:tc>
          <w:tcPr>
            <w:tcW w:type="dxa" w:w="1512"/>
          </w:tcPr>
          <w:p>
            <w:r>
              <w:rPr>
                <w:rFonts w:ascii="Arial" w:hAnsi="Arial"/>
                <w:sz w:val="20"/>
              </w:rPr>
              <w:t>351,8 ms ± 0,1</w:t>
            </w:r>
          </w:p>
        </w:tc>
        <w:tc>
          <w:tcPr>
            <w:tcW w:type="dxa" w:w="1512"/>
          </w:tcPr>
          <w:p>
            <w:r>
              <w:rPr>
                <w:rFonts w:ascii="Arial" w:hAnsi="Arial"/>
                <w:sz w:val="20"/>
              </w:rPr>
              <w:t>486,3 ms ± 0,3</w:t>
            </w:r>
          </w:p>
        </w:tc>
        <w:tc>
          <w:tcPr>
            <w:tcW w:type="dxa" w:w="1512"/>
          </w:tcPr>
          <w:p>
            <w:r>
              <w:rPr>
                <w:rFonts w:ascii="Arial" w:hAnsi="Arial"/>
                <w:sz w:val="20"/>
              </w:rPr>
              <w:t>343,4 req/s</w:t>
            </w:r>
          </w:p>
        </w:tc>
        <w:tc>
          <w:tcPr>
            <w:tcW w:type="dxa" w:w="1512"/>
          </w:tcPr>
          <w:p>
            <w:r>
              <w:rPr>
                <w:rFonts w:ascii="Arial" w:hAnsi="Arial"/>
                <w:sz w:val="20"/>
              </w:rPr>
              <w:t>0,00%</w:t>
            </w:r>
          </w:p>
        </w:tc>
      </w:tr>
      <w:tr>
        <w:tc>
          <w:tcPr>
            <w:tcW w:type="dxa" w:w="1512"/>
          </w:tcPr>
          <w:p>
            <w:r>
              <w:rPr>
                <w:rFonts w:ascii="Arial" w:hAnsi="Arial"/>
                <w:sz w:val="20"/>
              </w:rPr>
              <w:t>Quarkus Native (OS Threads)</w:t>
            </w:r>
          </w:p>
        </w:tc>
        <w:tc>
          <w:tcPr>
            <w:tcW w:type="dxa" w:w="1512"/>
          </w:tcPr>
          <w:p>
            <w:r>
              <w:rPr>
                <w:rFonts w:ascii="Arial" w:hAnsi="Arial"/>
                <w:sz w:val="20"/>
              </w:rPr>
              <w:t>353,5 ms ± 0,6</w:t>
            </w:r>
          </w:p>
        </w:tc>
        <w:tc>
          <w:tcPr>
            <w:tcW w:type="dxa" w:w="1512"/>
          </w:tcPr>
          <w:p>
            <w:r>
              <w:rPr>
                <w:rFonts w:ascii="Arial" w:hAnsi="Arial"/>
                <w:sz w:val="20"/>
              </w:rPr>
              <w:t>353,3 ms ± 0,8</w:t>
            </w:r>
          </w:p>
        </w:tc>
        <w:tc>
          <w:tcPr>
            <w:tcW w:type="dxa" w:w="1512"/>
          </w:tcPr>
          <w:p>
            <w:r>
              <w:rPr>
                <w:rFonts w:ascii="Arial" w:hAnsi="Arial"/>
                <w:sz w:val="20"/>
              </w:rPr>
              <w:t>488,5 ms ± 0,4</w:t>
            </w:r>
          </w:p>
        </w:tc>
        <w:tc>
          <w:tcPr>
            <w:tcW w:type="dxa" w:w="1512"/>
          </w:tcPr>
          <w:p>
            <w:r>
              <w:rPr>
                <w:rFonts w:ascii="Arial" w:hAnsi="Arial"/>
                <w:sz w:val="20"/>
              </w:rPr>
              <w:t>341,8 req/s</w:t>
            </w:r>
          </w:p>
        </w:tc>
        <w:tc>
          <w:tcPr>
            <w:tcW w:type="dxa" w:w="1512"/>
          </w:tcPr>
          <w:p>
            <w:r>
              <w:rPr>
                <w:rFonts w:ascii="Arial" w:hAnsi="Arial"/>
                <w:sz w:val="20"/>
              </w:rPr>
              <w:t>0,00%</w:t>
            </w:r>
          </w:p>
        </w:tc>
      </w:tr>
      <w:tr>
        <w:tc>
          <w:tcPr>
            <w:tcW w:type="dxa" w:w="1512"/>
          </w:tcPr>
          <w:p>
            <w:r>
              <w:rPr>
                <w:rFonts w:ascii="Arial" w:hAnsi="Arial"/>
                <w:sz w:val="20"/>
              </w:rPr>
              <w:t>Nota: Valores representam média ± desvio padrão para N=3 rodadas experimentais.</w:t>
            </w:r>
          </w:p>
        </w:tc>
        <w:tc>
          <w:tcPr>
            <w:tcW w:type="dxa" w:w="1512"/>
          </w:tcPr>
          <w:p>
            <w:r>
              <w:rPr>
                <w:rFonts w:ascii="Arial" w:hAnsi="Arial"/>
                <w:sz w:val="20"/>
              </w:rPr>
            </w:r>
          </w:p>
        </w:tc>
        <w:tc>
          <w:tcPr>
            <w:tcW w:type="dxa" w:w="1512"/>
          </w:tcPr>
          <w:p>
            <w:r>
              <w:rPr>
                <w:rFonts w:ascii="Arial" w:hAnsi="Arial"/>
                <w:sz w:val="20"/>
              </w:rPr>
            </w:r>
          </w:p>
        </w:tc>
        <w:tc>
          <w:tcPr>
            <w:tcW w:type="dxa" w:w="1512"/>
          </w:tcPr>
          <w:p>
            <w:r>
              <w:rPr>
                <w:rFonts w:ascii="Arial" w:hAnsi="Arial"/>
                <w:sz w:val="20"/>
              </w:rPr>
            </w:r>
          </w:p>
        </w:tc>
        <w:tc>
          <w:tcPr>
            <w:tcW w:type="dxa" w:w="1512"/>
          </w:tcPr>
          <w:p>
            <w:r>
              <w:rPr>
                <w:rFonts w:ascii="Arial" w:hAnsi="Arial"/>
                <w:sz w:val="20"/>
              </w:rPr>
            </w:r>
          </w:p>
        </w:tc>
        <w:tc>
          <w:tcPr>
            <w:tcW w:type="dxa" w:w="1512"/>
          </w:tcPr>
          <w:p>
            <w:r>
              <w:rPr>
                <w:rFonts w:ascii="Arial" w:hAnsi="Arial"/>
                <w:sz w:val="20"/>
              </w:rPr>
            </w:r>
          </w:p>
        </w:tc>
      </w:tr>
    </w:tbl>
    <w:p>
      <w:pPr>
        <w:spacing w:before="40" w:after="160"/>
        <w:ind w:firstLine="0"/>
        <w:jc w:val="left"/>
      </w:pPr>
      <w:r>
        <w:rPr>
          <w:rFonts w:ascii="Arial" w:hAnsi="Arial"/>
          <w:sz w:val="22"/>
        </w:rPr>
        <w:t>Fonte: O próprio autor</w:t>
      </w:r>
    </w:p>
    <w:p>
      <w:pPr>
        <w:spacing w:before="120" w:after="0" w:line="330" w:lineRule="exact"/>
        <w:ind w:firstLine="709"/>
        <w:jc w:val="left"/>
      </w:pPr>
      <w:r>
        <w:rPr>
          <w:rFonts w:ascii="Arial" w:hAnsi="Arial"/>
          <w:b/>
          <w:sz w:val="22"/>
        </w:rPr>
        <w:t>Comportamento de Elasticidade sob Carga Extrema (Spike)</w:t>
      </w:r>
    </w:p>
    <w:p>
      <w:pPr>
        <w:spacing w:line="330" w:lineRule="exact"/>
        <w:ind w:firstLine="709"/>
        <w:jc w:val="both"/>
      </w:pPr>
      <w:r>
        <w:rPr>
          <w:rFonts w:ascii="Arial" w:hAnsi="Arial"/>
          <w:b w:val="0"/>
          <w:i w:val="0"/>
          <w:sz w:val="22"/>
        </w:rPr>
        <w:t>No cenário de spike com 500 VUs concorrentes disputando 200 conexões de banco de dados, observou-se a divergência significativa entre os runtimes. Go 1.25 e Quarkus Native mantiveram performance estável de vazão máxima, entregando respectivamente 655,3 RPS e 646,3 RPS, com latência média de aproximadamente 353ms e 360ms e percentil p95 de 488ms e 495ms, respectivamente. Em contraste, o Java 25 sofreu severa degradação, limitando-se a 362,3 RPS — uma redução de 45% no throughput —, com latência média dobrada para 723,8ms e p95 de 917,8ms, conforme apresentado na Tabela 2.</w:t>
      </w:r>
    </w:p>
    <w:p>
      <w:pPr>
        <w:spacing w:line="330" w:lineRule="exact"/>
        <w:ind w:firstLine="709"/>
        <w:jc w:val="both"/>
      </w:pPr>
      <w:r>
        <w:rPr>
          <w:rFonts w:ascii="Arial" w:hAnsi="Arial"/>
          <w:b w:val="0"/>
          <w:i w:val="0"/>
          <w:sz w:val="22"/>
        </w:rPr>
        <w:t>O monitoramento interno da JVM confirmou que a degradação do Java não decorreu de bloqueio de carrier threads — zero eventos de pinning foram registrados com o JEP 491 ativo. A análise de profiling identificou como causa raiz a contenção de lock interna do pool de conexões HikariCP, que utiliza blocos synchronized como ponto único de serialização do controle das conexões ativas e em espera. Sob 500 Virtual Threads disputando 200 conexões simultaneamente, essa serialização gerou um gargalo cumulativo de enfileiramento. Conforme demonstrado por Curino et al. (2020) no contexto de sistemas de banco de dados distribuídos, a disputa por locks centralizados em pools de recursos finitos pode anular os ganhos de escalabilidade oferecidos por modelos de concorrência leve, tornando o gargalo independente do paradigma de threading adotado.</w:t>
      </w:r>
    </w:p>
    <w:p>
      <w:pPr>
        <w:spacing w:line="330" w:lineRule="exact"/>
        <w:ind w:firstLine="709"/>
        <w:jc w:val="both"/>
      </w:pPr>
      <w:r>
        <w:rPr>
          <w:rFonts w:ascii="Arial" w:hAnsi="Arial"/>
          <w:b w:val="0"/>
          <w:i w:val="0"/>
          <w:sz w:val="22"/>
        </w:rPr>
        <w:t>Por outro lado, o Go com pgxpool — que utiliza canais concorrentes lock-free baseados no primitivo channel da linguagem — e o Quarkus Native com pool Agroal reestruturado para concorrência sem pontos centralizados de serialização, mantiveram a entrega estável mesmo sob a sobrecarga extrema. Uma taxa de erros de 0,14% no Go e 0,50% no Quarkus indica que ambos gerenciaram com eficiência as filas de espera excedentes, enquanto o Java não registrou erros, mas sacrificou latência, evidenciando estratégias distintas de backpressure: o Go e o Quarkus privilegiaram falhar rapidamente nos casos extremos, enquanto o Java acumulou requisições na fila do HikariCP, aumentando a latência de forma não controlada.</w:t>
      </w:r>
    </w:p>
    <w:p>
      <w:pPr>
        <w:spacing w:before="160" w:after="80"/>
        <w:ind w:firstLine="0"/>
        <w:jc w:val="left"/>
      </w:pPr>
      <w:r>
        <w:rPr>
          <w:rFonts w:ascii="Arial" w:hAnsi="Arial"/>
          <w:sz w:val="22"/>
        </w:rPr>
        <w:t>Tabela 2. Resultados consolidados para o cenário de spike (500 VUs)</w:t>
      </w:r>
    </w:p>
    <w:tbl>
      <w:tblPr>
        <w:tblStyle w:val="Tabelacomgrade"/>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Arial" w:hAnsi="Arial"/>
                <w:b/>
                <w:sz w:val="20"/>
              </w:rPr>
              <w:t>Backend</w:t>
            </w:r>
          </w:p>
        </w:tc>
        <w:tc>
          <w:tcPr>
            <w:tcW w:type="dxa" w:w="1512"/>
          </w:tcPr>
          <w:p>
            <w:r>
              <w:rPr>
                <w:rFonts w:ascii="Arial" w:hAnsi="Arial"/>
                <w:b/>
                <w:sz w:val="20"/>
              </w:rPr>
              <w:t>Latência Média</w:t>
            </w:r>
          </w:p>
        </w:tc>
        <w:tc>
          <w:tcPr>
            <w:tcW w:type="dxa" w:w="1512"/>
          </w:tcPr>
          <w:p>
            <w:r>
              <w:rPr>
                <w:rFonts w:ascii="Arial" w:hAnsi="Arial"/>
                <w:b/>
                <w:sz w:val="20"/>
              </w:rPr>
              <w:t>Mediana p50</w:t>
            </w:r>
          </w:p>
        </w:tc>
        <w:tc>
          <w:tcPr>
            <w:tcW w:type="dxa" w:w="1512"/>
          </w:tcPr>
          <w:p>
            <w:r>
              <w:rPr>
                <w:rFonts w:ascii="Arial" w:hAnsi="Arial"/>
                <w:b/>
                <w:sz w:val="20"/>
              </w:rPr>
              <w:t>Percentil p95</w:t>
            </w:r>
          </w:p>
        </w:tc>
        <w:tc>
          <w:tcPr>
            <w:tcW w:type="dxa" w:w="1512"/>
          </w:tcPr>
          <w:p>
            <w:r>
              <w:rPr>
                <w:rFonts w:ascii="Arial" w:hAnsi="Arial"/>
                <w:b/>
                <w:sz w:val="20"/>
              </w:rPr>
              <w:t>Throughput RPS</w:t>
            </w:r>
          </w:p>
        </w:tc>
        <w:tc>
          <w:tcPr>
            <w:tcW w:type="dxa" w:w="1512"/>
          </w:tcPr>
          <w:p>
            <w:r>
              <w:rPr>
                <w:rFonts w:ascii="Arial" w:hAnsi="Arial"/>
                <w:b/>
                <w:sz w:val="20"/>
              </w:rPr>
              <w:t>Erros</w:t>
            </w:r>
          </w:p>
        </w:tc>
      </w:tr>
      <w:tr>
        <w:tc>
          <w:tcPr>
            <w:tcW w:type="dxa" w:w="1512"/>
          </w:tcPr>
          <w:p>
            <w:r>
              <w:rPr>
                <w:rFonts w:ascii="Arial" w:hAnsi="Arial"/>
                <w:sz w:val="20"/>
              </w:rPr>
              <w:t>Java 25 (Virtual Threads)</w:t>
            </w:r>
          </w:p>
        </w:tc>
        <w:tc>
          <w:tcPr>
            <w:tcW w:type="dxa" w:w="1512"/>
          </w:tcPr>
          <w:p>
            <w:r>
              <w:rPr>
                <w:rFonts w:ascii="Arial" w:hAnsi="Arial"/>
                <w:sz w:val="20"/>
              </w:rPr>
              <w:t>723,8 ms ± 3,1</w:t>
            </w:r>
          </w:p>
        </w:tc>
        <w:tc>
          <w:tcPr>
            <w:tcW w:type="dxa" w:w="1512"/>
          </w:tcPr>
          <w:p>
            <w:r>
              <w:rPr>
                <w:rFonts w:ascii="Arial" w:hAnsi="Arial"/>
                <w:sz w:val="20"/>
              </w:rPr>
              <w:t>748,9 ms ± 3,0</w:t>
            </w:r>
          </w:p>
        </w:tc>
        <w:tc>
          <w:tcPr>
            <w:tcW w:type="dxa" w:w="1512"/>
          </w:tcPr>
          <w:p>
            <w:r>
              <w:rPr>
                <w:rFonts w:ascii="Arial" w:hAnsi="Arial"/>
                <w:sz w:val="20"/>
              </w:rPr>
              <w:t>917,8 ms ± 3,1</w:t>
            </w:r>
          </w:p>
        </w:tc>
        <w:tc>
          <w:tcPr>
            <w:tcW w:type="dxa" w:w="1512"/>
          </w:tcPr>
          <w:p>
            <w:r>
              <w:rPr>
                <w:rFonts w:ascii="Arial" w:hAnsi="Arial"/>
                <w:sz w:val="20"/>
              </w:rPr>
              <w:t>362,3 req/s</w:t>
            </w:r>
          </w:p>
        </w:tc>
        <w:tc>
          <w:tcPr>
            <w:tcW w:type="dxa" w:w="1512"/>
          </w:tcPr>
          <w:p>
            <w:r>
              <w:rPr>
                <w:rFonts w:ascii="Arial" w:hAnsi="Arial"/>
                <w:sz w:val="20"/>
              </w:rPr>
              <w:t>0,00%</w:t>
            </w:r>
          </w:p>
        </w:tc>
      </w:tr>
      <w:tr>
        <w:tc>
          <w:tcPr>
            <w:tcW w:type="dxa" w:w="1512"/>
          </w:tcPr>
          <w:p>
            <w:r>
              <w:rPr>
                <w:rFonts w:ascii="Arial" w:hAnsi="Arial"/>
                <w:sz w:val="20"/>
              </w:rPr>
              <w:t>Go 1.25 (Goroutines)</w:t>
            </w:r>
          </w:p>
        </w:tc>
        <w:tc>
          <w:tcPr>
            <w:tcW w:type="dxa" w:w="1512"/>
          </w:tcPr>
          <w:p>
            <w:r>
              <w:rPr>
                <w:rFonts w:ascii="Arial" w:hAnsi="Arial"/>
                <w:sz w:val="20"/>
              </w:rPr>
              <w:t>353,6 ms ± 2,6</w:t>
            </w:r>
          </w:p>
        </w:tc>
        <w:tc>
          <w:tcPr>
            <w:tcW w:type="dxa" w:w="1512"/>
          </w:tcPr>
          <w:p>
            <w:r>
              <w:rPr>
                <w:rFonts w:ascii="Arial" w:hAnsi="Arial"/>
                <w:sz w:val="20"/>
              </w:rPr>
              <w:t>353,3 ms ± 2,6</w:t>
            </w:r>
          </w:p>
        </w:tc>
        <w:tc>
          <w:tcPr>
            <w:tcW w:type="dxa" w:w="1512"/>
          </w:tcPr>
          <w:p>
            <w:r>
              <w:rPr>
                <w:rFonts w:ascii="Arial" w:hAnsi="Arial"/>
                <w:sz w:val="20"/>
              </w:rPr>
              <w:t>488,4 ms ± 1,6</w:t>
            </w:r>
          </w:p>
        </w:tc>
        <w:tc>
          <w:tcPr>
            <w:tcW w:type="dxa" w:w="1512"/>
          </w:tcPr>
          <w:p>
            <w:r>
              <w:rPr>
                <w:rFonts w:ascii="Arial" w:hAnsi="Arial"/>
                <w:sz w:val="20"/>
              </w:rPr>
              <w:t>655,3 req/s</w:t>
            </w:r>
          </w:p>
        </w:tc>
        <w:tc>
          <w:tcPr>
            <w:tcW w:type="dxa" w:w="1512"/>
          </w:tcPr>
          <w:p>
            <w:r>
              <w:rPr>
                <w:rFonts w:ascii="Arial" w:hAnsi="Arial"/>
                <w:sz w:val="20"/>
              </w:rPr>
              <w:t>0,14%</w:t>
            </w:r>
          </w:p>
        </w:tc>
      </w:tr>
      <w:tr>
        <w:tc>
          <w:tcPr>
            <w:tcW w:type="dxa" w:w="1512"/>
          </w:tcPr>
          <w:p>
            <w:r>
              <w:rPr>
                <w:rFonts w:ascii="Arial" w:hAnsi="Arial"/>
                <w:sz w:val="20"/>
              </w:rPr>
              <w:t>Quarkus Native (OS Threads)</w:t>
            </w:r>
          </w:p>
        </w:tc>
        <w:tc>
          <w:tcPr>
            <w:tcW w:type="dxa" w:w="1512"/>
          </w:tcPr>
          <w:p>
            <w:r>
              <w:rPr>
                <w:rFonts w:ascii="Arial" w:hAnsi="Arial"/>
                <w:sz w:val="20"/>
              </w:rPr>
              <w:t>360,2 ms ± 5,2</w:t>
            </w:r>
          </w:p>
        </w:tc>
        <w:tc>
          <w:tcPr>
            <w:tcW w:type="dxa" w:w="1512"/>
          </w:tcPr>
          <w:p>
            <w:r>
              <w:rPr>
                <w:rFonts w:ascii="Arial" w:hAnsi="Arial"/>
                <w:sz w:val="20"/>
              </w:rPr>
              <w:t>360,0 ms ± 3,8</w:t>
            </w:r>
          </w:p>
        </w:tc>
        <w:tc>
          <w:tcPr>
            <w:tcW w:type="dxa" w:w="1512"/>
          </w:tcPr>
          <w:p>
            <w:r>
              <w:rPr>
                <w:rFonts w:ascii="Arial" w:hAnsi="Arial"/>
                <w:sz w:val="20"/>
              </w:rPr>
              <w:t>495,2 ms ± 5,0</w:t>
            </w:r>
          </w:p>
        </w:tc>
        <w:tc>
          <w:tcPr>
            <w:tcW w:type="dxa" w:w="1512"/>
          </w:tcPr>
          <w:p>
            <w:r>
              <w:rPr>
                <w:rFonts w:ascii="Arial" w:hAnsi="Arial"/>
                <w:sz w:val="20"/>
              </w:rPr>
              <w:t>646,3 req/s</w:t>
            </w:r>
          </w:p>
        </w:tc>
        <w:tc>
          <w:tcPr>
            <w:tcW w:type="dxa" w:w="1512"/>
          </w:tcPr>
          <w:p>
            <w:r>
              <w:rPr>
                <w:rFonts w:ascii="Arial" w:hAnsi="Arial"/>
                <w:sz w:val="20"/>
              </w:rPr>
              <w:t>0,50%</w:t>
            </w:r>
          </w:p>
        </w:tc>
      </w:tr>
      <w:tr>
        <w:tc>
          <w:tcPr>
            <w:tcW w:type="dxa" w:w="1512"/>
          </w:tcPr>
          <w:p>
            <w:r>
              <w:rPr>
                <w:rFonts w:ascii="Arial" w:hAnsi="Arial"/>
                <w:sz w:val="20"/>
              </w:rPr>
              <w:t>Nota: Valores representam média ± desvio padrão para N=3 rodadas experimentais.</w:t>
            </w:r>
          </w:p>
        </w:tc>
        <w:tc>
          <w:tcPr>
            <w:tcW w:type="dxa" w:w="1512"/>
          </w:tcPr>
          <w:p>
            <w:r>
              <w:rPr>
                <w:rFonts w:ascii="Arial" w:hAnsi="Arial"/>
                <w:sz w:val="20"/>
              </w:rPr>
            </w:r>
          </w:p>
        </w:tc>
        <w:tc>
          <w:tcPr>
            <w:tcW w:type="dxa" w:w="1512"/>
          </w:tcPr>
          <w:p>
            <w:r>
              <w:rPr>
                <w:rFonts w:ascii="Arial" w:hAnsi="Arial"/>
                <w:sz w:val="20"/>
              </w:rPr>
            </w:r>
          </w:p>
        </w:tc>
        <w:tc>
          <w:tcPr>
            <w:tcW w:type="dxa" w:w="1512"/>
          </w:tcPr>
          <w:p>
            <w:r>
              <w:rPr>
                <w:rFonts w:ascii="Arial" w:hAnsi="Arial"/>
                <w:sz w:val="20"/>
              </w:rPr>
            </w:r>
          </w:p>
        </w:tc>
        <w:tc>
          <w:tcPr>
            <w:tcW w:type="dxa" w:w="1512"/>
          </w:tcPr>
          <w:p>
            <w:r>
              <w:rPr>
                <w:rFonts w:ascii="Arial" w:hAnsi="Arial"/>
                <w:sz w:val="20"/>
              </w:rPr>
            </w:r>
          </w:p>
        </w:tc>
        <w:tc>
          <w:tcPr>
            <w:tcW w:type="dxa" w:w="1512"/>
          </w:tcPr>
          <w:p>
            <w:r>
              <w:rPr>
                <w:rFonts w:ascii="Arial" w:hAnsi="Arial"/>
                <w:sz w:val="20"/>
              </w:rPr>
            </w:r>
          </w:p>
        </w:tc>
      </w:tr>
    </w:tbl>
    <w:p>
      <w:pPr>
        <w:spacing w:before="40" w:after="160"/>
        <w:ind w:firstLine="0"/>
        <w:jc w:val="left"/>
      </w:pPr>
      <w:r>
        <w:rPr>
          <w:rFonts w:ascii="Arial" w:hAnsi="Arial"/>
          <w:sz w:val="22"/>
        </w:rPr>
        <w:t>Fonte: O próprio autor</w:t>
      </w:r>
    </w:p>
    <w:p>
      <w:pPr>
        <w:spacing w:before="120" w:after="0" w:line="330" w:lineRule="exact"/>
        <w:ind w:firstLine="709"/>
        <w:jc w:val="left"/>
      </w:pPr>
      <w:r>
        <w:rPr>
          <w:rFonts w:ascii="Arial" w:hAnsi="Arial"/>
          <w:b/>
          <w:sz w:val="22"/>
        </w:rPr>
        <w:t>Footprint de Memória RAM (JVM vs. Binário Nativo)</w:t>
      </w:r>
    </w:p>
    <w:p>
      <w:pPr>
        <w:spacing w:line="330" w:lineRule="exact"/>
        <w:ind w:firstLine="709"/>
        <w:jc w:val="both"/>
      </w:pPr>
      <w:r>
        <w:rPr>
          <w:rFonts w:ascii="Arial" w:hAnsi="Arial"/>
          <w:b w:val="0"/>
          <w:i w:val="0"/>
          <w:sz w:val="22"/>
        </w:rPr>
        <w:t>As medições de consumo de memória RAM em termos de Resident Set Size [RSS] permitiram isolar cientificamente as causas do consumo de hardware entre os três runtimes. O Java em modo JVM consumiu de 789 MB no Baseline a 1.935 MB no Spike, devido ao overhead de inicialização da JVM, às áreas de controle como Metaspace — que armazena estruturas de classe do Spring Framework —, e ao mecanismo de compilação dinâmica Just-in-Time [JIT]. O Quarkus Native, por sua vez, validou que o consumo de memória elevado do ecossistema Java é causado majoritariamente pela JVM e não pela linguagem em si: em AOT, o consumo inicial foi de apenas 55,5 MB. Contudo, sob spike com 600 threads alocadas, o consumo subiu para 463,8 MB, devido ao custo fixo de stack das threads do sistema operacional no modelo 1:1 (~512KB por thread ativada).</w:t>
      </w:r>
    </w:p>
    <w:p>
      <w:pPr>
        <w:spacing w:line="330" w:lineRule="exact"/>
        <w:ind w:firstLine="709"/>
        <w:jc w:val="both"/>
      </w:pPr>
      <w:r>
        <w:rPr>
          <w:rFonts w:ascii="Arial" w:hAnsi="Arial"/>
          <w:b w:val="0"/>
          <w:i w:val="0"/>
          <w:sz w:val="22"/>
        </w:rPr>
        <w:t>O Go 1.25 demonstrou a maior eficiência de memória entre os três runtimes: 32,4 MB em Baseline e no máximo 78,1 MB no pico de carga com 500 VUs, aproveitando a stack dinâmica inicial de aproximadamente 2KB por Goroutine. Esses resultados corroboram as observações de Arora et al. (2023), que identificaram que a vantagem de memória do Go em workloads I/O-bound é particularmente pronunciada em ambientes com recursos limitados como contêineres Docker e clusters Kubernetes, onde o custo de RAM é diretamente convertido em custo operacional. Em termos práticos, a diferença de consumo de memória entre Go (78 MB) e Java JVM (1.935 MB) sob carga máxima representa um fator de aproximadamente 25x, com implicações diretas no dimensionamento de infraestrutura e custo em ambientes de nuvem, análise que será aprofundada nos experimentos subsequentes em GKE.</w:t>
      </w:r>
    </w:p>
    <w:p>
      <w:pPr>
        <w:spacing w:before="120" w:after="0" w:line="330" w:lineRule="exact"/>
        <w:ind w:firstLine="709"/>
        <w:jc w:val="left"/>
      </w:pPr>
      <w:r>
        <w:rPr>
          <w:rFonts w:ascii="Arial" w:hAnsi="Arial"/>
          <w:b/>
          <w:sz w:val="22"/>
        </w:rPr>
        <w:t>Avaliação em Nuvem GKE: Elasticidade de Cold-Start e FinOps</w:t>
      </w:r>
    </w:p>
    <w:p>
      <w:pPr>
        <w:spacing w:line="330" w:lineRule="exact"/>
        <w:ind w:firstLine="709"/>
        <w:jc w:val="both"/>
      </w:pPr>
      <w:r>
        <w:rPr>
          <w:rFonts w:ascii="Arial" w:hAnsi="Arial"/>
          <w:b w:val="0"/>
          <w:i w:val="0"/>
          <w:sz w:val="22"/>
        </w:rPr>
        <w:t>A execução da Fase 2 na infraestrutura gerenciada do GKE (arquitetura X86_64) validou os limites teóricos identificados na Fase 1. Durante o cenário de Stress sustentado, o Java confirmou a superioridade de seu compilador Just-in-Time (JIT) sob cargas aquecidas, atingindo 290 RPS com p95 contido em 670ms. O ecossistema Go registrou 263 RPS e p95 de 1.095ms. A Tabela 3 detalha essas métricas, reafirmando que a JVM bem configurada maximiza a vazão horizontal quando as conexões não excedem o limite estrutural do pool.</w:t>
      </w:r>
    </w:p>
    <w:p>
      <w:pPr>
        <w:spacing w:before="160" w:after="80"/>
        <w:ind w:firstLine="0"/>
        <w:jc w:val="left"/>
      </w:pPr>
      <w:r>
        <w:rPr>
          <w:rFonts w:ascii="Arial" w:hAnsi="Arial"/>
          <w:sz w:val="22"/>
        </w:rPr>
        <w:t>Tabela 3. Resultados na Nuvem GKE para o cenário de stress contínuo (200 VUs)</w:t>
      </w:r>
    </w:p>
    <w:tbl>
      <w:tblPr>
        <w:tblStyle w:val="Tabelacomgrade"/>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Arial" w:hAnsi="Arial"/>
                <w:b/>
                <w:sz w:val="20"/>
              </w:rPr>
              <w:t>Backend</w:t>
            </w:r>
          </w:p>
        </w:tc>
        <w:tc>
          <w:tcPr>
            <w:tcW w:type="dxa" w:w="1512"/>
          </w:tcPr>
          <w:p>
            <w:r>
              <w:rPr>
                <w:rFonts w:ascii="Arial" w:hAnsi="Arial"/>
                <w:b/>
                <w:sz w:val="20"/>
              </w:rPr>
              <w:t>Latência Média</w:t>
            </w:r>
          </w:p>
        </w:tc>
        <w:tc>
          <w:tcPr>
            <w:tcW w:type="dxa" w:w="1512"/>
          </w:tcPr>
          <w:p>
            <w:r>
              <w:rPr>
                <w:rFonts w:ascii="Arial" w:hAnsi="Arial"/>
                <w:b/>
                <w:sz w:val="20"/>
              </w:rPr>
              <w:t>Mediana p50</w:t>
            </w:r>
          </w:p>
        </w:tc>
        <w:tc>
          <w:tcPr>
            <w:tcW w:type="dxa" w:w="1512"/>
          </w:tcPr>
          <w:p>
            <w:r>
              <w:rPr>
                <w:rFonts w:ascii="Arial" w:hAnsi="Arial"/>
                <w:b/>
                <w:sz w:val="20"/>
              </w:rPr>
              <w:t>Percentil p95</w:t>
            </w:r>
          </w:p>
        </w:tc>
        <w:tc>
          <w:tcPr>
            <w:tcW w:type="dxa" w:w="1512"/>
          </w:tcPr>
          <w:p>
            <w:r>
              <w:rPr>
                <w:rFonts w:ascii="Arial" w:hAnsi="Arial"/>
                <w:b/>
                <w:sz w:val="20"/>
              </w:rPr>
              <w:t>Throughput RPS</w:t>
            </w:r>
          </w:p>
        </w:tc>
        <w:tc>
          <w:tcPr>
            <w:tcW w:type="dxa" w:w="1512"/>
          </w:tcPr>
          <w:p>
            <w:r>
              <w:rPr>
                <w:rFonts w:ascii="Arial" w:hAnsi="Arial"/>
                <w:b/>
                <w:sz w:val="20"/>
              </w:rPr>
              <w:t>Erros</w:t>
            </w:r>
          </w:p>
        </w:tc>
      </w:tr>
      <w:tr>
        <w:tc>
          <w:tcPr>
            <w:tcW w:type="dxa" w:w="1512"/>
          </w:tcPr>
          <w:p>
            <w:r>
              <w:rPr>
                <w:rFonts w:ascii="Arial" w:hAnsi="Arial"/>
                <w:sz w:val="20"/>
              </w:rPr>
              <w:t>Java 25 (Virtual Threads)</w:t>
            </w:r>
          </w:p>
        </w:tc>
        <w:tc>
          <w:tcPr>
            <w:tcW w:type="dxa" w:w="1512"/>
          </w:tcPr>
          <w:p>
            <w:r>
              <w:rPr>
                <w:rFonts w:ascii="Arial" w:hAnsi="Arial"/>
                <w:sz w:val="20"/>
              </w:rPr>
              <w:t>435,7 ms</w:t>
            </w:r>
          </w:p>
        </w:tc>
        <w:tc>
          <w:tcPr>
            <w:tcW w:type="dxa" w:w="1512"/>
          </w:tcPr>
          <w:p>
            <w:r>
              <w:rPr>
                <w:rFonts w:ascii="Arial" w:hAnsi="Arial"/>
                <w:sz w:val="20"/>
              </w:rPr>
              <w:t>430,2 ms</w:t>
            </w:r>
          </w:p>
        </w:tc>
        <w:tc>
          <w:tcPr>
            <w:tcW w:type="dxa" w:w="1512"/>
          </w:tcPr>
          <w:p>
            <w:r>
              <w:rPr>
                <w:rFonts w:ascii="Arial" w:hAnsi="Arial"/>
                <w:sz w:val="20"/>
              </w:rPr>
              <w:t>670,5 ms</w:t>
            </w:r>
          </w:p>
        </w:tc>
        <w:tc>
          <w:tcPr>
            <w:tcW w:type="dxa" w:w="1512"/>
          </w:tcPr>
          <w:p>
            <w:r>
              <w:rPr>
                <w:rFonts w:ascii="Arial" w:hAnsi="Arial"/>
                <w:sz w:val="20"/>
              </w:rPr>
              <w:t>290,0 req/s</w:t>
            </w:r>
          </w:p>
        </w:tc>
        <w:tc>
          <w:tcPr>
            <w:tcW w:type="dxa" w:w="1512"/>
          </w:tcPr>
          <w:p>
            <w:r>
              <w:rPr>
                <w:rFonts w:ascii="Arial" w:hAnsi="Arial"/>
                <w:sz w:val="20"/>
              </w:rPr>
              <w:t>0,00%</w:t>
            </w:r>
          </w:p>
        </w:tc>
      </w:tr>
      <w:tr>
        <w:tc>
          <w:tcPr>
            <w:tcW w:type="dxa" w:w="1512"/>
          </w:tcPr>
          <w:p>
            <w:r>
              <w:rPr>
                <w:rFonts w:ascii="Arial" w:hAnsi="Arial"/>
                <w:sz w:val="20"/>
              </w:rPr>
              <w:t>Go 1.25 (Goroutines)</w:t>
            </w:r>
          </w:p>
        </w:tc>
        <w:tc>
          <w:tcPr>
            <w:tcW w:type="dxa" w:w="1512"/>
          </w:tcPr>
          <w:p>
            <w:r>
              <w:rPr>
                <w:rFonts w:ascii="Arial" w:hAnsi="Arial"/>
                <w:sz w:val="20"/>
              </w:rPr>
              <w:t>486,5 ms</w:t>
            </w:r>
          </w:p>
        </w:tc>
        <w:tc>
          <w:tcPr>
            <w:tcW w:type="dxa" w:w="1512"/>
          </w:tcPr>
          <w:p>
            <w:r>
              <w:rPr>
                <w:rFonts w:ascii="Arial" w:hAnsi="Arial"/>
                <w:sz w:val="20"/>
              </w:rPr>
              <w:t>480,1 ms</w:t>
            </w:r>
          </w:p>
        </w:tc>
        <w:tc>
          <w:tcPr>
            <w:tcW w:type="dxa" w:w="1512"/>
          </w:tcPr>
          <w:p>
            <w:r>
              <w:rPr>
                <w:rFonts w:ascii="Arial" w:hAnsi="Arial"/>
                <w:sz w:val="20"/>
              </w:rPr>
              <w:t>1095,1 ms</w:t>
            </w:r>
          </w:p>
        </w:tc>
        <w:tc>
          <w:tcPr>
            <w:tcW w:type="dxa" w:w="1512"/>
          </w:tcPr>
          <w:p>
            <w:r>
              <w:rPr>
                <w:rFonts w:ascii="Arial" w:hAnsi="Arial"/>
                <w:sz w:val="20"/>
              </w:rPr>
              <w:t>263,8 req/s</w:t>
            </w:r>
          </w:p>
        </w:tc>
        <w:tc>
          <w:tcPr>
            <w:tcW w:type="dxa" w:w="1512"/>
          </w:tcPr>
          <w:p>
            <w:r>
              <w:rPr>
                <w:rFonts w:ascii="Arial" w:hAnsi="Arial"/>
                <w:sz w:val="20"/>
              </w:rPr>
              <w:t>0,00%</w:t>
            </w:r>
          </w:p>
        </w:tc>
      </w:tr>
      <w:tr>
        <w:tc>
          <w:tcPr>
            <w:tcW w:type="dxa" w:w="1512"/>
          </w:tcPr>
          <w:p>
            <w:r>
              <w:rPr>
                <w:rFonts w:ascii="Arial" w:hAnsi="Arial"/>
                <w:sz w:val="20"/>
              </w:rPr>
              <w:t>Quarkus Native (OS Threads)</w:t>
            </w:r>
          </w:p>
        </w:tc>
        <w:tc>
          <w:tcPr>
            <w:tcW w:type="dxa" w:w="1512"/>
          </w:tcPr>
          <w:p>
            <w:r>
              <w:rPr>
                <w:rFonts w:ascii="Arial" w:hAnsi="Arial"/>
                <w:sz w:val="20"/>
              </w:rPr>
              <w:t>979,5 ms</w:t>
            </w:r>
          </w:p>
        </w:tc>
        <w:tc>
          <w:tcPr>
            <w:tcW w:type="dxa" w:w="1512"/>
          </w:tcPr>
          <w:p>
            <w:r>
              <w:rPr>
                <w:rFonts w:ascii="Arial" w:hAnsi="Arial"/>
                <w:sz w:val="20"/>
              </w:rPr>
              <w:t>960,3 ms</w:t>
            </w:r>
          </w:p>
        </w:tc>
        <w:tc>
          <w:tcPr>
            <w:tcW w:type="dxa" w:w="1512"/>
          </w:tcPr>
          <w:p>
            <w:r>
              <w:rPr>
                <w:rFonts w:ascii="Arial" w:hAnsi="Arial"/>
                <w:sz w:val="20"/>
              </w:rPr>
              <w:t>1650,1 ms</w:t>
            </w:r>
          </w:p>
        </w:tc>
        <w:tc>
          <w:tcPr>
            <w:tcW w:type="dxa" w:w="1512"/>
          </w:tcPr>
          <w:p>
            <w:r>
              <w:rPr>
                <w:rFonts w:ascii="Arial" w:hAnsi="Arial"/>
                <w:sz w:val="20"/>
              </w:rPr>
              <w:t>142,6 req/s</w:t>
            </w:r>
          </w:p>
        </w:tc>
        <w:tc>
          <w:tcPr>
            <w:tcW w:type="dxa" w:w="1512"/>
          </w:tcPr>
          <w:p>
            <w:r>
              <w:rPr>
                <w:rFonts w:ascii="Arial" w:hAnsi="Arial"/>
                <w:sz w:val="20"/>
              </w:rPr>
              <w:t>0,00%</w:t>
            </w:r>
          </w:p>
        </w:tc>
      </w:tr>
    </w:tbl>
    <w:p>
      <w:pPr>
        <w:spacing w:before="40" w:after="160"/>
        <w:ind w:firstLine="0"/>
        <w:jc w:val="left"/>
      </w:pPr>
      <w:r>
        <w:rPr>
          <w:rFonts w:ascii="Arial" w:hAnsi="Arial"/>
          <w:sz w:val="22"/>
        </w:rPr>
        <w:t>Fonte: O próprio autor</w:t>
      </w:r>
    </w:p>
    <w:p>
      <w:pPr>
        <w:spacing w:line="330" w:lineRule="exact"/>
        <w:ind w:firstLine="709"/>
        <w:jc w:val="both"/>
      </w:pPr>
      <w:r>
        <w:rPr>
          <w:rFonts w:ascii="Arial" w:hAnsi="Arial"/>
          <w:b w:val="0"/>
          <w:i w:val="0"/>
          <w:sz w:val="22"/>
        </w:rPr>
        <w:t>Em contrapartida, sob o choque abrupto do cenário Spike (500 VUs imediatos), a arquitetura Ahead-of-Time (AOT) do Go provou-se inquestionavelmente superior. Como evidenciado na Tabela 4, o Go sustentou a vazão de 274 RPS elásticos, contendo a degradação de cauda em 1.365ms. O Java colapsou: seu cold-start penalizou as Virtual Threads, empurrando o P95 para extremas 4.208ms e derrubando a vazão para 144 RPS. O Quarkus Native apresentou resiliência superior ao Java, entregando 180 RPS, consolidando a vantagem da ausência de JVM.</w:t>
      </w:r>
    </w:p>
    <w:p>
      <w:pPr>
        <w:spacing w:before="160" w:after="80"/>
        <w:ind w:firstLine="0"/>
        <w:jc w:val="left"/>
      </w:pPr>
      <w:r>
        <w:rPr>
          <w:rFonts w:ascii="Arial" w:hAnsi="Arial"/>
          <w:sz w:val="22"/>
        </w:rPr>
        <w:t>Tabela 4. Resultados na Nuvem GKE para o cenário de spike instantâneo (500 VUs)</w:t>
      </w:r>
    </w:p>
    <w:tbl>
      <w:tblPr>
        <w:tblStyle w:val="Tabelacomgrade"/>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Arial" w:hAnsi="Arial"/>
                <w:b/>
                <w:sz w:val="20"/>
              </w:rPr>
              <w:t>Backend</w:t>
            </w:r>
          </w:p>
        </w:tc>
        <w:tc>
          <w:tcPr>
            <w:tcW w:type="dxa" w:w="1512"/>
          </w:tcPr>
          <w:p>
            <w:r>
              <w:rPr>
                <w:rFonts w:ascii="Arial" w:hAnsi="Arial"/>
                <w:b/>
                <w:sz w:val="20"/>
              </w:rPr>
              <w:t>Latência Média</w:t>
            </w:r>
          </w:p>
        </w:tc>
        <w:tc>
          <w:tcPr>
            <w:tcW w:type="dxa" w:w="1512"/>
          </w:tcPr>
          <w:p>
            <w:r>
              <w:rPr>
                <w:rFonts w:ascii="Arial" w:hAnsi="Arial"/>
                <w:b/>
                <w:sz w:val="20"/>
              </w:rPr>
              <w:t>Mediana p50</w:t>
            </w:r>
          </w:p>
        </w:tc>
        <w:tc>
          <w:tcPr>
            <w:tcW w:type="dxa" w:w="1512"/>
          </w:tcPr>
          <w:p>
            <w:r>
              <w:rPr>
                <w:rFonts w:ascii="Arial" w:hAnsi="Arial"/>
                <w:b/>
                <w:sz w:val="20"/>
              </w:rPr>
              <w:t>Percentil p95</w:t>
            </w:r>
          </w:p>
        </w:tc>
        <w:tc>
          <w:tcPr>
            <w:tcW w:type="dxa" w:w="1512"/>
          </w:tcPr>
          <w:p>
            <w:r>
              <w:rPr>
                <w:rFonts w:ascii="Arial" w:hAnsi="Arial"/>
                <w:b/>
                <w:sz w:val="20"/>
              </w:rPr>
              <w:t>Throughput RPS</w:t>
            </w:r>
          </w:p>
        </w:tc>
        <w:tc>
          <w:tcPr>
            <w:tcW w:type="dxa" w:w="1512"/>
          </w:tcPr>
          <w:p>
            <w:r>
              <w:rPr>
                <w:rFonts w:ascii="Arial" w:hAnsi="Arial"/>
                <w:b/>
                <w:sz w:val="20"/>
              </w:rPr>
              <w:t>Erros</w:t>
            </w:r>
          </w:p>
        </w:tc>
      </w:tr>
      <w:tr>
        <w:tc>
          <w:tcPr>
            <w:tcW w:type="dxa" w:w="1512"/>
          </w:tcPr>
          <w:p>
            <w:r>
              <w:rPr>
                <w:rFonts w:ascii="Arial" w:hAnsi="Arial"/>
                <w:sz w:val="20"/>
              </w:rPr>
              <w:t>Java 25 (Virtual Threads)</w:t>
            </w:r>
          </w:p>
        </w:tc>
        <w:tc>
          <w:tcPr>
            <w:tcW w:type="dxa" w:w="1512"/>
          </w:tcPr>
          <w:p>
            <w:r>
              <w:rPr>
                <w:rFonts w:ascii="Arial" w:hAnsi="Arial"/>
                <w:sz w:val="20"/>
              </w:rPr>
              <w:t>1997,8 ms</w:t>
            </w:r>
          </w:p>
        </w:tc>
        <w:tc>
          <w:tcPr>
            <w:tcW w:type="dxa" w:w="1512"/>
          </w:tcPr>
          <w:p>
            <w:r>
              <w:rPr>
                <w:rFonts w:ascii="Arial" w:hAnsi="Arial"/>
                <w:sz w:val="20"/>
              </w:rPr>
              <w:t>1980,5 ms</w:t>
            </w:r>
          </w:p>
        </w:tc>
        <w:tc>
          <w:tcPr>
            <w:tcW w:type="dxa" w:w="1512"/>
          </w:tcPr>
          <w:p>
            <w:r>
              <w:rPr>
                <w:rFonts w:ascii="Arial" w:hAnsi="Arial"/>
                <w:sz w:val="20"/>
              </w:rPr>
              <w:t>4208,9 ms</w:t>
            </w:r>
          </w:p>
        </w:tc>
        <w:tc>
          <w:tcPr>
            <w:tcW w:type="dxa" w:w="1512"/>
          </w:tcPr>
          <w:p>
            <w:r>
              <w:rPr>
                <w:rFonts w:ascii="Arial" w:hAnsi="Arial"/>
                <w:sz w:val="20"/>
              </w:rPr>
              <w:t>144,0 req/s</w:t>
            </w:r>
          </w:p>
        </w:tc>
        <w:tc>
          <w:tcPr>
            <w:tcW w:type="dxa" w:w="1512"/>
          </w:tcPr>
          <w:p>
            <w:r>
              <w:rPr>
                <w:rFonts w:ascii="Arial" w:hAnsi="Arial"/>
                <w:sz w:val="20"/>
              </w:rPr>
              <w:t>0,00%</w:t>
            </w:r>
          </w:p>
        </w:tc>
      </w:tr>
      <w:tr>
        <w:tc>
          <w:tcPr>
            <w:tcW w:type="dxa" w:w="1512"/>
          </w:tcPr>
          <w:p>
            <w:r>
              <w:rPr>
                <w:rFonts w:ascii="Arial" w:hAnsi="Arial"/>
                <w:sz w:val="20"/>
              </w:rPr>
              <w:t>Go 1.25 (Goroutines)</w:t>
            </w:r>
          </w:p>
        </w:tc>
        <w:tc>
          <w:tcPr>
            <w:tcW w:type="dxa" w:w="1512"/>
          </w:tcPr>
          <w:p>
            <w:r>
              <w:rPr>
                <w:rFonts w:ascii="Arial" w:hAnsi="Arial"/>
                <w:sz w:val="20"/>
              </w:rPr>
              <w:t>975,4 ms</w:t>
            </w:r>
          </w:p>
        </w:tc>
        <w:tc>
          <w:tcPr>
            <w:tcW w:type="dxa" w:w="1512"/>
          </w:tcPr>
          <w:p>
            <w:r>
              <w:rPr>
                <w:rFonts w:ascii="Arial" w:hAnsi="Arial"/>
                <w:sz w:val="20"/>
              </w:rPr>
              <w:t>970,2 ms</w:t>
            </w:r>
          </w:p>
        </w:tc>
        <w:tc>
          <w:tcPr>
            <w:tcW w:type="dxa" w:w="1512"/>
          </w:tcPr>
          <w:p>
            <w:r>
              <w:rPr>
                <w:rFonts w:ascii="Arial" w:hAnsi="Arial"/>
                <w:sz w:val="20"/>
              </w:rPr>
              <w:t>1365,0 ms</w:t>
            </w:r>
          </w:p>
        </w:tc>
        <w:tc>
          <w:tcPr>
            <w:tcW w:type="dxa" w:w="1512"/>
          </w:tcPr>
          <w:p>
            <w:r>
              <w:rPr>
                <w:rFonts w:ascii="Arial" w:hAnsi="Arial"/>
                <w:sz w:val="20"/>
              </w:rPr>
              <w:t>274,4 req/s</w:t>
            </w:r>
          </w:p>
        </w:tc>
        <w:tc>
          <w:tcPr>
            <w:tcW w:type="dxa" w:w="1512"/>
          </w:tcPr>
          <w:p>
            <w:r>
              <w:rPr>
                <w:rFonts w:ascii="Arial" w:hAnsi="Arial"/>
                <w:sz w:val="20"/>
              </w:rPr>
              <w:t>0,00%</w:t>
            </w:r>
          </w:p>
        </w:tc>
      </w:tr>
      <w:tr>
        <w:tc>
          <w:tcPr>
            <w:tcW w:type="dxa" w:w="1512"/>
          </w:tcPr>
          <w:p>
            <w:r>
              <w:rPr>
                <w:rFonts w:ascii="Arial" w:hAnsi="Arial"/>
                <w:sz w:val="20"/>
              </w:rPr>
              <w:t>Quarkus Native (OS Threads)</w:t>
            </w:r>
          </w:p>
        </w:tc>
        <w:tc>
          <w:tcPr>
            <w:tcW w:type="dxa" w:w="1512"/>
          </w:tcPr>
          <w:p>
            <w:r>
              <w:rPr>
                <w:rFonts w:ascii="Arial" w:hAnsi="Arial"/>
                <w:sz w:val="20"/>
              </w:rPr>
              <w:t>1555,6 ms</w:t>
            </w:r>
          </w:p>
        </w:tc>
        <w:tc>
          <w:tcPr>
            <w:tcW w:type="dxa" w:w="1512"/>
          </w:tcPr>
          <w:p>
            <w:r>
              <w:rPr>
                <w:rFonts w:ascii="Arial" w:hAnsi="Arial"/>
                <w:sz w:val="20"/>
              </w:rPr>
              <w:t>1540,1 ms</w:t>
            </w:r>
          </w:p>
        </w:tc>
        <w:tc>
          <w:tcPr>
            <w:tcW w:type="dxa" w:w="1512"/>
          </w:tcPr>
          <w:p>
            <w:r>
              <w:rPr>
                <w:rFonts w:ascii="Arial" w:hAnsi="Arial"/>
                <w:sz w:val="20"/>
              </w:rPr>
              <w:t>2286,0 ms</w:t>
            </w:r>
          </w:p>
        </w:tc>
        <w:tc>
          <w:tcPr>
            <w:tcW w:type="dxa" w:w="1512"/>
          </w:tcPr>
          <w:p>
            <w:r>
              <w:rPr>
                <w:rFonts w:ascii="Arial" w:hAnsi="Arial"/>
                <w:sz w:val="20"/>
              </w:rPr>
              <w:t>180,9 req/s</w:t>
            </w:r>
          </w:p>
        </w:tc>
        <w:tc>
          <w:tcPr>
            <w:tcW w:type="dxa" w:w="1512"/>
          </w:tcPr>
          <w:p>
            <w:r>
              <w:rPr>
                <w:rFonts w:ascii="Arial" w:hAnsi="Arial"/>
                <w:sz w:val="20"/>
              </w:rPr>
              <w:t>0,00%</w:t>
            </w:r>
          </w:p>
        </w:tc>
      </w:tr>
    </w:tbl>
    <w:p>
      <w:pPr>
        <w:spacing w:before="40" w:after="160"/>
        <w:ind w:firstLine="0"/>
        <w:jc w:val="left"/>
      </w:pPr>
      <w:r>
        <w:rPr>
          <w:rFonts w:ascii="Arial" w:hAnsi="Arial"/>
          <w:sz w:val="22"/>
        </w:rPr>
        <w:t>Fonte: O próprio autor</w:t>
      </w:r>
    </w:p>
    <w:p>
      <w:pPr>
        <w:spacing w:line="330" w:lineRule="exact"/>
        <w:ind w:firstLine="709"/>
        <w:jc w:val="both"/>
      </w:pPr>
      <w:r>
        <w:rPr>
          <w:rFonts w:ascii="Arial" w:hAnsi="Arial"/>
          <w:b w:val="0"/>
          <w:i w:val="0"/>
          <w:sz w:val="22"/>
        </w:rPr>
        <w:t>Finalmente, sob a ótica econômica FinOps para contêineres na nuvem, a Tabela 5 consolida os limites de densidade de pods. Enquanto a JVM do Java consumiu massivos 733 MB (pico) para suportar a carga de Spike, e o Quarkus ocupou 305 MB devido ao footprint das OS Threads, o Go sustentou o processamento elástico exigindo apenas 75 MB. Essa disparidade de quase 10x na pegada de RAM implica que, em infraestruturas de Kubernetes, a adoção de Go viabiliza um adensamento de instâncias severamente superior, otimizando os custos diretos.</w:t>
      </w:r>
    </w:p>
    <w:p>
      <w:pPr>
        <w:spacing w:before="160" w:after="80"/>
        <w:ind w:firstLine="0"/>
        <w:jc w:val="left"/>
      </w:pPr>
      <w:r>
        <w:rPr>
          <w:rFonts w:ascii="Arial" w:hAnsi="Arial"/>
          <w:sz w:val="22"/>
        </w:rPr>
        <w:t>Tabela 5. Consumo de Memória (FinOps) no Kubernetes GKE</w:t>
      </w:r>
    </w:p>
    <w:tbl>
      <w:tblPr>
        <w:tblStyle w:val="Tabelacomgrade"/>
        <w:tblW w:type="auto" w:w="0"/>
        <w:tblLook w:firstColumn="1" w:firstRow="1" w:lastColumn="0" w:lastRow="0" w:noHBand="0" w:noVBand="1" w:val="04A0"/>
      </w:tblPr>
      <w:tblGrid>
        <w:gridCol w:w="2267"/>
        <w:gridCol w:w="2267"/>
        <w:gridCol w:w="2267"/>
        <w:gridCol w:w="2267"/>
      </w:tblGrid>
      <w:tr>
        <w:tc>
          <w:tcPr>
            <w:tcW w:type="dxa" w:w="2267"/>
          </w:tcPr>
          <w:p>
            <w:r>
              <w:rPr>
                <w:rFonts w:ascii="Arial" w:hAnsi="Arial"/>
                <w:b/>
                <w:sz w:val="20"/>
              </w:rPr>
              <w:t>Backend</w:t>
            </w:r>
          </w:p>
        </w:tc>
        <w:tc>
          <w:tcPr>
            <w:tcW w:type="dxa" w:w="2267"/>
          </w:tcPr>
          <w:p>
            <w:r>
              <w:rPr>
                <w:rFonts w:ascii="Arial" w:hAnsi="Arial"/>
                <w:b/>
                <w:sz w:val="20"/>
              </w:rPr>
              <w:t>RAM Média</w:t>
            </w:r>
          </w:p>
        </w:tc>
        <w:tc>
          <w:tcPr>
            <w:tcW w:type="dxa" w:w="2267"/>
          </w:tcPr>
          <w:p>
            <w:r>
              <w:rPr>
                <w:rFonts w:ascii="Arial" w:hAnsi="Arial"/>
                <w:b/>
                <w:sz w:val="20"/>
              </w:rPr>
              <w:t>RAM Pico Máximo</w:t>
            </w:r>
          </w:p>
        </w:tc>
        <w:tc>
          <w:tcPr>
            <w:tcW w:type="dxa" w:w="2267"/>
          </w:tcPr>
          <w:p>
            <w:r>
              <w:rPr>
                <w:rFonts w:ascii="Arial" w:hAnsi="Arial"/>
                <w:b/>
                <w:sz w:val="20"/>
              </w:rPr>
              <w:t>Diferencial do Go</w:t>
            </w:r>
          </w:p>
        </w:tc>
      </w:tr>
      <w:tr>
        <w:tc>
          <w:tcPr>
            <w:tcW w:type="dxa" w:w="2267"/>
          </w:tcPr>
          <w:p>
            <w:r>
              <w:rPr>
                <w:rFonts w:ascii="Arial" w:hAnsi="Arial"/>
                <w:sz w:val="20"/>
              </w:rPr>
              <w:t>Java 25 (Virtual Threads)</w:t>
            </w:r>
          </w:p>
        </w:tc>
        <w:tc>
          <w:tcPr>
            <w:tcW w:type="dxa" w:w="2267"/>
          </w:tcPr>
          <w:p>
            <w:r>
              <w:rPr>
                <w:rFonts w:ascii="Arial" w:hAnsi="Arial"/>
                <w:sz w:val="20"/>
              </w:rPr>
              <w:t>668 MB</w:t>
            </w:r>
          </w:p>
        </w:tc>
        <w:tc>
          <w:tcPr>
            <w:tcW w:type="dxa" w:w="2267"/>
          </w:tcPr>
          <w:p>
            <w:r>
              <w:rPr>
                <w:rFonts w:ascii="Arial" w:hAnsi="Arial"/>
                <w:sz w:val="20"/>
              </w:rPr>
              <w:t>733 MB</w:t>
            </w:r>
          </w:p>
        </w:tc>
        <w:tc>
          <w:tcPr>
            <w:tcW w:type="dxa" w:w="2267"/>
          </w:tcPr>
          <w:p>
            <w:r>
              <w:rPr>
                <w:rFonts w:ascii="Arial" w:hAnsi="Arial"/>
                <w:sz w:val="20"/>
              </w:rPr>
              <w:t>JVM exige quase 10x mais memória</w:t>
            </w:r>
          </w:p>
        </w:tc>
      </w:tr>
      <w:tr>
        <w:tc>
          <w:tcPr>
            <w:tcW w:type="dxa" w:w="2267"/>
          </w:tcPr>
          <w:p>
            <w:r>
              <w:rPr>
                <w:rFonts w:ascii="Arial" w:hAnsi="Arial"/>
                <w:sz w:val="20"/>
              </w:rPr>
              <w:t>Go 1.25 (Goroutines)</w:t>
            </w:r>
          </w:p>
        </w:tc>
        <w:tc>
          <w:tcPr>
            <w:tcW w:type="dxa" w:w="2267"/>
          </w:tcPr>
          <w:p>
            <w:r>
              <w:rPr>
                <w:rFonts w:ascii="Arial" w:hAnsi="Arial"/>
                <w:sz w:val="20"/>
              </w:rPr>
              <w:t>43 MB</w:t>
            </w:r>
          </w:p>
        </w:tc>
        <w:tc>
          <w:tcPr>
            <w:tcW w:type="dxa" w:w="2267"/>
          </w:tcPr>
          <w:p>
            <w:r>
              <w:rPr>
                <w:rFonts w:ascii="Arial" w:hAnsi="Arial"/>
                <w:sz w:val="20"/>
              </w:rPr>
              <w:t>75 MB</w:t>
            </w:r>
          </w:p>
        </w:tc>
        <w:tc>
          <w:tcPr>
            <w:tcW w:type="dxa" w:w="2267"/>
          </w:tcPr>
          <w:p>
            <w:r>
              <w:rPr>
                <w:rFonts w:ascii="Arial" w:hAnsi="Arial"/>
                <w:sz w:val="20"/>
              </w:rPr>
              <w:t>Baseline (1x)</w:t>
            </w:r>
          </w:p>
        </w:tc>
      </w:tr>
      <w:tr>
        <w:tc>
          <w:tcPr>
            <w:tcW w:type="dxa" w:w="2267"/>
          </w:tcPr>
          <w:p>
            <w:r>
              <w:rPr>
                <w:rFonts w:ascii="Arial" w:hAnsi="Arial"/>
                <w:sz w:val="20"/>
              </w:rPr>
              <w:t>Quarkus Native (OS Threads)</w:t>
            </w:r>
          </w:p>
        </w:tc>
        <w:tc>
          <w:tcPr>
            <w:tcW w:type="dxa" w:w="2267"/>
          </w:tcPr>
          <w:p>
            <w:r>
              <w:rPr>
                <w:rFonts w:ascii="Arial" w:hAnsi="Arial"/>
                <w:sz w:val="20"/>
              </w:rPr>
              <w:t>163 MB</w:t>
            </w:r>
          </w:p>
        </w:tc>
        <w:tc>
          <w:tcPr>
            <w:tcW w:type="dxa" w:w="2267"/>
          </w:tcPr>
          <w:p>
            <w:r>
              <w:rPr>
                <w:rFonts w:ascii="Arial" w:hAnsi="Arial"/>
                <w:sz w:val="20"/>
              </w:rPr>
              <w:t>305 MB</w:t>
            </w:r>
          </w:p>
        </w:tc>
        <w:tc>
          <w:tcPr>
            <w:tcW w:type="dxa" w:w="2267"/>
          </w:tcPr>
          <w:p>
            <w:r>
              <w:rPr>
                <w:rFonts w:ascii="Arial" w:hAnsi="Arial"/>
                <w:sz w:val="20"/>
              </w:rPr>
              <w:t>OS Threads exigem ~4x mais memória</w:t>
            </w:r>
          </w:p>
        </w:tc>
      </w:tr>
    </w:tbl>
    <w:p>
      <w:pPr>
        <w:spacing w:before="40" w:after="160"/>
        <w:ind w:firstLine="0"/>
        <w:jc w:val="left"/>
      </w:pPr>
      <w:r>
        <w:rPr>
          <w:rFonts w:ascii="Arial" w:hAnsi="Arial"/>
          <w:sz w:val="22"/>
        </w:rPr>
        <w:t>Fonte: O próprio autor</w:t>
      </w:r>
    </w:p>
    <w:p>
      <w:pPr>
        <w:spacing w:before="220" w:after="0" w:line="330" w:lineRule="exact"/>
        <w:ind w:firstLine="0"/>
        <w:jc w:val="left"/>
      </w:pPr>
      <w:r>
        <w:rPr>
          <w:rFonts w:ascii="Arial" w:hAnsi="Arial"/>
          <w:b/>
          <w:sz w:val="22"/>
        </w:rPr>
        <w:t>Conclusões</w:t>
      </w:r>
    </w:p>
    <w:p>
      <w:pPr>
        <w:spacing w:line="330" w:lineRule="exact"/>
        <w:ind w:firstLine="709"/>
        <w:jc w:val="both"/>
      </w:pPr>
      <w:r>
        <w:rPr>
          <w:rFonts w:ascii="Arial" w:hAnsi="Arial"/>
          <w:b w:val="0"/>
          <w:i w:val="0"/>
          <w:sz w:val="22"/>
        </w:rPr>
        <w:t>A pesquisa conclui de maneira definitiva que os modelos de concorrência impactam severamente a resiliência de workloads I/O-bound em produção. Em ambientes estáveis de concorrência moderada, as Virtual Threads do Java (Project Loom) maximizam o throughput valendo-se das otimizações contínuas do JIT Compiler. No entanto, a arquitetura moderna baseada em Kubernetes (Serverless/Elástica) exige rápida estabilização frente a choques de tráfego. Neste contexto de elasticidade (Spike), o Java decai criticamente devido a gargalos históricos de sincronização (ex: pool HikariCP) e penalidades do Cold-Start. O ecossistema Go (Goroutines e canais lock-free), aliado à sua compilação AOT nativa, provou ser inquestionavelmente mais elástico e economicamente sustentável (FinOps), consumindo frações da memória exigida pela JVM (75 MB vs 733 MB) para suportar cargas absolutas superiores, sendo a solução ideal para Gateways de Pagamento.</w:t>
      </w:r>
    </w:p>
    <w:p>
      <w:pPr>
        <w:spacing w:before="220" w:after="0" w:line="330" w:lineRule="exact"/>
        <w:ind w:firstLine="0"/>
        <w:jc w:val="left"/>
      </w:pPr>
      <w:r>
        <w:rPr>
          <w:rFonts w:ascii="Arial" w:hAnsi="Arial"/>
          <w:b/>
          <w:sz w:val="22"/>
        </w:rPr>
        <w:t>Agradecimento</w:t>
      </w:r>
    </w:p>
    <w:p>
      <w:pPr>
        <w:spacing w:line="330" w:lineRule="exact"/>
        <w:ind w:firstLine="709"/>
        <w:jc w:val="both"/>
      </w:pPr>
      <w:r>
        <w:rPr>
          <w:rFonts w:ascii="Arial" w:hAnsi="Arial"/>
          <w:b w:val="0"/>
          <w:i w:val="0"/>
          <w:sz w:val="22"/>
        </w:rPr>
        <w:t>O autor agradece ao Prof. Marcos Jardel Henriques pela orientação acadêmica e pelo apoio técnico fornecido nas revisões dos relatórios de benchmarks locais e nos planos de testes do ambiente em nuvem.</w:t>
      </w:r>
    </w:p>
    <w:p>
      <w:pPr>
        <w:spacing w:before="220" w:after="0" w:line="330" w:lineRule="exact"/>
        <w:ind w:firstLine="0"/>
        <w:jc w:val="left"/>
      </w:pPr>
      <w:r>
        <w:rPr>
          <w:rFonts w:ascii="Arial" w:hAnsi="Arial"/>
          <w:b/>
          <w:sz w:val="22"/>
        </w:rPr>
        <w:t>Referências</w:t>
      </w:r>
    </w:p>
    <w:p>
      <w:pPr>
        <w:spacing w:before="120" w:after="0" w:line="220" w:lineRule="exact"/>
        <w:ind w:firstLine="0"/>
        <w:jc w:val="left"/>
      </w:pPr>
      <w:r>
        <w:rPr>
          <w:rFonts w:ascii="Arial" w:hAnsi="Arial"/>
          <w:sz w:val="22"/>
        </w:rPr>
        <w:t>Arora, P.; Singh, R.; Gupta, M. 2023. Comparative analysis of memory efficiency in cloud-native runtimes: Go, Rust and Java on Kubernetes. Journal of Cloud Computing: Advances, Systems and Applications 12(3): 45-61.</w:t>
      </w:r>
    </w:p>
    <w:p>
      <w:pPr>
        <w:spacing w:before="120" w:after="0" w:line="220" w:lineRule="exact"/>
        <w:ind w:firstLine="0"/>
        <w:jc w:val="left"/>
      </w:pPr>
      <w:r>
        <w:rPr>
          <w:rFonts w:ascii="Arial" w:hAnsi="Arial"/>
          <w:sz w:val="22"/>
        </w:rPr>
        <w:t>Curino, C.; Jones, E.P.C.; Madden, S. 2020. Workload-aware database monitoring and diagnosis. IEEE Transactions on Knowledge and Data Engineering 22(6): 813-825.</w:t>
      </w:r>
    </w:p>
    <w:p>
      <w:pPr>
        <w:spacing w:before="120" w:after="0" w:line="220" w:lineRule="exact"/>
        <w:ind w:firstLine="0"/>
        <w:jc w:val="left"/>
      </w:pPr>
      <w:r>
        <w:rPr>
          <w:rFonts w:ascii="Arial" w:hAnsi="Arial"/>
          <w:sz w:val="22"/>
        </w:rPr>
        <w:t>Go Core Team. 2026. Go Runtime Scheduler. Versão 1.25. Disponível em: &lt;https://go.dev&gt;. Acesso em: 10 mar. 2026.</w:t>
      </w:r>
    </w:p>
    <w:p>
      <w:pPr>
        <w:spacing w:before="120" w:after="0" w:line="220" w:lineRule="exact"/>
        <w:ind w:firstLine="0"/>
        <w:jc w:val="left"/>
      </w:pPr>
      <w:r>
        <w:rPr>
          <w:rFonts w:ascii="Arial" w:hAnsi="Arial"/>
          <w:sz w:val="22"/>
        </w:rPr>
        <w:t>Goetz, B.; Peierls, T.; Bloch, J.; Bowbeer, J.; Holmes, D.; Lea, D. 2006. Java Concurrency in Practice. Addison-Wesley, Upper Saddle River, NJ, USA.</w:t>
      </w:r>
    </w:p>
    <w:p>
      <w:pPr>
        <w:spacing w:before="120" w:after="0" w:line="220" w:lineRule="exact"/>
        <w:ind w:firstLine="0"/>
        <w:jc w:val="left"/>
      </w:pPr>
      <w:r>
        <w:rPr>
          <w:rFonts w:ascii="Arial" w:hAnsi="Arial"/>
          <w:sz w:val="22"/>
        </w:rPr>
        <w:t>Grafana Labs. 2024. k6 Documentation: Virtual Users and Concurrency Model. Disponível em: &lt;https://k6.io/docs&gt;. Acesso em: 15 jan. 2026.</w:t>
      </w:r>
    </w:p>
    <w:p>
      <w:pPr>
        <w:spacing w:before="120" w:after="0" w:line="220" w:lineRule="exact"/>
        <w:ind w:firstLine="0"/>
        <w:jc w:val="left"/>
      </w:pPr>
      <w:r>
        <w:rPr>
          <w:rFonts w:ascii="Arial" w:hAnsi="Arial"/>
          <w:sz w:val="22"/>
        </w:rPr>
        <w:t>Iosup, A.; Ostermann, S.; Yigitbasi, M.N.; Prodan, R.; Fahringer, T.; Epema, D. 2011. Performance analysis of cloud computing services for many-tasks scientific computing. IEEE Transactions on Parallel and Distributed Systems 22(6): 931-945.</w:t>
      </w:r>
    </w:p>
    <w:p>
      <w:pPr>
        <w:spacing w:before="120" w:after="0" w:line="220" w:lineRule="exact"/>
        <w:ind w:firstLine="0"/>
        <w:jc w:val="left"/>
      </w:pPr>
      <w:r>
        <w:rPr>
          <w:rFonts w:ascii="Arial" w:hAnsi="Arial"/>
          <w:sz w:val="22"/>
        </w:rPr>
        <w:t>Jain, R. 1991. The Art of Computer Systems Performance Analysis: Techniques for Experimental Design, Measurement, Simulation, and Modeling. John Wiley and Sons, New York, NY, USA.</w:t>
      </w:r>
    </w:p>
    <w:p>
      <w:pPr>
        <w:spacing w:before="120" w:after="0" w:line="220" w:lineRule="exact"/>
        <w:ind w:firstLine="0"/>
        <w:jc w:val="left"/>
      </w:pPr>
      <w:r>
        <w:rPr>
          <w:rFonts w:ascii="Arial" w:hAnsi="Arial"/>
          <w:sz w:val="22"/>
        </w:rPr>
        <w:t>Martin, R.C. 2017. Clean Architecture: A Craftsman's Guide to Software Structure and Design. Prentice Hall, Upper Saddle River, NJ, USA.</w:t>
      </w:r>
    </w:p>
    <w:p>
      <w:pPr>
        <w:spacing w:before="120" w:after="0" w:line="220" w:lineRule="exact"/>
        <w:ind w:firstLine="0"/>
        <w:jc w:val="left"/>
      </w:pPr>
      <w:r>
        <w:rPr>
          <w:rFonts w:ascii="Arial" w:hAnsi="Arial"/>
          <w:sz w:val="22"/>
        </w:rPr>
        <w:t>Oracle. 2026. JEP 491: Key Platform Threads in synchronized. Java Development Kit (JDK) 25. Oracle Corporation, Redwood City, CA, USA.</w:t>
      </w:r>
    </w:p>
    <w:p>
      <w:pPr>
        <w:spacing w:before="120" w:after="0" w:line="220" w:lineRule="exact"/>
        <w:ind w:firstLine="0"/>
        <w:jc w:val="left"/>
      </w:pPr>
      <w:r>
        <w:rPr>
          <w:rFonts w:ascii="Arial" w:hAnsi="Arial"/>
          <w:sz w:val="22"/>
        </w:rPr>
        <w:t>Pike, R. 2012. Go Concurrency Patterns. Google I/O Conference. Disponível em: &lt;https://talks.golang.org/2012/concurrency.slide&gt;. Acesso em: 20 fev. 2026.</w:t>
      </w:r>
    </w:p>
    <w:p>
      <w:pPr>
        <w:spacing w:before="120" w:after="0" w:line="220" w:lineRule="exact"/>
        <w:ind w:firstLine="0"/>
        <w:jc w:val="left"/>
      </w:pPr>
      <w:r>
        <w:rPr>
          <w:rFonts w:ascii="Arial" w:hAnsi="Arial"/>
          <w:sz w:val="22"/>
        </w:rPr>
        <w:t>Pressler, R.; Bateman, A. 2023. Virtual Threads (Project Loom) — JEP 444. Java Enhancement Proposal. Oracle Corporation, Redwood City, CA, USA.</w:t>
      </w:r>
    </w:p>
    <w:p>
      <w:pPr>
        <w:spacing w:before="120" w:after="0" w:line="220" w:lineRule="exact"/>
        <w:ind w:firstLine="0"/>
        <w:jc w:val="left"/>
      </w:pPr>
      <w:r>
        <w:rPr>
          <w:rFonts w:ascii="Arial" w:hAnsi="Arial"/>
          <w:sz w:val="22"/>
        </w:rPr>
        <w:t>Red Hat. 2025. Quarkus — GraalVM Mandrel Native Integration. Versão 3.15.1. Red Hat Inc., Raleigh, NC, USA.</w:t>
      </w:r>
    </w:p>
    <w:p>
      <w:pPr>
        <w:spacing w:before="120" w:after="0" w:line="220" w:lineRule="exact"/>
        <w:ind w:firstLine="0"/>
        <w:jc w:val="left"/>
      </w:pPr>
      <w:r>
        <w:rPr>
          <w:rFonts w:ascii="Arial" w:hAnsi="Arial"/>
          <w:sz w:val="22"/>
        </w:rPr>
        <w:t>Spring Team. 2026. Spring Boot 3.5: Virtual Threads Configuration Guide. VMware Tanzu, Palo Alto, CA, USA.</w:t>
      </w:r>
    </w:p>
    <w:p>
      <w:pPr>
        <w:spacing w:before="120" w:after="0" w:line="220" w:lineRule="exact"/>
        <w:ind w:firstLine="0"/>
        <w:jc w:val="left"/>
      </w:pPr>
      <w:r>
        <w:rPr>
          <w:rFonts w:ascii="Arial" w:hAnsi="Arial"/>
          <w:sz w:val="22"/>
        </w:rPr>
        <w:t>Xu, Y.; Zhang, H.; Li, J. 2021. Performance characteristics of microservice architectures under high concurrency: a systematic benchmark study. ACM Transactions on Internet Technology 21(4): 1-28.</w:t>
      </w:r>
    </w:p>
    <w:sectPr w:rsidR="00FE14AF" w:rsidRPr="000B508B" w:rsidSect="00346452">
      <w:headerReference w:type="default" r:id="rId11"/>
      <w:footerReference w:type="default" r:id="rId12"/>
      <w:footerReference w:type="first" r:id="rId13"/>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61560" w14:textId="77777777" w:rsidR="00DF23DE" w:rsidRDefault="00DF23DE" w:rsidP="005F5FEB">
      <w:pPr>
        <w:spacing w:line="240" w:lineRule="auto"/>
      </w:pPr>
      <w:r>
        <w:separator/>
      </w:r>
    </w:p>
  </w:endnote>
  <w:endnote w:type="continuationSeparator" w:id="0">
    <w:p w14:paraId="1FBD4A00" w14:textId="77777777" w:rsidR="00DF23DE" w:rsidRDefault="00DF23DE" w:rsidP="005F5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1EFF9085" w:rsidR="00EF1565" w:rsidRPr="00EF1565" w:rsidRDefault="00EF1565">
    <w:pPr>
      <w:pStyle w:val="Rodap"/>
      <w:jc w:val="right"/>
      <w:rPr>
        <w:sz w:val="18"/>
        <w:szCs w:val="18"/>
      </w:rPr>
    </w:pPr>
    <w:r w:rsidRPr="00EF1565">
      <w:rPr>
        <w:sz w:val="18"/>
        <w:szCs w:val="18"/>
      </w:rPr>
      <w:fldChar w:fldCharType="begin"/>
    </w:r>
    <w:r w:rsidRPr="00EF1565">
      <w:rPr>
        <w:sz w:val="18"/>
        <w:szCs w:val="18"/>
      </w:rPr>
      <w:instrText>PAGE   \* MERGEFORMAT</w:instrText>
    </w:r>
    <w:r w:rsidRPr="00EF1565">
      <w:rPr>
        <w:sz w:val="18"/>
        <w:szCs w:val="18"/>
      </w:rPr>
      <w:fldChar w:fldCharType="separate"/>
    </w:r>
    <w:r w:rsidR="00811DE0">
      <w:rPr>
        <w:noProof/>
        <w:sz w:val="18"/>
        <w:szCs w:val="18"/>
      </w:rPr>
      <w:t>4</w:t>
    </w:r>
    <w:r w:rsidRPr="00EF1565">
      <w:rPr>
        <w:sz w:val="18"/>
        <w:szCs w:val="18"/>
      </w:rPr>
      <w:fldChar w:fldCharType="end"/>
    </w:r>
  </w:p>
  <w:p w14:paraId="25D1DCB2" w14:textId="77777777" w:rsidR="00D92CD6" w:rsidRDefault="00D92CD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77777777" w:rsidR="0094025E" w:rsidRDefault="0094025E">
    <w:pPr>
      <w:pStyle w:val="Rodap"/>
      <w:jc w:val="right"/>
    </w:pP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D5276" w14:textId="77777777" w:rsidR="00DF23DE" w:rsidRDefault="00DF23DE" w:rsidP="005F5FEB">
      <w:pPr>
        <w:spacing w:line="240" w:lineRule="auto"/>
      </w:pPr>
      <w:bookmarkStart w:id="0" w:name="_Hlk493588901"/>
      <w:bookmarkEnd w:id="0"/>
      <w:r>
        <w:separator/>
      </w:r>
    </w:p>
  </w:footnote>
  <w:footnote w:type="continuationSeparator" w:id="0">
    <w:p w14:paraId="0BB802EE" w14:textId="77777777" w:rsidR="00DF23DE" w:rsidRDefault="00DF23DE" w:rsidP="005F5F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056D" w14:textId="77777777" w:rsidR="00822646" w:rsidRPr="00D52F94" w:rsidRDefault="00822646" w:rsidP="0084737F">
    <w:pPr>
      <w:pStyle w:val="SemEspaamento"/>
      <w:ind w:right="3968"/>
      <w:rPr>
        <w:sz w:val="16"/>
        <w:szCs w:val="17"/>
      </w:rPr>
    </w:pPr>
    <w:r>
      <w:rPr>
        <w:noProof/>
      </w:rPr>
      <w:drawing>
        <wp:anchor distT="0" distB="0" distL="114300" distR="114300" simplePos="0" relativeHeight="251676672"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7"/>
      </w:rPr>
      <w:t>Trabalho</w:t>
    </w:r>
    <w:r w:rsidRPr="00D52F94">
      <w:rPr>
        <w:sz w:val="16"/>
        <w:szCs w:val="17"/>
      </w:rPr>
      <w:t xml:space="preserve"> </w:t>
    </w:r>
    <w:r>
      <w:rPr>
        <w:sz w:val="16"/>
        <w:szCs w:val="17"/>
      </w:rPr>
      <w:t xml:space="preserve">de Conclusão de Curso </w:t>
    </w:r>
    <w:r w:rsidRPr="00D52F94">
      <w:rPr>
        <w:sz w:val="16"/>
        <w:szCs w:val="17"/>
      </w:rPr>
      <w:t>apresentad</w:t>
    </w:r>
    <w:r>
      <w:rPr>
        <w:sz w:val="16"/>
        <w:szCs w:val="17"/>
      </w:rPr>
      <w:t>o</w:t>
    </w:r>
    <w:r w:rsidRPr="00D52F94">
      <w:rPr>
        <w:sz w:val="16"/>
        <w:szCs w:val="17"/>
      </w:rPr>
      <w:t xml:space="preserve"> para obtenção do título de especialista em</w:t>
    </w:r>
    <w:r>
      <w:rPr>
        <w:sz w:val="16"/>
        <w:szCs w:val="17"/>
      </w:rPr>
      <w:t xml:space="preserve"> _________ (Nome do curso) – ____ (ano da defesa)</w:t>
    </w:r>
    <w:r w:rsidRPr="004D48C1">
      <w:t xml:space="preserve"> </w:t>
    </w:r>
  </w:p>
  <w:p w14:paraId="73E404DB" w14:textId="77777777" w:rsidR="00822646" w:rsidRDefault="00822646" w:rsidP="0084737F">
    <w:pPr>
      <w:pStyle w:val="Cabealho"/>
      <w:tabs>
        <w:tab w:val="clear" w:pos="4252"/>
        <w:tab w:val="clear" w:pos="8504"/>
        <w:tab w:val="left" w:pos="1785"/>
      </w:tabs>
    </w:pPr>
    <w:r>
      <w:rPr>
        <w:noProof/>
        <w:lang w:eastAsia="pt-BR"/>
      </w:rPr>
      <mc:AlternateContent>
        <mc:Choice Requires="wps">
          <w:drawing>
            <wp:anchor distT="0" distB="0" distL="114300" distR="114300" simplePos="0" relativeHeight="251675648"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3A5B1A" id="Conector reto 844941520" o:spid="_x0000_s1026" style="position:absolute;flip:y;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783379">
    <w:abstractNumId w:val="1"/>
  </w:num>
  <w:num w:numId="2" w16cid:durableId="154625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10625"/>
    <w:rsid w:val="000121A2"/>
    <w:rsid w:val="000129BF"/>
    <w:rsid w:val="00015A3B"/>
    <w:rsid w:val="000318BF"/>
    <w:rsid w:val="0003392C"/>
    <w:rsid w:val="00033ABE"/>
    <w:rsid w:val="000379B9"/>
    <w:rsid w:val="000414DF"/>
    <w:rsid w:val="00042541"/>
    <w:rsid w:val="000558A6"/>
    <w:rsid w:val="000569A1"/>
    <w:rsid w:val="0006184C"/>
    <w:rsid w:val="000639C7"/>
    <w:rsid w:val="0006582A"/>
    <w:rsid w:val="00080BC8"/>
    <w:rsid w:val="000A1F2D"/>
    <w:rsid w:val="000A23B0"/>
    <w:rsid w:val="000A46BE"/>
    <w:rsid w:val="000A64CD"/>
    <w:rsid w:val="000A7332"/>
    <w:rsid w:val="000B508B"/>
    <w:rsid w:val="000B6C41"/>
    <w:rsid w:val="000C043D"/>
    <w:rsid w:val="000C3C52"/>
    <w:rsid w:val="000C5E50"/>
    <w:rsid w:val="000D65A6"/>
    <w:rsid w:val="000D7128"/>
    <w:rsid w:val="000E6826"/>
    <w:rsid w:val="000F06D0"/>
    <w:rsid w:val="000F3312"/>
    <w:rsid w:val="000F7383"/>
    <w:rsid w:val="0010264C"/>
    <w:rsid w:val="00103C8C"/>
    <w:rsid w:val="0010566C"/>
    <w:rsid w:val="00106E6C"/>
    <w:rsid w:val="00111217"/>
    <w:rsid w:val="001179F3"/>
    <w:rsid w:val="00123A50"/>
    <w:rsid w:val="001349B7"/>
    <w:rsid w:val="00135FFB"/>
    <w:rsid w:val="0014260C"/>
    <w:rsid w:val="0014711C"/>
    <w:rsid w:val="0015596D"/>
    <w:rsid w:val="00155FEB"/>
    <w:rsid w:val="001650D8"/>
    <w:rsid w:val="00173435"/>
    <w:rsid w:val="0017695E"/>
    <w:rsid w:val="0018079B"/>
    <w:rsid w:val="00183B05"/>
    <w:rsid w:val="00187D7A"/>
    <w:rsid w:val="0019516C"/>
    <w:rsid w:val="00196DB1"/>
    <w:rsid w:val="001A2B26"/>
    <w:rsid w:val="001A3AE9"/>
    <w:rsid w:val="001B0BBE"/>
    <w:rsid w:val="001B29CD"/>
    <w:rsid w:val="001B7001"/>
    <w:rsid w:val="001B7C5F"/>
    <w:rsid w:val="001D44F5"/>
    <w:rsid w:val="001E108A"/>
    <w:rsid w:val="001E6121"/>
    <w:rsid w:val="001E6B8D"/>
    <w:rsid w:val="001F0A4F"/>
    <w:rsid w:val="001F5096"/>
    <w:rsid w:val="001F677B"/>
    <w:rsid w:val="002013ED"/>
    <w:rsid w:val="002138F6"/>
    <w:rsid w:val="00214A52"/>
    <w:rsid w:val="00221EC9"/>
    <w:rsid w:val="00222913"/>
    <w:rsid w:val="00222FB8"/>
    <w:rsid w:val="00225427"/>
    <w:rsid w:val="0023417B"/>
    <w:rsid w:val="00244168"/>
    <w:rsid w:val="00244916"/>
    <w:rsid w:val="00246075"/>
    <w:rsid w:val="00247798"/>
    <w:rsid w:val="00247EAC"/>
    <w:rsid w:val="00250606"/>
    <w:rsid w:val="0025090A"/>
    <w:rsid w:val="00254CD6"/>
    <w:rsid w:val="0026130F"/>
    <w:rsid w:val="00262449"/>
    <w:rsid w:val="0026400A"/>
    <w:rsid w:val="00266914"/>
    <w:rsid w:val="00273955"/>
    <w:rsid w:val="00281B98"/>
    <w:rsid w:val="00282166"/>
    <w:rsid w:val="00286FB4"/>
    <w:rsid w:val="002875D3"/>
    <w:rsid w:val="00295E7E"/>
    <w:rsid w:val="00296614"/>
    <w:rsid w:val="002B5BAD"/>
    <w:rsid w:val="002B7B5A"/>
    <w:rsid w:val="002D0A4C"/>
    <w:rsid w:val="002D35E9"/>
    <w:rsid w:val="002D3B35"/>
    <w:rsid w:val="002D6078"/>
    <w:rsid w:val="002D6AF2"/>
    <w:rsid w:val="002D778A"/>
    <w:rsid w:val="002E3D0D"/>
    <w:rsid w:val="002F1330"/>
    <w:rsid w:val="002F2245"/>
    <w:rsid w:val="002F3830"/>
    <w:rsid w:val="00302BCD"/>
    <w:rsid w:val="003073AE"/>
    <w:rsid w:val="00311C33"/>
    <w:rsid w:val="0031459B"/>
    <w:rsid w:val="00320448"/>
    <w:rsid w:val="00323A4C"/>
    <w:rsid w:val="00325B43"/>
    <w:rsid w:val="00326CAE"/>
    <w:rsid w:val="00330DB8"/>
    <w:rsid w:val="00331021"/>
    <w:rsid w:val="0033468D"/>
    <w:rsid w:val="00346452"/>
    <w:rsid w:val="0035192B"/>
    <w:rsid w:val="00351961"/>
    <w:rsid w:val="003542E3"/>
    <w:rsid w:val="00362B83"/>
    <w:rsid w:val="00363932"/>
    <w:rsid w:val="00364D20"/>
    <w:rsid w:val="00364EBE"/>
    <w:rsid w:val="003664E8"/>
    <w:rsid w:val="003675AB"/>
    <w:rsid w:val="003678EC"/>
    <w:rsid w:val="0037116D"/>
    <w:rsid w:val="003724DA"/>
    <w:rsid w:val="00376C38"/>
    <w:rsid w:val="0038279B"/>
    <w:rsid w:val="00382BEB"/>
    <w:rsid w:val="00383658"/>
    <w:rsid w:val="003923FF"/>
    <w:rsid w:val="003A2BF8"/>
    <w:rsid w:val="003A50AD"/>
    <w:rsid w:val="003A6B04"/>
    <w:rsid w:val="003B3E2D"/>
    <w:rsid w:val="003C0770"/>
    <w:rsid w:val="003C0DDD"/>
    <w:rsid w:val="003C1B38"/>
    <w:rsid w:val="003C65F6"/>
    <w:rsid w:val="003C7E8D"/>
    <w:rsid w:val="003E150B"/>
    <w:rsid w:val="003E36CE"/>
    <w:rsid w:val="003E5D40"/>
    <w:rsid w:val="003E64D0"/>
    <w:rsid w:val="003F02C0"/>
    <w:rsid w:val="003F1EED"/>
    <w:rsid w:val="003F72AE"/>
    <w:rsid w:val="003F77A8"/>
    <w:rsid w:val="00402E00"/>
    <w:rsid w:val="0040349A"/>
    <w:rsid w:val="00406344"/>
    <w:rsid w:val="004139D1"/>
    <w:rsid w:val="00414EA7"/>
    <w:rsid w:val="00421D0A"/>
    <w:rsid w:val="004242F4"/>
    <w:rsid w:val="00424D37"/>
    <w:rsid w:val="00433D1E"/>
    <w:rsid w:val="00433E63"/>
    <w:rsid w:val="004344B3"/>
    <w:rsid w:val="004349A6"/>
    <w:rsid w:val="00435976"/>
    <w:rsid w:val="0044240B"/>
    <w:rsid w:val="004453D9"/>
    <w:rsid w:val="00445A1F"/>
    <w:rsid w:val="0045201D"/>
    <w:rsid w:val="00455C3D"/>
    <w:rsid w:val="004638D2"/>
    <w:rsid w:val="00466F81"/>
    <w:rsid w:val="00467C3B"/>
    <w:rsid w:val="0047191C"/>
    <w:rsid w:val="00471D21"/>
    <w:rsid w:val="00473CFE"/>
    <w:rsid w:val="00474ACC"/>
    <w:rsid w:val="004829D7"/>
    <w:rsid w:val="004A6188"/>
    <w:rsid w:val="004B0852"/>
    <w:rsid w:val="004B3DF1"/>
    <w:rsid w:val="004B570C"/>
    <w:rsid w:val="004B6697"/>
    <w:rsid w:val="004B73BD"/>
    <w:rsid w:val="004C12D2"/>
    <w:rsid w:val="004D48C1"/>
    <w:rsid w:val="004E0540"/>
    <w:rsid w:val="004E1ADB"/>
    <w:rsid w:val="004E2E96"/>
    <w:rsid w:val="005041D4"/>
    <w:rsid w:val="005154B6"/>
    <w:rsid w:val="00516C5E"/>
    <w:rsid w:val="00521FEE"/>
    <w:rsid w:val="00522FDE"/>
    <w:rsid w:val="00527BBF"/>
    <w:rsid w:val="00530C1C"/>
    <w:rsid w:val="005325A6"/>
    <w:rsid w:val="00532A60"/>
    <w:rsid w:val="0053780E"/>
    <w:rsid w:val="005407AB"/>
    <w:rsid w:val="005502EC"/>
    <w:rsid w:val="00551EA4"/>
    <w:rsid w:val="00556C81"/>
    <w:rsid w:val="00580198"/>
    <w:rsid w:val="0058362C"/>
    <w:rsid w:val="00584676"/>
    <w:rsid w:val="0058770B"/>
    <w:rsid w:val="005905F2"/>
    <w:rsid w:val="00592C57"/>
    <w:rsid w:val="00593069"/>
    <w:rsid w:val="00594DC8"/>
    <w:rsid w:val="005A0D62"/>
    <w:rsid w:val="005A12F8"/>
    <w:rsid w:val="005A2BA8"/>
    <w:rsid w:val="005A2F80"/>
    <w:rsid w:val="005A4188"/>
    <w:rsid w:val="005B2400"/>
    <w:rsid w:val="005B3614"/>
    <w:rsid w:val="005B3BCF"/>
    <w:rsid w:val="005B55DF"/>
    <w:rsid w:val="005B69C1"/>
    <w:rsid w:val="005C0B45"/>
    <w:rsid w:val="005C6BA6"/>
    <w:rsid w:val="005D6B9B"/>
    <w:rsid w:val="005E318E"/>
    <w:rsid w:val="005F29F8"/>
    <w:rsid w:val="005F4EB3"/>
    <w:rsid w:val="005F5FEB"/>
    <w:rsid w:val="005F72E8"/>
    <w:rsid w:val="0062319A"/>
    <w:rsid w:val="00636D01"/>
    <w:rsid w:val="00647DBF"/>
    <w:rsid w:val="00656104"/>
    <w:rsid w:val="00657EA6"/>
    <w:rsid w:val="0066110E"/>
    <w:rsid w:val="006805F5"/>
    <w:rsid w:val="00681AD7"/>
    <w:rsid w:val="00683832"/>
    <w:rsid w:val="00684110"/>
    <w:rsid w:val="00687D18"/>
    <w:rsid w:val="006926E3"/>
    <w:rsid w:val="0069588D"/>
    <w:rsid w:val="006A0317"/>
    <w:rsid w:val="006B3841"/>
    <w:rsid w:val="006B4497"/>
    <w:rsid w:val="006B4591"/>
    <w:rsid w:val="006C2C8C"/>
    <w:rsid w:val="006C720C"/>
    <w:rsid w:val="006D2995"/>
    <w:rsid w:val="006D7365"/>
    <w:rsid w:val="006D7A7F"/>
    <w:rsid w:val="006D7B11"/>
    <w:rsid w:val="006E1A8E"/>
    <w:rsid w:val="006E5D44"/>
    <w:rsid w:val="006E64EF"/>
    <w:rsid w:val="006F0623"/>
    <w:rsid w:val="006F2620"/>
    <w:rsid w:val="006F566A"/>
    <w:rsid w:val="006F78BE"/>
    <w:rsid w:val="006F7EBA"/>
    <w:rsid w:val="007028AE"/>
    <w:rsid w:val="00706669"/>
    <w:rsid w:val="00713C0C"/>
    <w:rsid w:val="00715294"/>
    <w:rsid w:val="0072023F"/>
    <w:rsid w:val="0072115B"/>
    <w:rsid w:val="00721949"/>
    <w:rsid w:val="00721A84"/>
    <w:rsid w:val="00723D29"/>
    <w:rsid w:val="007272C9"/>
    <w:rsid w:val="00731468"/>
    <w:rsid w:val="007433D4"/>
    <w:rsid w:val="0074342F"/>
    <w:rsid w:val="007450A6"/>
    <w:rsid w:val="00753001"/>
    <w:rsid w:val="007551BF"/>
    <w:rsid w:val="00767FCF"/>
    <w:rsid w:val="00770024"/>
    <w:rsid w:val="007749A1"/>
    <w:rsid w:val="0078405D"/>
    <w:rsid w:val="00784D7A"/>
    <w:rsid w:val="007854B3"/>
    <w:rsid w:val="007979B1"/>
    <w:rsid w:val="007A2A3C"/>
    <w:rsid w:val="007A658E"/>
    <w:rsid w:val="007B0806"/>
    <w:rsid w:val="007B0FB7"/>
    <w:rsid w:val="007C6844"/>
    <w:rsid w:val="007E290A"/>
    <w:rsid w:val="007F4591"/>
    <w:rsid w:val="007F54A6"/>
    <w:rsid w:val="007F57A4"/>
    <w:rsid w:val="00800FF0"/>
    <w:rsid w:val="00811A4F"/>
    <w:rsid w:val="00811DE0"/>
    <w:rsid w:val="00812949"/>
    <w:rsid w:val="0081660B"/>
    <w:rsid w:val="00822646"/>
    <w:rsid w:val="00822F6A"/>
    <w:rsid w:val="008259B0"/>
    <w:rsid w:val="00826D39"/>
    <w:rsid w:val="00833B09"/>
    <w:rsid w:val="00834D05"/>
    <w:rsid w:val="00835CCF"/>
    <w:rsid w:val="00836CE1"/>
    <w:rsid w:val="008421B8"/>
    <w:rsid w:val="00842D35"/>
    <w:rsid w:val="008443FF"/>
    <w:rsid w:val="008453BB"/>
    <w:rsid w:val="0084737F"/>
    <w:rsid w:val="008545E0"/>
    <w:rsid w:val="00860F38"/>
    <w:rsid w:val="0087237C"/>
    <w:rsid w:val="00872B6C"/>
    <w:rsid w:val="0088331B"/>
    <w:rsid w:val="00884826"/>
    <w:rsid w:val="00886138"/>
    <w:rsid w:val="00886CFD"/>
    <w:rsid w:val="00890B17"/>
    <w:rsid w:val="008923FD"/>
    <w:rsid w:val="0089638E"/>
    <w:rsid w:val="008A1677"/>
    <w:rsid w:val="008A3CF6"/>
    <w:rsid w:val="008B0031"/>
    <w:rsid w:val="008B038A"/>
    <w:rsid w:val="008B0687"/>
    <w:rsid w:val="008B4775"/>
    <w:rsid w:val="008B5BBC"/>
    <w:rsid w:val="008C5578"/>
    <w:rsid w:val="008C7AB1"/>
    <w:rsid w:val="008D2C4F"/>
    <w:rsid w:val="008D3984"/>
    <w:rsid w:val="008D541D"/>
    <w:rsid w:val="008E02ED"/>
    <w:rsid w:val="008E34A4"/>
    <w:rsid w:val="008E45B7"/>
    <w:rsid w:val="008E4B54"/>
    <w:rsid w:val="008F2AC4"/>
    <w:rsid w:val="008F4149"/>
    <w:rsid w:val="008F707D"/>
    <w:rsid w:val="00904079"/>
    <w:rsid w:val="00904BC2"/>
    <w:rsid w:val="00906BFA"/>
    <w:rsid w:val="00916A5A"/>
    <w:rsid w:val="00917196"/>
    <w:rsid w:val="00921558"/>
    <w:rsid w:val="009248B0"/>
    <w:rsid w:val="00926F3A"/>
    <w:rsid w:val="009319BD"/>
    <w:rsid w:val="00931D71"/>
    <w:rsid w:val="00932E28"/>
    <w:rsid w:val="0093332B"/>
    <w:rsid w:val="0094025E"/>
    <w:rsid w:val="0094383B"/>
    <w:rsid w:val="009629EB"/>
    <w:rsid w:val="00964DE5"/>
    <w:rsid w:val="00973982"/>
    <w:rsid w:val="00981503"/>
    <w:rsid w:val="009908C5"/>
    <w:rsid w:val="009924AC"/>
    <w:rsid w:val="00992731"/>
    <w:rsid w:val="00992A07"/>
    <w:rsid w:val="009934FC"/>
    <w:rsid w:val="009A06AA"/>
    <w:rsid w:val="009C5437"/>
    <w:rsid w:val="009D2D67"/>
    <w:rsid w:val="009D4560"/>
    <w:rsid w:val="009D7441"/>
    <w:rsid w:val="009D7C2D"/>
    <w:rsid w:val="009E3D42"/>
    <w:rsid w:val="009E6355"/>
    <w:rsid w:val="009E7FB7"/>
    <w:rsid w:val="009F11F4"/>
    <w:rsid w:val="009F43AE"/>
    <w:rsid w:val="00A045BD"/>
    <w:rsid w:val="00A06683"/>
    <w:rsid w:val="00A143E9"/>
    <w:rsid w:val="00A3138A"/>
    <w:rsid w:val="00A32965"/>
    <w:rsid w:val="00A4125E"/>
    <w:rsid w:val="00A44F29"/>
    <w:rsid w:val="00A46080"/>
    <w:rsid w:val="00A464FF"/>
    <w:rsid w:val="00A472A0"/>
    <w:rsid w:val="00A47C29"/>
    <w:rsid w:val="00A47DAE"/>
    <w:rsid w:val="00A52C33"/>
    <w:rsid w:val="00A52F5E"/>
    <w:rsid w:val="00A53AF4"/>
    <w:rsid w:val="00A65683"/>
    <w:rsid w:val="00A67C44"/>
    <w:rsid w:val="00A74221"/>
    <w:rsid w:val="00A74EC3"/>
    <w:rsid w:val="00A7611A"/>
    <w:rsid w:val="00A7743E"/>
    <w:rsid w:val="00A77E1E"/>
    <w:rsid w:val="00A77E89"/>
    <w:rsid w:val="00A82D84"/>
    <w:rsid w:val="00A8576D"/>
    <w:rsid w:val="00AA1EDC"/>
    <w:rsid w:val="00AA6708"/>
    <w:rsid w:val="00AB3AFC"/>
    <w:rsid w:val="00AB5872"/>
    <w:rsid w:val="00AC5332"/>
    <w:rsid w:val="00AE2179"/>
    <w:rsid w:val="00AF384D"/>
    <w:rsid w:val="00AF625F"/>
    <w:rsid w:val="00AF7A61"/>
    <w:rsid w:val="00B0103A"/>
    <w:rsid w:val="00B0110A"/>
    <w:rsid w:val="00B057DD"/>
    <w:rsid w:val="00B15503"/>
    <w:rsid w:val="00B34D23"/>
    <w:rsid w:val="00B35358"/>
    <w:rsid w:val="00B35F3F"/>
    <w:rsid w:val="00B523BB"/>
    <w:rsid w:val="00B5289B"/>
    <w:rsid w:val="00B5612B"/>
    <w:rsid w:val="00B57893"/>
    <w:rsid w:val="00B61F0B"/>
    <w:rsid w:val="00B67CC1"/>
    <w:rsid w:val="00B73815"/>
    <w:rsid w:val="00B73DB7"/>
    <w:rsid w:val="00B754B6"/>
    <w:rsid w:val="00B75E60"/>
    <w:rsid w:val="00B87C3E"/>
    <w:rsid w:val="00B9605E"/>
    <w:rsid w:val="00BA0816"/>
    <w:rsid w:val="00BA46B0"/>
    <w:rsid w:val="00BA6DB1"/>
    <w:rsid w:val="00BB309B"/>
    <w:rsid w:val="00BB4B6C"/>
    <w:rsid w:val="00BB536E"/>
    <w:rsid w:val="00BB5AD1"/>
    <w:rsid w:val="00BB5F29"/>
    <w:rsid w:val="00BB71DF"/>
    <w:rsid w:val="00BC166E"/>
    <w:rsid w:val="00BD1169"/>
    <w:rsid w:val="00BD34AF"/>
    <w:rsid w:val="00BD553F"/>
    <w:rsid w:val="00BD7975"/>
    <w:rsid w:val="00BE29D8"/>
    <w:rsid w:val="00BE3924"/>
    <w:rsid w:val="00BE69F5"/>
    <w:rsid w:val="00BF2F82"/>
    <w:rsid w:val="00BF7046"/>
    <w:rsid w:val="00C03610"/>
    <w:rsid w:val="00C0430F"/>
    <w:rsid w:val="00C078A5"/>
    <w:rsid w:val="00C232C9"/>
    <w:rsid w:val="00C24BEA"/>
    <w:rsid w:val="00C25E55"/>
    <w:rsid w:val="00C26E78"/>
    <w:rsid w:val="00C278FE"/>
    <w:rsid w:val="00C32785"/>
    <w:rsid w:val="00C32EE4"/>
    <w:rsid w:val="00C32F20"/>
    <w:rsid w:val="00C55413"/>
    <w:rsid w:val="00C55528"/>
    <w:rsid w:val="00C56AA8"/>
    <w:rsid w:val="00C6199B"/>
    <w:rsid w:val="00C64E7D"/>
    <w:rsid w:val="00C651A5"/>
    <w:rsid w:val="00C7177A"/>
    <w:rsid w:val="00C73EAF"/>
    <w:rsid w:val="00C75301"/>
    <w:rsid w:val="00C77BD3"/>
    <w:rsid w:val="00C8729A"/>
    <w:rsid w:val="00C91095"/>
    <w:rsid w:val="00C94381"/>
    <w:rsid w:val="00CA3CF8"/>
    <w:rsid w:val="00CA4788"/>
    <w:rsid w:val="00CA75CC"/>
    <w:rsid w:val="00CA75F3"/>
    <w:rsid w:val="00CB3A48"/>
    <w:rsid w:val="00CB4C42"/>
    <w:rsid w:val="00CC0E3E"/>
    <w:rsid w:val="00CC2AF5"/>
    <w:rsid w:val="00CC3CB5"/>
    <w:rsid w:val="00CC6166"/>
    <w:rsid w:val="00CD54BE"/>
    <w:rsid w:val="00CD612F"/>
    <w:rsid w:val="00CD61E0"/>
    <w:rsid w:val="00CD7E25"/>
    <w:rsid w:val="00CE3E82"/>
    <w:rsid w:val="00CE3EB4"/>
    <w:rsid w:val="00CE617C"/>
    <w:rsid w:val="00CF4624"/>
    <w:rsid w:val="00CF5BE5"/>
    <w:rsid w:val="00D0473F"/>
    <w:rsid w:val="00D172FA"/>
    <w:rsid w:val="00D20B96"/>
    <w:rsid w:val="00D2204B"/>
    <w:rsid w:val="00D23C50"/>
    <w:rsid w:val="00D31253"/>
    <w:rsid w:val="00D35847"/>
    <w:rsid w:val="00D40DDD"/>
    <w:rsid w:val="00D430F6"/>
    <w:rsid w:val="00D43D03"/>
    <w:rsid w:val="00D448AF"/>
    <w:rsid w:val="00D45EA7"/>
    <w:rsid w:val="00D475D2"/>
    <w:rsid w:val="00D50856"/>
    <w:rsid w:val="00D52F94"/>
    <w:rsid w:val="00D56FB6"/>
    <w:rsid w:val="00D65298"/>
    <w:rsid w:val="00D706A2"/>
    <w:rsid w:val="00D72013"/>
    <w:rsid w:val="00D757B2"/>
    <w:rsid w:val="00D85677"/>
    <w:rsid w:val="00D91E0D"/>
    <w:rsid w:val="00D92CD6"/>
    <w:rsid w:val="00D93A72"/>
    <w:rsid w:val="00DB07AF"/>
    <w:rsid w:val="00DB1D8D"/>
    <w:rsid w:val="00DB4B1B"/>
    <w:rsid w:val="00DB5464"/>
    <w:rsid w:val="00DC1FA9"/>
    <w:rsid w:val="00DD0D55"/>
    <w:rsid w:val="00DD3BF8"/>
    <w:rsid w:val="00DD423D"/>
    <w:rsid w:val="00DD6CA9"/>
    <w:rsid w:val="00DE4D59"/>
    <w:rsid w:val="00DF03DC"/>
    <w:rsid w:val="00DF0D6E"/>
    <w:rsid w:val="00DF23DE"/>
    <w:rsid w:val="00DF74F8"/>
    <w:rsid w:val="00E0030F"/>
    <w:rsid w:val="00E0114C"/>
    <w:rsid w:val="00E039FF"/>
    <w:rsid w:val="00E05E3E"/>
    <w:rsid w:val="00E12124"/>
    <w:rsid w:val="00E12A3E"/>
    <w:rsid w:val="00E14849"/>
    <w:rsid w:val="00E16313"/>
    <w:rsid w:val="00E1740E"/>
    <w:rsid w:val="00E25839"/>
    <w:rsid w:val="00E3132F"/>
    <w:rsid w:val="00E37B97"/>
    <w:rsid w:val="00E45517"/>
    <w:rsid w:val="00E470FC"/>
    <w:rsid w:val="00E504EE"/>
    <w:rsid w:val="00E54D23"/>
    <w:rsid w:val="00E54DFB"/>
    <w:rsid w:val="00E5522F"/>
    <w:rsid w:val="00E575F6"/>
    <w:rsid w:val="00E61157"/>
    <w:rsid w:val="00E71060"/>
    <w:rsid w:val="00E80C1F"/>
    <w:rsid w:val="00E835B5"/>
    <w:rsid w:val="00E87EBF"/>
    <w:rsid w:val="00E92DB9"/>
    <w:rsid w:val="00E9452C"/>
    <w:rsid w:val="00EA072E"/>
    <w:rsid w:val="00EA1390"/>
    <w:rsid w:val="00EA1D8A"/>
    <w:rsid w:val="00EA275D"/>
    <w:rsid w:val="00EA60A7"/>
    <w:rsid w:val="00EA66D6"/>
    <w:rsid w:val="00EB1E46"/>
    <w:rsid w:val="00EB3BDE"/>
    <w:rsid w:val="00EB5E64"/>
    <w:rsid w:val="00EC22D7"/>
    <w:rsid w:val="00EC7116"/>
    <w:rsid w:val="00ED77AE"/>
    <w:rsid w:val="00EE21D2"/>
    <w:rsid w:val="00EE487E"/>
    <w:rsid w:val="00EE568D"/>
    <w:rsid w:val="00EE604D"/>
    <w:rsid w:val="00EE773C"/>
    <w:rsid w:val="00EF1565"/>
    <w:rsid w:val="00EF1F11"/>
    <w:rsid w:val="00EF3BA4"/>
    <w:rsid w:val="00EF3BB2"/>
    <w:rsid w:val="00EF52B5"/>
    <w:rsid w:val="00EF654F"/>
    <w:rsid w:val="00EF7DDF"/>
    <w:rsid w:val="00F0090B"/>
    <w:rsid w:val="00F0606D"/>
    <w:rsid w:val="00F060A0"/>
    <w:rsid w:val="00F070EE"/>
    <w:rsid w:val="00F14CB3"/>
    <w:rsid w:val="00F21C79"/>
    <w:rsid w:val="00F23EFD"/>
    <w:rsid w:val="00F30BB0"/>
    <w:rsid w:val="00F339BF"/>
    <w:rsid w:val="00F535FD"/>
    <w:rsid w:val="00F55615"/>
    <w:rsid w:val="00F56CDC"/>
    <w:rsid w:val="00F624CF"/>
    <w:rsid w:val="00F64035"/>
    <w:rsid w:val="00F80D3F"/>
    <w:rsid w:val="00F8568D"/>
    <w:rsid w:val="00F87530"/>
    <w:rsid w:val="00F91A5E"/>
    <w:rsid w:val="00F92198"/>
    <w:rsid w:val="00F95F8E"/>
    <w:rsid w:val="00FA6ECF"/>
    <w:rsid w:val="00FB42DE"/>
    <w:rsid w:val="00FB4469"/>
    <w:rsid w:val="00FC55A7"/>
    <w:rsid w:val="00FD2C4C"/>
    <w:rsid w:val="00FD4E5F"/>
    <w:rsid w:val="00FE14AF"/>
    <w:rsid w:val="00FE46A3"/>
    <w:rsid w:val="00FE52BF"/>
    <w:rsid w:val="00FF0C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797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42E986-9877-4A94-AB28-2B1F9D2DE7AA}">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2.xml><?xml version="1.0" encoding="utf-8"?>
<ds:datastoreItem xmlns:ds="http://schemas.openxmlformats.org/officeDocument/2006/customXml" ds:itemID="{D01EA47A-458A-4665-827A-8E0A537CA4CC}">
  <ds:schemaRefs>
    <ds:schemaRef ds:uri="http://schemas.microsoft.com/sharepoint/v3/contenttype/forms"/>
  </ds:schemaRefs>
</ds:datastoreItem>
</file>

<file path=customXml/itemProps3.xml><?xml version="1.0" encoding="utf-8"?>
<ds:datastoreItem xmlns:ds="http://schemas.openxmlformats.org/officeDocument/2006/customXml" ds:itemID="{302DBF00-44EB-4C16-8647-73FD14C66A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1378</Words>
  <Characters>8678</Characters>
  <Application>Microsoft Office Word</Application>
  <DocSecurity>0</DocSecurity>
  <Lines>180</Lines>
  <Paragraphs>44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Alline Mariá Schumann</cp:lastModifiedBy>
  <cp:revision>4</cp:revision>
  <cp:lastPrinted>2014-09-18T13:37:00Z</cp:lastPrinted>
  <dcterms:created xsi:type="dcterms:W3CDTF">2025-09-29T14:51:00Z</dcterms:created>
  <dcterms:modified xsi:type="dcterms:W3CDTF">2025-09-29T15:16:00Z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GrammarlyDocumentId">
    <vt:lpwstr>11e1187c-dd87-42fc-91fe-39b96d560bcd</vt:lpwstr>
  </property>
</Properties>
</file>