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sz w:val="48"/>
          <w:szCs w:val="48"/>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48"/>
          <w:szCs w:val="48"/>
          <w:rtl w:val="0"/>
        </w:rPr>
        <w:t xml:space="preserve">Revisión Comparativa de Técnicas de Extracción de Características en ECG para la Predicción Temprana de Muerte Súbita Cardíaca</w:t>
      </w:r>
    </w:p>
    <w:p w:rsidR="00000000" w:rsidDel="00000000" w:rsidP="00000000" w:rsidRDefault="00000000" w:rsidRPr="00000000" w14:paraId="00000002">
      <w:pPr>
        <w:spacing w:after="40" w:before="36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Felipe Rangel Perez</w:t>
        <w:br w:type="textWrapping"/>
        <w:t xml:space="preserve">Nicolas Torres Paez</w:t>
        <w:br w:type="textWrapping"/>
        <w:t xml:space="preserve">Pontificia Universidad Javeriana</w:t>
        <w:br w:type="textWrapping"/>
        <w:t xml:space="preserve">Bogotá D.C.</w:t>
        <w:br w:type="textWrapping"/>
        <w:t xml:space="preserve">Colombia</w:t>
        <w:br w:type="textWrapping"/>
        <w:t xml:space="preserve">26/10/2025</w:t>
      </w:r>
    </w:p>
    <w:p w:rsidR="00000000" w:rsidDel="00000000" w:rsidP="00000000" w:rsidRDefault="00000000" w:rsidRPr="00000000" w14:paraId="00000003">
      <w:pPr>
        <w:spacing w:after="40" w:before="360" w:line="240" w:lineRule="auto"/>
        <w:jc w:val="center"/>
        <w:rPr>
          <w:rFonts w:ascii="Times New Roman" w:cs="Times New Roman" w:eastAsia="Times New Roman" w:hAnsi="Times New Roman"/>
          <w:sz w:val="18"/>
          <w:szCs w:val="18"/>
        </w:rPr>
        <w:sectPr>
          <w:type w:val="continuous"/>
          <w:pgSz w:h="15840" w:w="12240" w:orient="portrait"/>
          <w:pgMar w:bottom="1440" w:top="450" w:left="893" w:right="893" w:header="720" w:footer="720"/>
        </w:sect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Resumen</w:t>
      </w:r>
      <w:r w:rsidDel="00000000" w:rsidR="00000000" w:rsidRPr="00000000">
        <w:rPr>
          <w:rFonts w:ascii="Times New Roman" w:cs="Times New Roman" w:eastAsia="Times New Roman" w:hAnsi="Times New Roman"/>
          <w:sz w:val="20"/>
          <w:szCs w:val="20"/>
          <w:rtl w:val="0"/>
        </w:rPr>
        <w:t xml:space="preserve">—La muerte súbita cardíaca (MSC) representa un desafío significativo en la cardiología moderna debido a su naturaleza abrupta e impredecible. La identificación temprana de pacientes en riesgo es crucial para la intervención preventiva. El electrocardiograma (ECG), al registrar la actividad eléctrica del corazón, contiene información vital que puede ser explotada mediante técnicas avanzadas de procesamiento de señales. Esta revisión de literatura realiza un análisis comparativo de dos enfoques recientes para la predicción de la MSC. El primer método, propuesto por Velázquez-González et al., se basa en el uso de representaciones dispersas para extraer características robustas de la señal de ECG. El segundo, desarrollado por Huang et al., implementa una estrategia de fusión jerárquica de características, combinando descriptores multi-escala obtenidos a través de la transformada wavelet. Se evalúan y comparan ambas metodologías en términos de su pre-procesamiento, extracción de características, y rendimiento de clasificación, utilizando bases de datos públicas estándar. El análisis revela que, si bien ambos métodos alcanzan una alta precisión, el enfoque de fusión de características ofrece una mayor robustez al capturar información tanto local como global de la morfología del ECG. Finalmente, se discuten las implicaciones de estos hallazayos y se proponen futuras líneas de investigación.</w:t>
      </w:r>
    </w:p>
    <w:p w:rsidR="00000000" w:rsidDel="00000000" w:rsidP="00000000" w:rsidRDefault="00000000" w:rsidRPr="00000000" w14:paraId="0000000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 INTRODUCCIÓN</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muerte súbita cardíaca (MSC) es un evento fatal inesperado de origen cardíaco que ocurre en un corto período de tiempo, generalmente dentro de la primera hora desde el inicio de los síntomas. Constituye uno de los mayores problemas de salud pública a nivel mundial. La principal causa subyacente de la MSC son las arritmias ventriculares malignas, como la fibrilación ventricular. Ante este panorama, la estratificación del riesgo se ha convertido en una prioridad clínica, buscando identificar a aquellos individuos en la población general que tienen una mayor probabilidad de sufrir un evento de este tipo para poder aplicar terapias preventivas.</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herramienta de diagnóstico no invasiva más utilizada para evaluar la función cardíaca es el electrocardiograma (ECG). Esta señal biomédica ofrece una ventana a la fisiología eléctrica del corazón, permitiendo detectar anomalías asociadas con un mayor riesgo arrítmico. Sin embargo, los marcadores de riesgo en el ECG de superficie a menudo son sutiles y no son fácilmente detectables mediante la inspección visual. Por ello, el procesamiento avanzado de señales y el aprendizaje automático se han posicionado como herramientas fundamentales para extraer patrones complejos y desarrollar modelos predictivos robustos.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estado del arte actual ha explorado diversas técnicas, desde el análisis de la variabilidad de la frecuencia cardíaca (HRV) hasta el estudio de la morfología de ondas específicas como la onda T. A continiación se detalla algunas técnicas que se estan haciendo</w:t>
      </w:r>
      <w:r w:rsidDel="00000000" w:rsidR="00000000" w:rsidRPr="00000000">
        <w:rPr>
          <w:rFonts w:ascii="Times New Roman" w:cs="Times New Roman" w:eastAsia="Times New Roman" w:hAnsi="Times New Roman"/>
          <w:sz w:val="20"/>
          <w:szCs w:val="20"/>
          <w:rtl w:val="0"/>
        </w:rPr>
        <w:t xml:space="preserve"> basado en las propuestas específicas de los autores: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Detección de SCD mediante Representaciones Dispersas (Sparse Representations)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Extracción Dinámica de Características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Algoritmos Orthogonal Matching Pursuit (OMP) y k-Singular Value Decomposition (k-SVD)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Clasificación Flexible: En lugar de depender de clasificadores complejos, se utiliza el vector de coeficientes \alpha de la representación dispersa como vector de características.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Esquema Multi-Clase: Para abordar el sesgo de la clasificación binaria tradicional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Predicción de SCD mediante Fusión Jerárquica de Características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Extracción de Características Multi-Nivel: Características Lineales, Características No Lineales, Características de Aprendizaje Profundo</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Fusión Jerárquica</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Clasificación</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Extensión del Horizonte de Predicción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Acciones Comunes y Preparación de Datos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Segmentación de Señales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Muestreo y Normalización</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Reducción de Ruido</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Evaluación y Validación</w:t>
        <w:br w:type="textWrapping"/>
      </w:r>
      <w:r w:rsidDel="00000000" w:rsidR="00000000" w:rsidRPr="00000000">
        <w:rPr>
          <w:rtl w:val="0"/>
        </w:rPr>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pesar de los progresos realizados, aún quedan retos importantes.</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Es fundamental mejorar la precisión de los modelos y, sobre todo, la capacidad de emitir alertas con la suficiente antelación.</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continuación, se presentan algunos de estos desafíos.</w:t>
      </w:r>
      <w:r w:rsidDel="00000000" w:rsidR="00000000" w:rsidRPr="00000000">
        <w:rPr>
          <w:rtl w:val="0"/>
        </w:rPr>
      </w:r>
    </w:p>
    <w:p w:rsidR="00000000" w:rsidDel="00000000" w:rsidP="00000000" w:rsidRDefault="00000000" w:rsidRPr="00000000" w14:paraId="0000001F">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Sesgo en la Clasificación Binaria Tradicional: Un inconveniente principal del esquema de clasificación binaria común (Normal versus SCD) es que puede generar sesgos</w:t>
      </w:r>
    </w:p>
    <w:p w:rsidR="00000000" w:rsidDel="00000000" w:rsidP="00000000" w:rsidRDefault="00000000" w:rsidRPr="00000000" w14:paraId="00000020">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Horizonte de Predicción Limitado: La mayoría de los métodos se han concentrado en ventanas de predicción a corto plazo, analizando las señales solo minutos antes del inicio de la Fibrilación Ventricular (VF)</w:t>
      </w:r>
    </w:p>
    <w:p w:rsidR="00000000" w:rsidDel="00000000" w:rsidP="00000000" w:rsidRDefault="00000000" w:rsidRPr="00000000" w14:paraId="00000021">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Silos Metodológicos: Las metodologías actuales tienden a operar en compartimentos. Se basan exclusivamente en características diseñadas manualmente (basadas en conocimiento fisiológico) o dependen puramente de representaciones de deep learning (de extremo a extremo)</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trabajo se centra en la revisión y comparación de dos metodologías recientes que abordan este problema desde perspectivas diferentes pero complementarias. El objetivo es analizar críticamente sus contribuciones, ventajas y limitaciones, en el contexto de la pipeline de procesamiento de señales biomédicas estudiada en nuestro curso.</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II. MÉTODOS</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Ambos trabajos analizados utilizan un marco metodológico común que se alinea con los estándares del procesamiento de señales biomédicas: una etapa de preparación de los datos y pre-procesamiento, seguida de la extracción de características, y finalmente, la clasificación y validación.</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 Bases de Datos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dos investigaciones validan sus algoritmos utilizando registros de ECG de larga duración (Holter) provenientes de la plataforma PhysioNet, un estándar de facto en la investigación cardiológica. Específicamente, emplean dos bases de datos:</w:t>
      </w:r>
    </w:p>
    <w:p w:rsidR="00000000" w:rsidDel="00000000" w:rsidP="00000000" w:rsidRDefault="00000000" w:rsidRPr="00000000" w14:paraId="00000029">
      <w:pPr>
        <w:numPr>
          <w:ilvl w:val="0"/>
          <w:numId w:val="4"/>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MIT-BIH Sudden Cardiac Death Holter Database (sddb):</w:t>
      </w:r>
      <w:r w:rsidDel="00000000" w:rsidR="00000000" w:rsidRPr="00000000">
        <w:rPr>
          <w:rFonts w:ascii="Times New Roman" w:cs="Times New Roman" w:eastAsia="Times New Roman" w:hAnsi="Times New Roman"/>
          <w:sz w:val="20"/>
          <w:szCs w:val="20"/>
          <w:rtl w:val="0"/>
        </w:rPr>
        <w:t xml:space="preserve"> Contiene registros de 23 sujetos que experimentaron MSC. Este conjunto de datos sirve como la "clase positiva" o grupo de riesgo.</w:t>
      </w:r>
    </w:p>
    <w:p w:rsidR="00000000" w:rsidDel="00000000" w:rsidP="00000000" w:rsidRDefault="00000000" w:rsidRPr="00000000" w14:paraId="0000002A">
      <w:pPr>
        <w:numPr>
          <w:ilvl w:val="0"/>
          <w:numId w:val="4"/>
        </w:numPr>
        <w:spacing w:after="24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MIT-BIH Normal Sinus Rhythm Database (nsrdb):</w:t>
      </w:r>
      <w:r w:rsidDel="00000000" w:rsidR="00000000" w:rsidRPr="00000000">
        <w:rPr>
          <w:rFonts w:ascii="Times New Roman" w:cs="Times New Roman" w:eastAsia="Times New Roman" w:hAnsi="Times New Roman"/>
          <w:sz w:val="20"/>
          <w:szCs w:val="20"/>
          <w:rtl w:val="0"/>
        </w:rPr>
        <w:t xml:space="preserve"> Incluye registros de 18 individuos sanos sin arritmias significativas, funcionando como la "clase negativa" o grupo de control.</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uso de estas bases de datos estandarizadas es fundamental, ya que permite la reproducibilidad y la comparación objetiva entre diferentes metodologías.</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 Enfoque 1: Identificación Basada en Representaciones Dispersas (Velázquez-González et al.)</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 metodología se centra en la idea de que una señal puede ser representada eficientemente por una combinación lineal de unos pocos elementos (átomos) de un diccionario predefinido o aprendido.</w:t>
      </w:r>
    </w:p>
    <w:p w:rsidR="00000000" w:rsidDel="00000000" w:rsidP="00000000" w:rsidRDefault="00000000" w:rsidRPr="00000000" w14:paraId="0000002E">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1. Pre-procesamiento:</w:t>
      </w:r>
      <w:r w:rsidDel="00000000" w:rsidR="00000000" w:rsidRPr="00000000">
        <w:rPr>
          <w:rFonts w:ascii="Times New Roman" w:cs="Times New Roman" w:eastAsia="Times New Roman" w:hAnsi="Times New Roman"/>
          <w:sz w:val="20"/>
          <w:szCs w:val="20"/>
          <w:rtl w:val="0"/>
        </w:rPr>
        <w:t xml:space="preserve"> Los registros de ECG son primero filtrados para eliminar el ruido y las interferencias. Se aplica un filtro paso banda para atenuar la desviación de la línea base y el ruido de alta frecuencia, asegurando que el análisis se centre en el contenido frecuencial relevante de la señal cardíaca.</w:t>
      </w:r>
    </w:p>
    <w:p w:rsidR="00000000" w:rsidDel="00000000" w:rsidP="00000000" w:rsidRDefault="00000000" w:rsidRPr="00000000" w14:paraId="0000002F">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2. Extracción de Características:</w:t>
      </w:r>
      <w:r w:rsidDel="00000000" w:rsidR="00000000" w:rsidRPr="00000000">
        <w:rPr>
          <w:rFonts w:ascii="Times New Roman" w:cs="Times New Roman" w:eastAsia="Times New Roman" w:hAnsi="Times New Roman"/>
          <w:sz w:val="20"/>
          <w:szCs w:val="20"/>
          <w:rtl w:val="0"/>
        </w:rPr>
        <w:t xml:space="preserve"> El núcleo de este método es el uso de </w:t>
      </w:r>
      <w:r w:rsidDel="00000000" w:rsidR="00000000" w:rsidRPr="00000000">
        <w:rPr>
          <w:rFonts w:ascii="Times New Roman" w:cs="Times New Roman" w:eastAsia="Times New Roman" w:hAnsi="Times New Roman"/>
          <w:b w:val="1"/>
          <w:bCs w:val="1"/>
          <w:sz w:val="20"/>
          <w:szCs w:val="20"/>
          <w:rtl w:val="0"/>
        </w:rPr>
        <w:t xml:space="preserve">representaciones dispersas</w:t>
      </w:r>
      <w:r w:rsidDel="00000000" w:rsidR="00000000" w:rsidRPr="00000000">
        <w:rPr>
          <w:rFonts w:ascii="Times New Roman" w:cs="Times New Roman" w:eastAsia="Times New Roman" w:hAnsi="Times New Roman"/>
          <w:sz w:val="20"/>
          <w:szCs w:val="20"/>
          <w:rtl w:val="0"/>
        </w:rPr>
        <w:t xml:space="preserve">. En lugar de usar características tradicionales, los autores construyen "diccionarios" de formas de onda de ECG. Luego, para cada segmento de la señal de un paciente, buscan la combinación más "simple" (dispersa) de elementos del diccionario que pueda reconstruirla. Los coeficientes de esta combinación se convierten en el vector de características del paciente, capturando su morfología cardíaca de manera compacta y robusta.</w:t>
      </w:r>
    </w:p>
    <w:p w:rsidR="00000000" w:rsidDel="00000000" w:rsidP="00000000" w:rsidRDefault="00000000" w:rsidRPr="00000000" w14:paraId="00000030">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3. Clasificación:</w:t>
      </w:r>
      <w:r w:rsidDel="00000000" w:rsidR="00000000" w:rsidRPr="00000000">
        <w:rPr>
          <w:rFonts w:ascii="Times New Roman" w:cs="Times New Roman" w:eastAsia="Times New Roman" w:hAnsi="Times New Roman"/>
          <w:sz w:val="20"/>
          <w:szCs w:val="20"/>
          <w:rtl w:val="0"/>
        </w:rPr>
        <w:t xml:space="preserve"> Con los vectores de características generados, se entrena un clasificador de Máquinas de Soporte Vectorial (SVM, por sus siglas en inglés) para distinguir entre los pacientes del grupo de MSC y los del grupo de control sano.</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metodología propuesta, representada en la Figura 1, inicia con un proceso automático de diezmado para segmentar la señal ECG en función del tiempo y su posterior normalización. Durante la fase de entrenamiento, se generan bases de señal (diccionarios) mediante los algoritmos OMP y k-SVD, con el fin de aprender las características principales de cada conjunto de señales y facilitar el reconocimiento de similitudes con señales de prueba a través de su descomposición. El esquema convencional de clasificación de señales pre-SCD compara las características de una señal de entrada con las de señales normales y pre-SCD, asignándola a la clase SCD si no se parecen a las normales, lo que puede introducir sesgos. Para mejorar este proceso, se propone un enfoque multicategoría que incluye la clase normal y varios intervalos temporales previos al SCD, de modo que la señal se clasifique en la clase con mayor similitud. Esta diferencia entre el enfoque tradicional y el propuesto se ilustra en la Figura 2</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5240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43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219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43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Técnicas de adquisición de la señal biomédica y las características de la base de datos utilizadas</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0"/>
          <w:szCs w:val="20"/>
        </w:rPr>
      </w:pPr>
      <w:r w:rsidDel="00000000" w:rsidR="00000000" w:rsidRPr="00000000">
        <w:rPr>
          <w:rtl w:val="0"/>
        </w:rPr>
      </w:r>
    </w:p>
    <w:tbl>
      <w:tblPr>
        <w:tblStyle w:val="Table1"/>
        <w:tblW w:w="4665.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1590"/>
        <w:gridCol w:w="3075"/>
        <w:tblGridChange w:id="0">
          <w:tblGrid>
            <w:gridCol w:w="1590"/>
            <w:gridCol w:w="3075"/>
          </w:tblGrid>
        </w:tblGridChange>
      </w:tblGrid>
      <w:tr>
        <w:trPr>
          <w:cantSplit w:val="0"/>
          <w:trHeight w:val="123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both"/>
              <w:rPr>
                <w:rFonts w:ascii="Times New Roman" w:cs="Times New Roman" w:eastAsia="Times New Roman" w:hAnsi="Times New Roman"/>
                <w:b w:val="1"/>
                <w:bCs w:val="1"/>
                <w:color w:val="303030"/>
                <w:sz w:val="20"/>
                <w:szCs w:val="20"/>
              </w:rPr>
            </w:pPr>
            <w:r w:rsidDel="00000000" w:rsidR="00000000" w:rsidRPr="00000000">
              <w:rPr>
                <w:rFonts w:ascii="Times New Roman" w:cs="Times New Roman" w:eastAsia="Times New Roman" w:hAnsi="Times New Roman"/>
                <w:b w:val="1"/>
                <w:bCs w:val="1"/>
                <w:color w:val="303030"/>
                <w:sz w:val="20"/>
                <w:szCs w:val="20"/>
                <w:rtl w:val="0"/>
              </w:rPr>
              <w:t xml:space="preserve">Aspecto de la Adquisición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both"/>
              <w:rPr>
                <w:rFonts w:ascii="Times New Roman" w:cs="Times New Roman" w:eastAsia="Times New Roman" w:hAnsi="Times New Roman"/>
                <w:b w:val="1"/>
                <w:bCs w:val="1"/>
                <w:color w:val="303030"/>
                <w:sz w:val="20"/>
                <w:szCs w:val="20"/>
              </w:rPr>
            </w:pPr>
            <w:r w:rsidDel="00000000" w:rsidR="00000000" w:rsidRPr="00000000">
              <w:rPr>
                <w:rFonts w:ascii="Times New Roman" w:cs="Times New Roman" w:eastAsia="Times New Roman" w:hAnsi="Times New Roman"/>
                <w:b w:val="1"/>
                <w:bCs w:val="1"/>
                <w:color w:val="303030"/>
                <w:sz w:val="20"/>
                <w:szCs w:val="20"/>
                <w:rtl w:val="0"/>
              </w:rPr>
              <w:t xml:space="preserve">Detalles Específicos</w:t>
            </w:r>
          </w:p>
        </w:tc>
      </w:tr>
      <w:tr>
        <w:trPr>
          <w:cantSplit w:val="0"/>
          <w:trHeight w:val="126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both"/>
              <w:rPr>
                <w:rFonts w:ascii="Times New Roman" w:cs="Times New Roman" w:eastAsia="Times New Roman" w:hAnsi="Times New Roman"/>
                <w:b w:val="1"/>
                <w:bCs w:val="1"/>
                <w:color w:val="303030"/>
                <w:sz w:val="20"/>
                <w:szCs w:val="20"/>
              </w:rPr>
            </w:pPr>
            <w:r w:rsidDel="00000000" w:rsidR="00000000" w:rsidRPr="00000000">
              <w:rPr>
                <w:rFonts w:ascii="Times New Roman" w:cs="Times New Roman" w:eastAsia="Times New Roman" w:hAnsi="Times New Roman"/>
                <w:b w:val="1"/>
                <w:bCs w:val="1"/>
                <w:color w:val="303030"/>
                <w:sz w:val="20"/>
                <w:szCs w:val="20"/>
                <w:rtl w:val="0"/>
              </w:rPr>
              <w:t xml:space="preserve">Bases de Datos Fuente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MIT/BIH Sudden Cardiac Death Holter (SCDH) y MIT/BIH Normal Sinus Rhythm (NSR).</w:t>
            </w:r>
          </w:p>
        </w:tc>
      </w:tr>
      <w:tr>
        <w:trPr>
          <w:cantSplit w:val="0"/>
          <w:trHeight w:val="123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both"/>
              <w:rPr>
                <w:rFonts w:ascii="Times New Roman" w:cs="Times New Roman" w:eastAsia="Times New Roman" w:hAnsi="Times New Roman"/>
                <w:b w:val="1"/>
                <w:bCs w:val="1"/>
                <w:color w:val="303030"/>
                <w:sz w:val="20"/>
                <w:szCs w:val="20"/>
              </w:rPr>
            </w:pPr>
            <w:r w:rsidDel="00000000" w:rsidR="00000000" w:rsidRPr="00000000">
              <w:rPr>
                <w:rFonts w:ascii="Times New Roman" w:cs="Times New Roman" w:eastAsia="Times New Roman" w:hAnsi="Times New Roman"/>
                <w:b w:val="1"/>
                <w:bCs w:val="1"/>
                <w:color w:val="303030"/>
                <w:sz w:val="20"/>
                <w:szCs w:val="20"/>
                <w:rtl w:val="0"/>
              </w:rPr>
              <w:t xml:space="preserve">Tipo de Señal Adquirida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Señales de </w:t>
            </w:r>
            <w:r w:rsidDel="00000000" w:rsidR="00000000" w:rsidRPr="00000000">
              <w:rPr>
                <w:rFonts w:ascii="Times New Roman" w:cs="Times New Roman" w:eastAsia="Times New Roman" w:hAnsi="Times New Roman"/>
                <w:b w:val="1"/>
                <w:bCs w:val="1"/>
                <w:color w:val="303030"/>
                <w:sz w:val="20"/>
                <w:szCs w:val="20"/>
                <w:rtl w:val="0"/>
              </w:rPr>
              <w:t xml:space="preserve">Electrocardiograma (ECG)</w:t>
            </w:r>
            <w:r w:rsidDel="00000000" w:rsidR="00000000" w:rsidRPr="00000000">
              <w:rPr>
                <w:rFonts w:ascii="Times New Roman" w:cs="Times New Roman" w:eastAsia="Times New Roman" w:hAnsi="Times New Roman"/>
                <w:color w:val="303030"/>
                <w:sz w:val="20"/>
                <w:szCs w:val="20"/>
                <w:rtl w:val="0"/>
              </w:rPr>
              <w:t xml:space="preserve">.</w:t>
            </w:r>
          </w:p>
        </w:tc>
      </w:tr>
      <w:tr>
        <w:trPr>
          <w:cantSplit w:val="0"/>
          <w:trHeight w:val="165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both"/>
              <w:rPr>
                <w:rFonts w:ascii="Times New Roman" w:cs="Times New Roman" w:eastAsia="Times New Roman" w:hAnsi="Times New Roman"/>
                <w:b w:val="1"/>
                <w:bCs w:val="1"/>
                <w:color w:val="303030"/>
                <w:sz w:val="20"/>
                <w:szCs w:val="20"/>
              </w:rPr>
            </w:pPr>
            <w:r w:rsidDel="00000000" w:rsidR="00000000" w:rsidRPr="00000000">
              <w:rPr>
                <w:rFonts w:ascii="Times New Roman" w:cs="Times New Roman" w:eastAsia="Times New Roman" w:hAnsi="Times New Roman"/>
                <w:b w:val="1"/>
                <w:bCs w:val="1"/>
                <w:color w:val="303030"/>
                <w:sz w:val="20"/>
                <w:szCs w:val="20"/>
                <w:rtl w:val="0"/>
              </w:rPr>
              <w:t xml:space="preserve">Frecuencias de Muestreo</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Las señales de ECG de la base </w:t>
            </w:r>
            <w:r w:rsidDel="00000000" w:rsidR="00000000" w:rsidRPr="00000000">
              <w:rPr>
                <w:rFonts w:ascii="Times New Roman" w:cs="Times New Roman" w:eastAsia="Times New Roman" w:hAnsi="Times New Roman"/>
                <w:b w:val="1"/>
                <w:bCs w:val="1"/>
                <w:color w:val="303030"/>
                <w:sz w:val="20"/>
                <w:szCs w:val="20"/>
                <w:rtl w:val="0"/>
              </w:rPr>
              <w:t xml:space="preserve">NSR</w:t>
            </w:r>
            <w:r w:rsidDel="00000000" w:rsidR="00000000" w:rsidRPr="00000000">
              <w:rPr>
                <w:rFonts w:ascii="Times New Roman" w:cs="Times New Roman" w:eastAsia="Times New Roman" w:hAnsi="Times New Roman"/>
                <w:color w:val="303030"/>
                <w:sz w:val="20"/>
                <w:szCs w:val="20"/>
                <w:rtl w:val="0"/>
              </w:rPr>
              <w:t xml:space="preserve"> fueron adquiridas a </w:t>
            </w:r>
            <w:r w:rsidDel="00000000" w:rsidR="00000000" w:rsidRPr="00000000">
              <w:rPr>
                <w:rFonts w:ascii="Times New Roman" w:cs="Times New Roman" w:eastAsia="Times New Roman" w:hAnsi="Times New Roman"/>
                <w:b w:val="1"/>
                <w:bCs w:val="1"/>
                <w:color w:val="303030"/>
                <w:sz w:val="20"/>
                <w:szCs w:val="20"/>
                <w:rtl w:val="0"/>
              </w:rPr>
              <w:t xml:space="preserve">128 Hz</w:t>
            </w:r>
            <w:r w:rsidDel="00000000" w:rsidR="00000000" w:rsidRPr="00000000">
              <w:rPr>
                <w:rFonts w:ascii="Times New Roman" w:cs="Times New Roman" w:eastAsia="Times New Roman" w:hAnsi="Times New Roman"/>
                <w:color w:val="303030"/>
                <w:sz w:val="20"/>
                <w:szCs w:val="20"/>
                <w:rtl w:val="0"/>
              </w:rPr>
              <w:t xml:space="preserve">. Las señales de ECG de la base </w:t>
            </w:r>
            <w:r w:rsidDel="00000000" w:rsidR="00000000" w:rsidRPr="00000000">
              <w:rPr>
                <w:rFonts w:ascii="Times New Roman" w:cs="Times New Roman" w:eastAsia="Times New Roman" w:hAnsi="Times New Roman"/>
                <w:b w:val="1"/>
                <w:bCs w:val="1"/>
                <w:color w:val="303030"/>
                <w:sz w:val="20"/>
                <w:szCs w:val="20"/>
                <w:rtl w:val="0"/>
              </w:rPr>
              <w:t xml:space="preserve">SCDH</w:t>
            </w:r>
            <w:r w:rsidDel="00000000" w:rsidR="00000000" w:rsidRPr="00000000">
              <w:rPr>
                <w:rFonts w:ascii="Times New Roman" w:cs="Times New Roman" w:eastAsia="Times New Roman" w:hAnsi="Times New Roman"/>
                <w:color w:val="303030"/>
                <w:sz w:val="20"/>
                <w:szCs w:val="20"/>
                <w:rtl w:val="0"/>
              </w:rPr>
              <w:t xml:space="preserve"> fueron adquiridas a </w:t>
            </w:r>
            <w:r w:rsidDel="00000000" w:rsidR="00000000" w:rsidRPr="00000000">
              <w:rPr>
                <w:rFonts w:ascii="Times New Roman" w:cs="Times New Roman" w:eastAsia="Times New Roman" w:hAnsi="Times New Roman"/>
                <w:b w:val="1"/>
                <w:bCs w:val="1"/>
                <w:color w:val="303030"/>
                <w:sz w:val="20"/>
                <w:szCs w:val="20"/>
                <w:rtl w:val="0"/>
              </w:rPr>
              <w:t xml:space="preserve">250 Hz</w:t>
            </w:r>
            <w:r w:rsidDel="00000000" w:rsidR="00000000" w:rsidRPr="00000000">
              <w:rPr>
                <w:rFonts w:ascii="Times New Roman" w:cs="Times New Roman" w:eastAsia="Times New Roman" w:hAnsi="Times New Roman"/>
                <w:color w:val="303030"/>
                <w:sz w:val="20"/>
                <w:szCs w:val="20"/>
                <w:rtl w:val="0"/>
              </w:rPr>
              <w:t xml:space="preserve">.</w:t>
            </w:r>
          </w:p>
        </w:tc>
      </w:tr>
      <w:tr>
        <w:trPr>
          <w:cantSplit w:val="0"/>
          <w:trHeight w:val="126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both"/>
              <w:rPr>
                <w:rFonts w:ascii="Times New Roman" w:cs="Times New Roman" w:eastAsia="Times New Roman" w:hAnsi="Times New Roman"/>
                <w:b w:val="1"/>
                <w:bCs w:val="1"/>
                <w:color w:val="303030"/>
                <w:sz w:val="20"/>
                <w:szCs w:val="20"/>
              </w:rPr>
            </w:pPr>
            <w:r w:rsidDel="00000000" w:rsidR="00000000" w:rsidRPr="00000000">
              <w:rPr>
                <w:rFonts w:ascii="Times New Roman" w:cs="Times New Roman" w:eastAsia="Times New Roman" w:hAnsi="Times New Roman"/>
                <w:b w:val="1"/>
                <w:bCs w:val="1"/>
                <w:color w:val="303030"/>
                <w:sz w:val="20"/>
                <w:szCs w:val="20"/>
                <w:rtl w:val="0"/>
              </w:rPr>
              <w:t xml:space="preserve">Digitalización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Las señales fueron digitalizadas con un </w:t>
            </w:r>
            <w:r w:rsidDel="00000000" w:rsidR="00000000" w:rsidRPr="00000000">
              <w:rPr>
                <w:rFonts w:ascii="Times New Roman" w:cs="Times New Roman" w:eastAsia="Times New Roman" w:hAnsi="Times New Roman"/>
                <w:b w:val="1"/>
                <w:bCs w:val="1"/>
                <w:color w:val="303030"/>
                <w:sz w:val="20"/>
                <w:szCs w:val="20"/>
                <w:rtl w:val="0"/>
              </w:rPr>
              <w:t xml:space="preserve">conversor analógico-digital de 12 bits</w:t>
            </w:r>
            <w:r w:rsidDel="00000000" w:rsidR="00000000" w:rsidRPr="00000000">
              <w:rPr>
                <w:rFonts w:ascii="Times New Roman" w:cs="Times New Roman" w:eastAsia="Times New Roman" w:hAnsi="Times New Roman"/>
                <w:color w:val="303030"/>
                <w:sz w:val="20"/>
                <w:szCs w:val="20"/>
                <w:rtl w:val="0"/>
              </w:rPr>
              <w:t xml:space="preserve">.</w:t>
            </w:r>
          </w:p>
        </w:tc>
      </w:tr>
      <w:tr>
        <w:trPr>
          <w:cantSplit w:val="0"/>
          <w:trHeight w:val="126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bCs w:val="1"/>
                <w:color w:val="303030"/>
                <w:sz w:val="20"/>
                <w:szCs w:val="20"/>
              </w:rPr>
            </w:pPr>
            <w:r w:rsidDel="00000000" w:rsidR="00000000" w:rsidRPr="00000000">
              <w:rPr>
                <w:rFonts w:ascii="Times New Roman" w:cs="Times New Roman" w:eastAsia="Times New Roman" w:hAnsi="Times New Roman"/>
                <w:b w:val="1"/>
                <w:bCs w:val="1"/>
                <w:color w:val="303030"/>
                <w:sz w:val="20"/>
                <w:szCs w:val="20"/>
                <w:rtl w:val="0"/>
              </w:rPr>
              <w:t xml:space="preserve">Contexto de Adquisición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La base SCDH contiene registros de </w:t>
            </w:r>
            <w:r w:rsidDel="00000000" w:rsidR="00000000" w:rsidRPr="00000000">
              <w:rPr>
                <w:rFonts w:ascii="Times New Roman" w:cs="Times New Roman" w:eastAsia="Times New Roman" w:hAnsi="Times New Roman"/>
                <w:b w:val="1"/>
                <w:bCs w:val="1"/>
                <w:color w:val="303030"/>
                <w:sz w:val="20"/>
                <w:szCs w:val="20"/>
                <w:rtl w:val="0"/>
              </w:rPr>
              <w:t xml:space="preserve">24 horas</w:t>
            </w:r>
            <w:r w:rsidDel="00000000" w:rsidR="00000000" w:rsidRPr="00000000">
              <w:rPr>
                <w:rFonts w:ascii="Times New Roman" w:cs="Times New Roman" w:eastAsia="Times New Roman" w:hAnsi="Times New Roman"/>
                <w:color w:val="303030"/>
                <w:sz w:val="20"/>
                <w:szCs w:val="20"/>
                <w:rtl w:val="0"/>
              </w:rPr>
              <w:t xml:space="preserve"> de sujetos que sufrieron SCD (Muerte Súbita Cardíaca).</w:t>
            </w:r>
          </w:p>
        </w:tc>
      </w:tr>
    </w:tbl>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 Enfoque 2: Fusión Jerárquica de Características (Huang et al.)</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trabajo aborda el problema desde un ángulo diferente, argumentando que la combinación de información a diferentes escalas puede mejorar la capacidad predictiva.</w:t>
      </w:r>
    </w:p>
    <w:p w:rsidR="00000000" w:rsidDel="00000000" w:rsidP="00000000" w:rsidRDefault="00000000" w:rsidRPr="00000000" w14:paraId="00000048">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1. Pre-procesamiento:</w:t>
      </w:r>
      <w:r w:rsidDel="00000000" w:rsidR="00000000" w:rsidRPr="00000000">
        <w:rPr>
          <w:rFonts w:ascii="Times New Roman" w:cs="Times New Roman" w:eastAsia="Times New Roman" w:hAnsi="Times New Roman"/>
          <w:sz w:val="20"/>
          <w:szCs w:val="20"/>
          <w:rtl w:val="0"/>
        </w:rPr>
        <w:t xml:space="preserve"> De manera similar al primer enfoque, se realiza un filtrado digital para acondicionar la señal, eliminando artefactos y ruido para aislar la actividad eléctrica cardíaca de interés.</w:t>
      </w:r>
    </w:p>
    <w:p w:rsidR="00000000" w:rsidDel="00000000" w:rsidP="00000000" w:rsidRDefault="00000000" w:rsidRPr="00000000" w14:paraId="00000049">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2. Extracción de Características:</w:t>
      </w:r>
      <w:r w:rsidDel="00000000" w:rsidR="00000000" w:rsidRPr="00000000">
        <w:rPr>
          <w:rFonts w:ascii="Times New Roman" w:cs="Times New Roman" w:eastAsia="Times New Roman" w:hAnsi="Times New Roman"/>
          <w:sz w:val="20"/>
          <w:szCs w:val="20"/>
          <w:rtl w:val="0"/>
        </w:rPr>
        <w:t xml:space="preserve"> La innovación aquí radica en una </w:t>
      </w:r>
      <w:r w:rsidDel="00000000" w:rsidR="00000000" w:rsidRPr="00000000">
        <w:rPr>
          <w:rFonts w:ascii="Times New Roman" w:cs="Times New Roman" w:eastAsia="Times New Roman" w:hAnsi="Times New Roman"/>
          <w:b w:val="1"/>
          <w:bCs w:val="1"/>
          <w:sz w:val="20"/>
          <w:szCs w:val="20"/>
          <w:rtl w:val="0"/>
        </w:rPr>
        <w:t xml:space="preserve">fusión jerárquica</w:t>
      </w:r>
      <w:r w:rsidDel="00000000" w:rsidR="00000000" w:rsidRPr="00000000">
        <w:rPr>
          <w:rFonts w:ascii="Times New Roman" w:cs="Times New Roman" w:eastAsia="Times New Roman" w:hAnsi="Times New Roman"/>
          <w:sz w:val="20"/>
          <w:szCs w:val="20"/>
          <w:rtl w:val="0"/>
        </w:rPr>
        <w:t xml:space="preserve">. Primero, utilizan la </w:t>
      </w:r>
      <w:r w:rsidDel="00000000" w:rsidR="00000000" w:rsidRPr="00000000">
        <w:rPr>
          <w:rFonts w:ascii="Times New Roman" w:cs="Times New Roman" w:eastAsia="Times New Roman" w:hAnsi="Times New Roman"/>
          <w:b w:val="1"/>
          <w:bCs w:val="1"/>
          <w:sz w:val="20"/>
          <w:szCs w:val="20"/>
          <w:rtl w:val="0"/>
        </w:rPr>
        <w:t xml:space="preserve">Transformada Wavelet Continua (CWT)</w:t>
      </w:r>
      <w:r w:rsidDel="00000000" w:rsidR="00000000" w:rsidRPr="00000000">
        <w:rPr>
          <w:rFonts w:ascii="Times New Roman" w:cs="Times New Roman" w:eastAsia="Times New Roman" w:hAnsi="Times New Roman"/>
          <w:sz w:val="20"/>
          <w:szCs w:val="20"/>
          <w:rtl w:val="0"/>
        </w:rPr>
        <w:t xml:space="preserve">, una técnica vista en detalle en clase, para descomponer la señal de ECG en diferentes escalas de tiempo y frecuencia. Esto genera un escalograma que revela patrones transitorios. A partir de esta representación, extraen múltiples tipos de características: características estadísticas, de textura y de entropía. Luego, estas características se fusionan de manera jerárquica para crear un descriptor final altamente informativo.</w:t>
      </w:r>
    </w:p>
    <w:p w:rsidR="00000000" w:rsidDel="00000000" w:rsidP="00000000" w:rsidRDefault="00000000" w:rsidRPr="00000000" w14:paraId="0000004A">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3. Clasificación:</w:t>
      </w:r>
      <w:r w:rsidDel="00000000" w:rsidR="00000000" w:rsidRPr="00000000">
        <w:rPr>
          <w:rFonts w:ascii="Times New Roman" w:cs="Times New Roman" w:eastAsia="Times New Roman" w:hAnsi="Times New Roman"/>
          <w:sz w:val="20"/>
          <w:szCs w:val="20"/>
          <w:rtl w:val="0"/>
        </w:rPr>
        <w:t xml:space="preserve"> El vector de características fusionadas se utiliza para entrenar un modelo clasificador, que en este caso también es una Máquina de Soporte Vectorial, para realizar la predicción del riesgo de MSC.</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marco propuesto consta de cuatro etapas secuenciales: preprocesamiento de la señal, extracción de características, fusión de características y clasificación. Primero, las señales ECG crudas se someten a eliminación de ruido mediante transformada wavelet discreta (DWT). Posteriormente, la extracción de características se realiza en tres ramas: lineal (cinco características como intervalos RR, complejos QRS y ondas T), no lineal (exponente de escala α1 obtenido de las secuencias de intervalos RR mediante análisis de fluctuación detrendida de segundo orden, DFA-2) y profunda (representaciones multiescala derivadas por un modelo TCN-Seq2vec). Estas características heterogéneas se fusionan de manera jerárquica para obtener una representación unificada y más discriminativa. Finalmente, una capa totalmente conectada clasifica las características fusionadas para producir las predicciones probabilísticas de las categorías objetivo.</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524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43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Técnicas de adquisición de la señal biomédica y las características de la base de datos utilizadas</w:t>
      </w:r>
    </w:p>
    <w:tbl>
      <w:tblPr>
        <w:tblStyle w:val="Table2"/>
        <w:tblW w:w="4665.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1230"/>
        <w:gridCol w:w="3435"/>
        <w:tblGridChange w:id="0">
          <w:tblGrid>
            <w:gridCol w:w="1230"/>
            <w:gridCol w:w="3435"/>
          </w:tblGrid>
        </w:tblGridChange>
      </w:tblGrid>
      <w:tr>
        <w:trPr>
          <w:cantSplit w:val="0"/>
          <w:trHeight w:val="123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both"/>
              <w:rPr>
                <w:rFonts w:ascii="Times New Roman" w:cs="Times New Roman" w:eastAsia="Times New Roman" w:hAnsi="Times New Roman"/>
                <w:b w:val="1"/>
                <w:bCs w:val="1"/>
                <w:color w:val="303030"/>
                <w:sz w:val="20"/>
                <w:szCs w:val="20"/>
              </w:rPr>
            </w:pPr>
            <w:r w:rsidDel="00000000" w:rsidR="00000000" w:rsidRPr="00000000">
              <w:rPr>
                <w:rFonts w:ascii="Times New Roman" w:cs="Times New Roman" w:eastAsia="Times New Roman" w:hAnsi="Times New Roman"/>
                <w:b w:val="1"/>
                <w:bCs w:val="1"/>
                <w:color w:val="303030"/>
                <w:sz w:val="20"/>
                <w:szCs w:val="20"/>
                <w:rtl w:val="0"/>
              </w:rPr>
              <w:t xml:space="preserve">Aspecto de la Adquisición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both"/>
              <w:rPr>
                <w:rFonts w:ascii="Times New Roman" w:cs="Times New Roman" w:eastAsia="Times New Roman" w:hAnsi="Times New Roman"/>
                <w:b w:val="1"/>
                <w:bCs w:val="1"/>
                <w:color w:val="303030"/>
                <w:sz w:val="20"/>
                <w:szCs w:val="20"/>
              </w:rPr>
            </w:pPr>
            <w:r w:rsidDel="00000000" w:rsidR="00000000" w:rsidRPr="00000000">
              <w:rPr>
                <w:rFonts w:ascii="Times New Roman" w:cs="Times New Roman" w:eastAsia="Times New Roman" w:hAnsi="Times New Roman"/>
                <w:b w:val="1"/>
                <w:bCs w:val="1"/>
                <w:color w:val="303030"/>
                <w:sz w:val="20"/>
                <w:szCs w:val="20"/>
                <w:rtl w:val="0"/>
              </w:rPr>
              <w:t xml:space="preserve">Detalles Específicos</w:t>
            </w:r>
          </w:p>
        </w:tc>
      </w:tr>
      <w:tr>
        <w:trPr>
          <w:cantSplit w:val="0"/>
          <w:trHeight w:val="2464.77539062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both"/>
              <w:rPr>
                <w:rFonts w:ascii="Times New Roman" w:cs="Times New Roman" w:eastAsia="Times New Roman" w:hAnsi="Times New Roman"/>
                <w:b w:val="1"/>
                <w:bCs w:val="1"/>
                <w:color w:val="303030"/>
                <w:sz w:val="20"/>
                <w:szCs w:val="20"/>
              </w:rPr>
            </w:pPr>
            <w:r w:rsidDel="00000000" w:rsidR="00000000" w:rsidRPr="00000000">
              <w:rPr>
                <w:rFonts w:ascii="Times New Roman" w:cs="Times New Roman" w:eastAsia="Times New Roman" w:hAnsi="Times New Roman"/>
                <w:b w:val="1"/>
                <w:bCs w:val="1"/>
                <w:color w:val="303030"/>
                <w:sz w:val="20"/>
                <w:szCs w:val="20"/>
                <w:rtl w:val="0"/>
              </w:rPr>
              <w:t xml:space="preserve">Bases de Datos Fuente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Sudden Cardiac Death Holter Database (SCDH) y Normal Sinus Rhythm (NSR) database (ambas de MIT-BIH).</w:t>
            </w:r>
          </w:p>
        </w:tc>
      </w:tr>
      <w:tr>
        <w:trPr>
          <w:cantSplit w:val="0"/>
          <w:trHeight w:val="123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both"/>
              <w:rPr>
                <w:rFonts w:ascii="Times New Roman" w:cs="Times New Roman" w:eastAsia="Times New Roman" w:hAnsi="Times New Roman"/>
                <w:b w:val="1"/>
                <w:bCs w:val="1"/>
                <w:color w:val="303030"/>
                <w:sz w:val="20"/>
                <w:szCs w:val="20"/>
              </w:rPr>
            </w:pPr>
            <w:r w:rsidDel="00000000" w:rsidR="00000000" w:rsidRPr="00000000">
              <w:rPr>
                <w:rFonts w:ascii="Times New Roman" w:cs="Times New Roman" w:eastAsia="Times New Roman" w:hAnsi="Times New Roman"/>
                <w:b w:val="1"/>
                <w:bCs w:val="1"/>
                <w:color w:val="303030"/>
                <w:sz w:val="20"/>
                <w:szCs w:val="20"/>
                <w:rtl w:val="0"/>
              </w:rPr>
              <w:t xml:space="preserve">Tipo de Señal Adquirida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Señales de </w:t>
            </w:r>
            <w:r w:rsidDel="00000000" w:rsidR="00000000" w:rsidRPr="00000000">
              <w:rPr>
                <w:rFonts w:ascii="Times New Roman" w:cs="Times New Roman" w:eastAsia="Times New Roman" w:hAnsi="Times New Roman"/>
                <w:b w:val="1"/>
                <w:bCs w:val="1"/>
                <w:color w:val="303030"/>
                <w:sz w:val="20"/>
                <w:szCs w:val="20"/>
                <w:rtl w:val="0"/>
              </w:rPr>
              <w:t xml:space="preserve">Electrocardiograma (ECG)</w:t>
            </w:r>
            <w:r w:rsidDel="00000000" w:rsidR="00000000" w:rsidRPr="00000000">
              <w:rPr>
                <w:rFonts w:ascii="Times New Roman" w:cs="Times New Roman" w:eastAsia="Times New Roman" w:hAnsi="Times New Roman"/>
                <w:color w:val="303030"/>
                <w:sz w:val="20"/>
                <w:szCs w:val="20"/>
                <w:rtl w:val="0"/>
              </w:rPr>
              <w:t xml:space="preserve"> no invasivas.</w:t>
            </w:r>
          </w:p>
        </w:tc>
      </w:tr>
      <w:tr>
        <w:trPr>
          <w:cantSplit w:val="0"/>
          <w:trHeight w:val="165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both"/>
              <w:rPr>
                <w:rFonts w:ascii="Times New Roman" w:cs="Times New Roman" w:eastAsia="Times New Roman" w:hAnsi="Times New Roman"/>
                <w:b w:val="1"/>
                <w:bCs w:val="1"/>
                <w:color w:val="303030"/>
                <w:sz w:val="20"/>
                <w:szCs w:val="20"/>
              </w:rPr>
            </w:pPr>
            <w:r w:rsidDel="00000000" w:rsidR="00000000" w:rsidRPr="00000000">
              <w:rPr>
                <w:rFonts w:ascii="Times New Roman" w:cs="Times New Roman" w:eastAsia="Times New Roman" w:hAnsi="Times New Roman"/>
                <w:b w:val="1"/>
                <w:bCs w:val="1"/>
                <w:color w:val="303030"/>
                <w:sz w:val="20"/>
                <w:szCs w:val="20"/>
                <w:rtl w:val="0"/>
              </w:rPr>
              <w:t xml:space="preserve">Frecuencias de Muestreo</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Las grabaciones de la base </w:t>
            </w:r>
            <w:r w:rsidDel="00000000" w:rsidR="00000000" w:rsidRPr="00000000">
              <w:rPr>
                <w:rFonts w:ascii="Times New Roman" w:cs="Times New Roman" w:eastAsia="Times New Roman" w:hAnsi="Times New Roman"/>
                <w:b w:val="1"/>
                <w:bCs w:val="1"/>
                <w:color w:val="303030"/>
                <w:sz w:val="20"/>
                <w:szCs w:val="20"/>
                <w:rtl w:val="0"/>
              </w:rPr>
              <w:t xml:space="preserve">SCDH</w:t>
            </w:r>
            <w:r w:rsidDel="00000000" w:rsidR="00000000" w:rsidRPr="00000000">
              <w:rPr>
                <w:rFonts w:ascii="Times New Roman" w:cs="Times New Roman" w:eastAsia="Times New Roman" w:hAnsi="Times New Roman"/>
                <w:color w:val="303030"/>
                <w:sz w:val="20"/>
                <w:szCs w:val="20"/>
                <w:rtl w:val="0"/>
              </w:rPr>
              <w:t xml:space="preserve"> fueron muestreadas a </w:t>
            </w:r>
            <w:r w:rsidDel="00000000" w:rsidR="00000000" w:rsidRPr="00000000">
              <w:rPr>
                <w:rFonts w:ascii="Times New Roman" w:cs="Times New Roman" w:eastAsia="Times New Roman" w:hAnsi="Times New Roman"/>
                <w:b w:val="1"/>
                <w:bCs w:val="1"/>
                <w:color w:val="303030"/>
                <w:sz w:val="20"/>
                <w:szCs w:val="20"/>
                <w:rtl w:val="0"/>
              </w:rPr>
              <w:t xml:space="preserve">250 Hz</w:t>
            </w:r>
            <w:r w:rsidDel="00000000" w:rsidR="00000000" w:rsidRPr="00000000">
              <w:rPr>
                <w:rFonts w:ascii="Times New Roman" w:cs="Times New Roman" w:eastAsia="Times New Roman" w:hAnsi="Times New Roman"/>
                <w:color w:val="303030"/>
                <w:sz w:val="20"/>
                <w:szCs w:val="20"/>
                <w:rtl w:val="0"/>
              </w:rPr>
              <w:t xml:space="preserve">. Los registros de la base </w:t>
            </w:r>
            <w:r w:rsidDel="00000000" w:rsidR="00000000" w:rsidRPr="00000000">
              <w:rPr>
                <w:rFonts w:ascii="Times New Roman" w:cs="Times New Roman" w:eastAsia="Times New Roman" w:hAnsi="Times New Roman"/>
                <w:b w:val="1"/>
                <w:bCs w:val="1"/>
                <w:color w:val="303030"/>
                <w:sz w:val="20"/>
                <w:szCs w:val="20"/>
                <w:rtl w:val="0"/>
              </w:rPr>
              <w:t xml:space="preserve">NSR</w:t>
            </w:r>
            <w:r w:rsidDel="00000000" w:rsidR="00000000" w:rsidRPr="00000000">
              <w:rPr>
                <w:rFonts w:ascii="Times New Roman" w:cs="Times New Roman" w:eastAsia="Times New Roman" w:hAnsi="Times New Roman"/>
                <w:color w:val="303030"/>
                <w:sz w:val="20"/>
                <w:szCs w:val="20"/>
                <w:rtl w:val="0"/>
              </w:rPr>
              <w:t xml:space="preserve"> fueron muestreados a </w:t>
            </w:r>
            <w:r w:rsidDel="00000000" w:rsidR="00000000" w:rsidRPr="00000000">
              <w:rPr>
                <w:rFonts w:ascii="Times New Roman" w:cs="Times New Roman" w:eastAsia="Times New Roman" w:hAnsi="Times New Roman"/>
                <w:b w:val="1"/>
                <w:bCs w:val="1"/>
                <w:color w:val="303030"/>
                <w:sz w:val="20"/>
                <w:szCs w:val="20"/>
                <w:rtl w:val="0"/>
              </w:rPr>
              <w:t xml:space="preserve">128 Hz</w:t>
            </w:r>
            <w:r w:rsidDel="00000000" w:rsidR="00000000" w:rsidRPr="00000000">
              <w:rPr>
                <w:rFonts w:ascii="Times New Roman" w:cs="Times New Roman" w:eastAsia="Times New Roman" w:hAnsi="Times New Roman"/>
                <w:color w:val="303030"/>
                <w:sz w:val="20"/>
                <w:szCs w:val="20"/>
                <w:rtl w:val="0"/>
              </w:rPr>
              <w:t xml:space="preserve">.</w:t>
            </w:r>
          </w:p>
        </w:tc>
      </w:tr>
      <w:tr>
        <w:trPr>
          <w:cantSplit w:val="0"/>
          <w:trHeight w:val="165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both"/>
              <w:rPr>
                <w:rFonts w:ascii="Times New Roman" w:cs="Times New Roman" w:eastAsia="Times New Roman" w:hAnsi="Times New Roman"/>
                <w:b w:val="1"/>
                <w:bCs w:val="1"/>
                <w:color w:val="303030"/>
                <w:sz w:val="20"/>
                <w:szCs w:val="20"/>
              </w:rPr>
            </w:pPr>
            <w:r w:rsidDel="00000000" w:rsidR="00000000" w:rsidRPr="00000000">
              <w:rPr>
                <w:rFonts w:ascii="Times New Roman" w:cs="Times New Roman" w:eastAsia="Times New Roman" w:hAnsi="Times New Roman"/>
                <w:b w:val="1"/>
                <w:bCs w:val="1"/>
                <w:color w:val="303030"/>
                <w:sz w:val="20"/>
                <w:szCs w:val="20"/>
                <w:rtl w:val="0"/>
              </w:rPr>
              <w:t xml:space="preserve">Duración de la Adquisición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La base SCDH contiene grabaciones de ECG de </w:t>
            </w:r>
            <w:r w:rsidDel="00000000" w:rsidR="00000000" w:rsidRPr="00000000">
              <w:rPr>
                <w:rFonts w:ascii="Times New Roman" w:cs="Times New Roman" w:eastAsia="Times New Roman" w:hAnsi="Times New Roman"/>
                <w:b w:val="1"/>
                <w:bCs w:val="1"/>
                <w:color w:val="303030"/>
                <w:sz w:val="20"/>
                <w:szCs w:val="20"/>
                <w:rtl w:val="0"/>
              </w:rPr>
              <w:t xml:space="preserve">largo plazo</w:t>
            </w:r>
            <w:r w:rsidDel="00000000" w:rsidR="00000000" w:rsidRPr="00000000">
              <w:rPr>
                <w:rFonts w:ascii="Times New Roman" w:cs="Times New Roman" w:eastAsia="Times New Roman" w:hAnsi="Times New Roman"/>
                <w:color w:val="303030"/>
                <w:sz w:val="20"/>
                <w:szCs w:val="20"/>
                <w:rtl w:val="0"/>
              </w:rPr>
              <w:t xml:space="preserve">, con duraciones que varían desde varias horas hasta </w:t>
            </w:r>
            <w:r w:rsidDel="00000000" w:rsidR="00000000" w:rsidRPr="00000000">
              <w:rPr>
                <w:rFonts w:ascii="Times New Roman" w:cs="Times New Roman" w:eastAsia="Times New Roman" w:hAnsi="Times New Roman"/>
                <w:b w:val="1"/>
                <w:bCs w:val="1"/>
                <w:color w:val="303030"/>
                <w:sz w:val="20"/>
                <w:szCs w:val="20"/>
                <w:rtl w:val="0"/>
              </w:rPr>
              <w:t xml:space="preserve">24 horas</w:t>
            </w:r>
            <w:r w:rsidDel="00000000" w:rsidR="00000000" w:rsidRPr="00000000">
              <w:rPr>
                <w:rFonts w:ascii="Times New Roman" w:cs="Times New Roman" w:eastAsia="Times New Roman" w:hAnsi="Times New Roman"/>
                <w:color w:val="303030"/>
                <w:sz w:val="20"/>
                <w:szCs w:val="20"/>
                <w:rtl w:val="0"/>
              </w:rPr>
              <w:t xml:space="preserve"> por registro.</w:t>
            </w:r>
          </w:p>
        </w:tc>
      </w:tr>
      <w:tr>
        <w:trPr>
          <w:cantSplit w:val="0"/>
          <w:trHeight w:val="126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rFonts w:ascii="Times New Roman" w:cs="Times New Roman" w:eastAsia="Times New Roman" w:hAnsi="Times New Roman"/>
                <w:b w:val="1"/>
                <w:bCs w:val="1"/>
                <w:color w:val="303030"/>
                <w:sz w:val="20"/>
                <w:szCs w:val="20"/>
              </w:rPr>
            </w:pPr>
            <w:r w:rsidDel="00000000" w:rsidR="00000000" w:rsidRPr="00000000">
              <w:rPr>
                <w:rFonts w:ascii="Times New Roman" w:cs="Times New Roman" w:eastAsia="Times New Roman" w:hAnsi="Times New Roman"/>
                <w:b w:val="1"/>
                <w:bCs w:val="1"/>
                <w:color w:val="303030"/>
                <w:sz w:val="20"/>
                <w:szCs w:val="20"/>
                <w:rtl w:val="0"/>
              </w:rPr>
              <w:t xml:space="preserve">Configuración de Derivación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Para el análisis, se utiliza la </w:t>
            </w:r>
            <w:r w:rsidDel="00000000" w:rsidR="00000000" w:rsidRPr="00000000">
              <w:rPr>
                <w:rFonts w:ascii="Times New Roman" w:cs="Times New Roman" w:eastAsia="Times New Roman" w:hAnsi="Times New Roman"/>
                <w:b w:val="1"/>
                <w:bCs w:val="1"/>
                <w:color w:val="303030"/>
                <w:sz w:val="20"/>
                <w:szCs w:val="20"/>
                <w:rtl w:val="0"/>
              </w:rPr>
              <w:t xml:space="preserve">primera derivación de las señales de doble derivación</w:t>
            </w:r>
            <w:r w:rsidDel="00000000" w:rsidR="00000000" w:rsidRPr="00000000">
              <w:rPr>
                <w:rFonts w:ascii="Times New Roman" w:cs="Times New Roman" w:eastAsia="Times New Roman" w:hAnsi="Times New Roman"/>
                <w:color w:val="303030"/>
                <w:sz w:val="20"/>
                <w:szCs w:val="20"/>
                <w:rtl w:val="0"/>
              </w:rPr>
              <w:t xml:space="preserve"> provistas en la base SCDH.</w:t>
            </w:r>
          </w:p>
        </w:tc>
      </w:tr>
      <w:tr>
        <w:trPr>
          <w:cantSplit w:val="0"/>
          <w:trHeight w:val="162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color w:val="303030"/>
                <w:sz w:val="20"/>
                <w:szCs w:val="20"/>
              </w:rPr>
            </w:pPr>
            <w:r w:rsidDel="00000000" w:rsidR="00000000" w:rsidRPr="00000000">
              <w:rPr>
                <w:rFonts w:ascii="Times New Roman" w:cs="Times New Roman" w:eastAsia="Times New Roman" w:hAnsi="Times New Roman"/>
                <w:b w:val="1"/>
                <w:bCs w:val="1"/>
                <w:color w:val="303030"/>
                <w:sz w:val="20"/>
                <w:szCs w:val="20"/>
                <w:rtl w:val="0"/>
              </w:rPr>
              <w:t xml:space="preserve">Implicación Tecnológica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Se menciona el avance de los </w:t>
            </w:r>
            <w:r w:rsidDel="00000000" w:rsidR="00000000" w:rsidRPr="00000000">
              <w:rPr>
                <w:rFonts w:ascii="Times New Roman" w:cs="Times New Roman" w:eastAsia="Times New Roman" w:hAnsi="Times New Roman"/>
                <w:b w:val="1"/>
                <w:bCs w:val="1"/>
                <w:color w:val="303030"/>
                <w:sz w:val="20"/>
                <w:szCs w:val="20"/>
                <w:rtl w:val="0"/>
              </w:rPr>
              <w:t xml:space="preserve">dispositivos </w:t>
            </w:r>
            <w:r w:rsidDel="00000000" w:rsidR="00000000" w:rsidRPr="00000000">
              <w:rPr>
                <w:rFonts w:ascii="Times New Roman" w:cs="Times New Roman" w:eastAsia="Times New Roman" w:hAnsi="Times New Roman"/>
                <w:b w:val="1"/>
                <w:bCs w:val="1"/>
                <w:i w:val="1"/>
                <w:iCs w:val="1"/>
                <w:color w:val="303030"/>
                <w:sz w:val="20"/>
                <w:szCs w:val="20"/>
                <w:rtl w:val="0"/>
              </w:rPr>
              <w:t xml:space="preserve">wearable</w:t>
            </w:r>
            <w:r w:rsidDel="00000000" w:rsidR="00000000" w:rsidRPr="00000000">
              <w:rPr>
                <w:rFonts w:ascii="Times New Roman" w:cs="Times New Roman" w:eastAsia="Times New Roman" w:hAnsi="Times New Roman"/>
                <w:b w:val="1"/>
                <w:bCs w:val="1"/>
                <w:color w:val="303030"/>
                <w:sz w:val="20"/>
                <w:szCs w:val="20"/>
                <w:rtl w:val="0"/>
              </w:rPr>
              <w:t xml:space="preserve"> portátiles de ECG de una sola derivación</w:t>
            </w:r>
            <w:r w:rsidDel="00000000" w:rsidR="00000000" w:rsidRPr="00000000">
              <w:rPr>
                <w:rFonts w:ascii="Times New Roman" w:cs="Times New Roman" w:eastAsia="Times New Roman" w:hAnsi="Times New Roman"/>
                <w:color w:val="303030"/>
                <w:sz w:val="20"/>
                <w:szCs w:val="20"/>
                <w:rtl w:val="0"/>
              </w:rPr>
              <w:t xml:space="preserve"> como ideales para el monitoreo continuo y ambulatorio.</w:t>
            </w:r>
          </w:p>
        </w:tc>
      </w:tr>
    </w:tbl>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III. RESULTADOS Y DISCUSIÓN</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evaluar el rendimiento de ambos métodos, es importante no solo mirar las cifras de precisión, sino también entender qué significan en el contexto clínico.</w:t>
      </w:r>
    </w:p>
    <w:p w:rsidR="00000000" w:rsidDel="00000000" w:rsidP="00000000" w:rsidRDefault="00000000" w:rsidRPr="00000000" w14:paraId="00000061">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método de </w:t>
      </w:r>
      <w:r w:rsidDel="00000000" w:rsidR="00000000" w:rsidRPr="00000000">
        <w:rPr>
          <w:rFonts w:ascii="Times New Roman" w:cs="Times New Roman" w:eastAsia="Times New Roman" w:hAnsi="Times New Roman"/>
          <w:b w:val="1"/>
          <w:bCs w:val="1"/>
          <w:sz w:val="20"/>
          <w:szCs w:val="20"/>
          <w:rtl w:val="0"/>
        </w:rPr>
        <w:t xml:space="preserve">representaciones dispersas</w:t>
      </w:r>
      <w:r w:rsidDel="00000000" w:rsidR="00000000" w:rsidRPr="00000000">
        <w:rPr>
          <w:rFonts w:ascii="Times New Roman" w:cs="Times New Roman" w:eastAsia="Times New Roman" w:hAnsi="Times New Roman"/>
          <w:sz w:val="20"/>
          <w:szCs w:val="20"/>
          <w:rtl w:val="0"/>
        </w:rPr>
        <w:t xml:space="preserve"> reporta una alta capacidad de clasificación, alcanzando una precisión, sensibilidad y especificidad superiores al 90%. Su principal fortaleza radica en la capacidad de aprender las morfologías fundamentales del ECG directamente de los datos, lo que potencialmente lo hace robusto a la variabilidad entre pacientes.</w:t>
      </w:r>
    </w:p>
    <w:p w:rsidR="00000000" w:rsidDel="00000000" w:rsidP="00000000" w:rsidRDefault="00000000" w:rsidRPr="00000000" w14:paraId="00000062">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 su parte, el método de </w:t>
      </w:r>
      <w:r w:rsidDel="00000000" w:rsidR="00000000" w:rsidRPr="00000000">
        <w:rPr>
          <w:rFonts w:ascii="Times New Roman" w:cs="Times New Roman" w:eastAsia="Times New Roman" w:hAnsi="Times New Roman"/>
          <w:b w:val="1"/>
          <w:bCs w:val="1"/>
          <w:sz w:val="20"/>
          <w:szCs w:val="20"/>
          <w:rtl w:val="0"/>
        </w:rPr>
        <w:t xml:space="preserve">fusión jerárquica</w:t>
      </w:r>
      <w:r w:rsidDel="00000000" w:rsidR="00000000" w:rsidRPr="00000000">
        <w:rPr>
          <w:rFonts w:ascii="Times New Roman" w:cs="Times New Roman" w:eastAsia="Times New Roman" w:hAnsi="Times New Roman"/>
          <w:sz w:val="20"/>
          <w:szCs w:val="20"/>
          <w:rtl w:val="0"/>
        </w:rPr>
        <w:t xml:space="preserve"> también alcanza un rendimiento sobresaliente, con métricas de precisión ligeramente superiores en algunas de las pruebas. La ventaja de este enfoque, conectado con los conceptos de la transformada wavelet, es su capacidad para capturar simultáneamente detalles finos del complejo QRS y características más amplias relacionadas con la repolarización (onda T) en una sola representación unificada.</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Análisis Comparativo:</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¿Cuál enfoque es mejor? </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método de representaciones dispersas ofrece un marco elegante y matemáticamente sólido, pero su rendimiento puede depender fuertemente de la calidad del "diccionario" aprendido. Por otro lado, el enfoque de fusión de características es muy potente, pero puede ser computacionalmente más intensivo y la selección de las características a fusionar puede parecer algo </w:t>
      </w:r>
      <w:r w:rsidDel="00000000" w:rsidR="00000000" w:rsidRPr="00000000">
        <w:rPr>
          <w:rFonts w:ascii="Times New Roman" w:cs="Times New Roman" w:eastAsia="Times New Roman" w:hAnsi="Times New Roman"/>
          <w:i w:val="1"/>
          <w:iCs w:val="1"/>
          <w:sz w:val="20"/>
          <w:szCs w:val="20"/>
          <w:rtl w:val="0"/>
        </w:rPr>
        <w:t xml:space="preserve">ad-hoc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observación interesante es que ambos métodos se alejan de los marcadores tradicionales del ECG y se adentran en representaciones más abstractas de la señal. Esto sugiere que los patrones que predicen la MSC pueden no ser evidentes a simple vista, sino que están codificados en la textura y estructura de la señal a múltiples escalas. El éxito del método basado en wavelets, en particular, refuerza la idea de que el análisis tiempo-frecuencia es una herramienta excepcionalmente adecuada para señales biomédicas no estacionarias como el ECG.</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IV. CONCLUSIONES</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 revisión ha analizado dos metodologías de vanguardia para la predicción de la muerte súbita cardíaca. Se ha demostrado que tanto las representaciones dispersas como la fusión jerárquica de características basadas en wavelets son enfoques viables y potentes, superando a muchos métodos tradicionales.</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análisis comparativo sugiere que las técnicas que integran información de múltiples escalas, como el método de Huang et al., podrían tener una ligera ventaja al capturar la compleja dinámica del sistema eléctrico cardíaco. Sin embargo, la simplicidad relativa y la solidez teórica del enfoque de representaciones dispersas de Velázquez-González et al. lo convierten en una alternativa muy atractiva.</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trabajo futuro, sería de gran interés explorar modelos híbridos que combinen ambas filosofías: por ejemplo, utilizando la transformada wavelet para generar los "átomos" de un diccionario para representaciones dispersas. Además, la validación de estos algoritmos en bases de datos más grandes y diversas sigue siendo un paso necesario antes de que puedan considerarse para su aplicación clínica. En última instancia, el camino hacia la predicción fiable de la MSC dependerá de la sinergia entre el procesamiento de señales avanzado y la validación clínica rigurosa.</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 REFERENCIAS</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J. R. Velázquez-González, H. Peregrina-Barreto, J. J. Rangel-Magdaleno, J. M. Ramirez-Cortes, and J. P. Amezquita-Sanchez, "ECG-Based Identification of Sudden Cardiac Death through Sparse Representations," </w:t>
      </w:r>
      <w:r w:rsidDel="00000000" w:rsidR="00000000" w:rsidRPr="00000000">
        <w:rPr>
          <w:rFonts w:ascii="Times New Roman" w:cs="Times New Roman" w:eastAsia="Times New Roman" w:hAnsi="Times New Roman"/>
          <w:i w:val="1"/>
          <w:iCs w:val="1"/>
          <w:sz w:val="20"/>
          <w:szCs w:val="20"/>
          <w:rtl w:val="0"/>
        </w:rPr>
        <w:t xml:space="preserve">Sensors</w:t>
      </w:r>
      <w:r w:rsidDel="00000000" w:rsidR="00000000" w:rsidRPr="00000000">
        <w:rPr>
          <w:rFonts w:ascii="Times New Roman" w:cs="Times New Roman" w:eastAsia="Times New Roman" w:hAnsi="Times New Roman"/>
          <w:sz w:val="20"/>
          <w:szCs w:val="20"/>
          <w:rtl w:val="0"/>
        </w:rPr>
        <w:t xml:space="preserve">, vol. 21, no. 22, p. 7666, Nov. 2021.</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X. Huang, G. Jia, M. Huang, X. He, Y. Li, and M. Jiang, "Improving Early Prediction of Sudden Cardiac Death Risk via Hierarchical Feature Fusion," </w:t>
      </w:r>
      <w:r w:rsidDel="00000000" w:rsidR="00000000" w:rsidRPr="00000000">
        <w:rPr>
          <w:rFonts w:ascii="Times New Roman" w:cs="Times New Roman" w:eastAsia="Times New Roman" w:hAnsi="Times New Roman"/>
          <w:i w:val="1"/>
          <w:iCs w:val="1"/>
          <w:sz w:val="20"/>
          <w:szCs w:val="20"/>
          <w:rtl w:val="0"/>
        </w:rPr>
        <w:t xml:space="preserve">Symmetry</w:t>
      </w:r>
      <w:r w:rsidDel="00000000" w:rsidR="00000000" w:rsidRPr="00000000">
        <w:rPr>
          <w:rFonts w:ascii="Times New Roman" w:cs="Times New Roman" w:eastAsia="Times New Roman" w:hAnsi="Times New Roman"/>
          <w:sz w:val="20"/>
          <w:szCs w:val="20"/>
          <w:rtl w:val="0"/>
        </w:rPr>
        <w:t xml:space="preserve">, vol. 17, no. 10, p. 1738, Oct. 2025.</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0"/>
          <w:szCs w:val="20"/>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