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3D"/>
          <w:sz w:val="44"/>
          <w:szCs w:val="44"/>
        </w:rPr>
        <w:t xml:space="preserve">Domain Lookup Report</w:t>
      </w:r>
    </w:p>
    <w:p>
      <w:pPr>
        <w:spacing w:after="200"/>
      </w:pPr>
      <w:r>
        <w:rPr>
          <w:rFonts w:ascii="Calibri" w:cs="Calibri" w:eastAsia="Calibri" w:hAnsi="Calibri"/>
          <w:color w:val="555555"/>
          <w:sz w:val="26"/>
          <w:szCs w:val="26"/>
        </w:rPr>
        <w:t xml:space="preserve">Practical Assessment 3, Task 2: tvetcdacc.go.ke (TVET CDACC)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Name</w:t>
            </w:r>
          </w:p>
        </w:tc>
        <w:tc>
          <w:tcPr>
            <w:tcW w:type="dxa" w:w="68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
            </w:r>
          </w:p>
        </w:tc>
      </w:tr>
      <w:tr>
        <w:trPr>
          <w:tblHeader w:val="false"/>
        </w:trPr>
        <w:tc>
          <w:tcPr>
            <w:tcW w:type="dxa" w:w="22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Admission number</w:t>
            </w:r>
          </w:p>
        </w:tc>
        <w:tc>
          <w:tcPr>
            <w:tcW w:type="dxa" w:w="68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
            </w:r>
          </w:p>
        </w:tc>
      </w:tr>
      <w:tr>
        <w:trPr>
          <w:tblHeader w:val="false"/>
        </w:trPr>
        <w:tc>
          <w:tcPr>
            <w:tcW w:type="dxa" w:w="22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Date of lookup</w:t>
            </w:r>
          </w:p>
        </w:tc>
        <w:tc>
          <w:tcPr>
            <w:tcW w:type="dxa" w:w="68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29 October 2026</w:t>
            </w:r>
          </w:p>
        </w:tc>
      </w:tr>
      <w:tr>
        <w:trPr>
          <w:tblHeader w:val="false"/>
        </w:trPr>
        <w:tc>
          <w:tcPr>
            <w:tcW w:type="dxa" w:w="22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Tools used</w:t>
            </w:r>
          </w:p>
        </w:tc>
        <w:tc>
          <w:tcPr>
            <w:tcW w:type="dxa" w:w="68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whois.com (WHOIS) and nslookup (Windows Command Prompt, DNS server dns.google 8.8.8.8)</w:t>
            </w:r>
          </w:p>
        </w:tc>
      </w:tr>
    </w:tbl>
    <w:p>
      <w:pPr>
        <w:pStyle w:val="Heading1"/>
        <w:spacing w:after="120" w:before="320"/>
      </w:pPr>
      <w:r>
        <w:rPr>
          <w:rFonts w:ascii="Calibri" w:cs="Calibri" w:eastAsia="Calibri" w:hAnsi="Calibri"/>
          <w:b/>
          <w:bCs/>
          <w:color w:val="1F4E3D"/>
          <w:sz w:val="30"/>
          <w:szCs w:val="30"/>
        </w:rPr>
        <w:t xml:space="preserve">1. Purpose</w:t>
      </w:r>
    </w:p>
    <w:p>
      <w:pPr>
        <w:spacing w:after="120"/>
      </w:pPr>
      <w:r>
        <w:rPr>
          <w:rFonts w:ascii="Calibri" w:cs="Calibri" w:eastAsia="Calibri" w:hAnsi="Calibri"/>
          <w:sz w:val="22"/>
          <w:szCs w:val="22"/>
        </w:rPr>
        <w:t xml:space="preserve">To perform a domain lookup on the institutional domain and record the registrar, DNS records and expiry details. The domain named in the assessment, www.cdacc.go.ke, did not resolve (see section 5), so the council’s actual domain, tvetcdacc.go.ke, was looked up.</w:t>
      </w:r>
    </w:p>
    <w:p>
      <w:pPr>
        <w:pStyle w:val="Heading1"/>
        <w:spacing w:after="120" w:before="320"/>
      </w:pPr>
      <w:r>
        <w:rPr>
          <w:rFonts w:ascii="Calibri" w:cs="Calibri" w:eastAsia="Calibri" w:hAnsi="Calibri"/>
          <w:b/>
          <w:bCs/>
          <w:color w:val="1F4E3D"/>
          <w:sz w:val="30"/>
          <w:szCs w:val="30"/>
        </w:rPr>
        <w:t xml:space="preserve">2.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7C4BD" w:sz="4"/>
              <w:left w:val="single" w:color="B7C4BD" w:sz="4"/>
              <w:bottom w:val="single" w:color="B7C4BD" w:sz="4"/>
              <w:right w:val="single" w:color="B7C4BD" w:sz="4"/>
            </w:tcBorders>
            <w:shd w:fill="E3EFE8" w:color="auto" w:val="clear"/>
            <w:tcMar>
              <w:top w:type="dxa" w:w="70"/>
              <w:left w:type="dxa" w:w="110"/>
              <w:bottom w:type="dxa" w:w="70"/>
              <w:right w:type="dxa" w:w="110"/>
            </w:tcMar>
          </w:tcPr>
          <w:p>
            <w:r>
              <w:rPr>
                <w:rFonts w:ascii="Calibri" w:cs="Calibri" w:eastAsia="Calibri" w:hAnsi="Calibri"/>
                <w:b/>
                <w:bCs/>
                <w:sz w:val="21"/>
                <w:szCs w:val="21"/>
              </w:rPr>
              <w:t xml:space="preserve">Item</w:t>
            </w:r>
          </w:p>
        </w:tc>
        <w:tc>
          <w:tcPr>
            <w:tcW w:type="dxa" w:w="6126"/>
            <w:tcBorders>
              <w:top w:val="single" w:color="B7C4BD" w:sz="4"/>
              <w:left w:val="single" w:color="B7C4BD" w:sz="4"/>
              <w:bottom w:val="single" w:color="B7C4BD" w:sz="4"/>
              <w:right w:val="single" w:color="B7C4BD" w:sz="4"/>
            </w:tcBorders>
            <w:shd w:fill="E3EFE8" w:color="auto" w:val="clear"/>
            <w:tcMar>
              <w:top w:type="dxa" w:w="70"/>
              <w:left w:type="dxa" w:w="110"/>
              <w:bottom w:type="dxa" w:w="70"/>
              <w:right w:type="dxa" w:w="110"/>
            </w:tcMar>
          </w:tcPr>
          <w:p>
            <w:r>
              <w:rPr>
                <w:rFonts w:ascii="Calibri" w:cs="Calibri" w:eastAsia="Calibri" w:hAnsi="Calibri"/>
                <w:b/>
                <w:bCs/>
                <w:sz w:val="21"/>
                <w:szCs w:val="21"/>
              </w:rPr>
              <w:t xml:space="preserve">Result</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Domain</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tvetcdacc.go.ke</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Registry</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KENIC (Registry Domain ID: 320195-KENIC)</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Registrar</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ICT Authority, Teleposta Towers, 12th Floor, Kenyatta Ave, Nairobi, Kenya (websupport@icta.go.ke, +254 20 2211960)</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Creation date</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22 February 2016</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Expiry date</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22 February 2027 (about 4 months from the lookup date)</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Last updated</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18 February 2026</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Status</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active</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DNSSEC</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unsigned</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Name servers (NS)</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ns1.kenet.or.ke</w:t>
            </w:r>
          </w:p>
          <w:p>
            <w:r>
              <w:rPr>
                <w:rFonts w:ascii="Calibri" w:cs="Calibri" w:eastAsia="Calibri" w:hAnsi="Calibri"/>
                <w:b w:val="false"/>
                <w:bCs w:val="false"/>
                <w:sz w:val="21"/>
                <w:szCs w:val="21"/>
              </w:rPr>
              <w:t xml:space="preserve">ns2.kenet.or.ke</w:t>
            </w:r>
          </w:p>
          <w:p>
            <w:r>
              <w:rPr>
                <w:rFonts w:ascii="Calibri" w:cs="Calibri" w:eastAsia="Calibri" w:hAnsi="Calibri"/>
                <w:b w:val="false"/>
                <w:bCs w:val="false"/>
                <w:sz w:val="21"/>
                <w:szCs w:val="21"/>
              </w:rPr>
              <w:t xml:space="preserve">ns3.kenet.or.ke</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A record (IP address)</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197.136.12.4 (www.tvetcdacc.go.ke is an alias of tvetcdacc.go.ke)</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Mail servers (MX)</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Preference 0: tvetcdacc-go-ke.mail.protection.outlook.com</w:t>
            </w:r>
          </w:p>
        </w:tc>
      </w:tr>
      <w:tr>
        <w:trPr>
          <w:tblHeader w:val="false"/>
        </w:trPr>
        <w:tc>
          <w:tcPr>
            <w:tcW w:type="dxa" w:w="29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TXT records</w:t>
            </w:r>
          </w:p>
        </w:tc>
        <w:tc>
          <w:tcPr>
            <w:tcW w:type="dxa" w:w="61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v=spf1 include:spf.protection.outlook.com -all</w:t>
            </w:r>
          </w:p>
          <w:p>
            <w:r>
              <w:rPr>
                <w:rFonts w:ascii="Calibri" w:cs="Calibri" w:eastAsia="Calibri" w:hAnsi="Calibri"/>
                <w:b w:val="false"/>
                <w:bCs w:val="false"/>
                <w:sz w:val="21"/>
                <w:szCs w:val="21"/>
              </w:rPr>
              <w:t xml:space="preserve">MS=ms42129984</w:t>
            </w:r>
          </w:p>
        </w:tc>
      </w:tr>
    </w:tbl>
    <w:p>
      <w:pPr>
        <w:pStyle w:val="Heading1"/>
        <w:spacing w:after="120" w:before="320"/>
      </w:pPr>
      <w:r>
        <w:rPr>
          <w:rFonts w:ascii="Calibri" w:cs="Calibri" w:eastAsia="Calibri" w:hAnsi="Calibri"/>
          <w:b/>
          <w:bCs/>
          <w:color w:val="1F4E3D"/>
          <w:sz w:val="30"/>
          <w:szCs w:val="30"/>
        </w:rPr>
        <w:t xml:space="preserve">3. WHOIS record</w:t>
      </w:r>
    </w:p>
    <w:p>
      <w:pPr>
        <w:spacing w:after="120"/>
      </w:pPr>
      <w:r>
        <w:rPr>
          <w:rFonts w:ascii="Calibri" w:cs="Calibri" w:eastAsia="Calibri" w:hAnsi="Calibri"/>
          <w:sz w:val="22"/>
          <w:szCs w:val="22"/>
        </w:rPr>
        <w:t xml:space="preserve">The WHOIS record shows the domain is registered through the Kenya Network Information Centre (KENIC) registry with ICT Authority as registrar. It was created on 22 February 2016, is active, and expires on 22 February 2027.</w:t>
      </w:r>
    </w:p>
    <w:p>
      <w:pPr>
        <w:spacing w:after="60" w:before="120"/>
      </w:pPr>
      <w:r>
        <w:drawing>
          <wp:inline distT="0" distB="0" distL="0" distR="0">
            <wp:extent cx="5334000" cy="1781175"/>
            <wp:effectExtent t="0" r="0" b="0" l="0"/>
            <wp:docPr id="1" name="Figure 1: WHOIS domain information for tvetcdacc.go.ke (whois.com)" descr="Figure 1: WHOIS domain information for tvetcdacc.go.ke (whois.com)" title="Figure 1: WHOIS domain information for tvetcdacc.go.ke (whoi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781175"/>
                    </a:xfrm>
                    <a:prstGeom prst="rect">
                      <a:avLst/>
                    </a:prstGeom>
                  </pic:spPr>
                </pic:pic>
              </a:graphicData>
            </a:graphic>
          </wp:inline>
        </w:drawing>
      </w:r>
    </w:p>
    <w:p>
      <w:pPr>
        <w:spacing w:after="200"/>
      </w:pPr>
      <w:r>
        <w:rPr>
          <w:rFonts w:ascii="Calibri" w:cs="Calibri" w:eastAsia="Calibri" w:hAnsi="Calibri"/>
          <w:i/>
          <w:iCs/>
          <w:color w:val="555555"/>
          <w:sz w:val="19"/>
          <w:szCs w:val="19"/>
        </w:rPr>
        <w:t xml:space="preserve">Figure 1: WHOIS domain information for tvetcdacc.go.ke (whois.com)</w:t>
      </w:r>
    </w:p>
    <w:p>
      <w:pPr>
        <w:spacing w:after="60" w:before="120"/>
      </w:pPr>
      <w:r>
        <w:drawing>
          <wp:inline distT="0" distB="0" distL="0" distR="0">
            <wp:extent cx="5334000" cy="2581275"/>
            <wp:effectExtent t="0" r="0" b="0" l="0"/>
            <wp:docPr id="1" name="Figure 2: Raw WHOIS data showing registrar, dates, status and name servers" descr="Figure 2: Raw WHOIS data showing registrar, dates, status and name servers" title="Figure 2: Raw WHOIS data showing registrar, dates, status and name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81275"/>
                    </a:xfrm>
                    <a:prstGeom prst="rect">
                      <a:avLst/>
                    </a:prstGeom>
                  </pic:spPr>
                </pic:pic>
              </a:graphicData>
            </a:graphic>
          </wp:inline>
        </w:drawing>
      </w:r>
    </w:p>
    <w:p>
      <w:pPr>
        <w:spacing w:after="200"/>
      </w:pPr>
      <w:r>
        <w:rPr>
          <w:rFonts w:ascii="Calibri" w:cs="Calibri" w:eastAsia="Calibri" w:hAnsi="Calibri"/>
          <w:i/>
          <w:iCs/>
          <w:color w:val="555555"/>
          <w:sz w:val="19"/>
          <w:szCs w:val="19"/>
        </w:rPr>
        <w:t xml:space="preserve">Figure 2: Raw WHOIS data showing registrar, dates, status and name servers</w:t>
      </w:r>
    </w:p>
    <w:p>
      <w:pPr>
        <w:pStyle w:val="Heading1"/>
        <w:spacing w:after="120" w:before="320"/>
      </w:pPr>
      <w:r>
        <w:rPr>
          <w:rFonts w:ascii="Calibri" w:cs="Calibri" w:eastAsia="Calibri" w:hAnsi="Calibri"/>
          <w:b/>
          <w:bCs/>
          <w:color w:val="1F4E3D"/>
          <w:sz w:val="30"/>
          <w:szCs w:val="30"/>
        </w:rPr>
        <w:t xml:space="preserve">4. DNS records</w:t>
      </w:r>
    </w:p>
    <w:p>
      <w:pPr>
        <w:spacing w:after="120"/>
      </w:pPr>
      <w:r>
        <w:rPr>
          <w:rFonts w:ascii="Calibri" w:cs="Calibri" w:eastAsia="Calibri" w:hAnsi="Calibri"/>
          <w:sz w:val="22"/>
          <w:szCs w:val="22"/>
        </w:rPr>
        <w:t xml:space="preserve">The following commands were run in Command Prompt using Google public DNS (8.8.8.8). Answers were non-authoritative.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7C4BD" w:sz="4"/>
              <w:left w:val="single" w:color="B7C4BD" w:sz="4"/>
              <w:bottom w:val="single" w:color="B7C4BD" w:sz="4"/>
              <w:right w:val="single" w:color="B7C4BD" w:sz="4"/>
            </w:tcBorders>
            <w:shd w:fill="E3EFE8" w:color="auto" w:val="clear"/>
            <w:tcMar>
              <w:top w:type="dxa" w:w="70"/>
              <w:left w:type="dxa" w:w="110"/>
              <w:bottom w:type="dxa" w:w="70"/>
              <w:right w:type="dxa" w:w="110"/>
            </w:tcMar>
          </w:tcPr>
          <w:p>
            <w:r>
              <w:rPr>
                <w:rFonts w:ascii="Calibri" w:cs="Calibri" w:eastAsia="Calibri" w:hAnsi="Calibri"/>
                <w:b/>
                <w:bCs/>
                <w:sz w:val="21"/>
                <w:szCs w:val="21"/>
              </w:rPr>
              <w:t xml:space="preserve">Command</w:t>
            </w:r>
          </w:p>
        </w:tc>
        <w:tc>
          <w:tcPr>
            <w:tcW w:type="dxa" w:w="4726"/>
            <w:tcBorders>
              <w:top w:val="single" w:color="B7C4BD" w:sz="4"/>
              <w:left w:val="single" w:color="B7C4BD" w:sz="4"/>
              <w:bottom w:val="single" w:color="B7C4BD" w:sz="4"/>
              <w:right w:val="single" w:color="B7C4BD" w:sz="4"/>
            </w:tcBorders>
            <w:shd w:fill="E3EFE8" w:color="auto" w:val="clear"/>
            <w:tcMar>
              <w:top w:type="dxa" w:w="70"/>
              <w:left w:type="dxa" w:w="110"/>
              <w:bottom w:type="dxa" w:w="70"/>
              <w:right w:type="dxa" w:w="110"/>
            </w:tcMar>
          </w:tcPr>
          <w:p>
            <w:r>
              <w:rPr>
                <w:rFonts w:ascii="Calibri" w:cs="Calibri" w:eastAsia="Calibri" w:hAnsi="Calibri"/>
                <w:b/>
                <w:bCs/>
                <w:sz w:val="21"/>
                <w:szCs w:val="21"/>
              </w:rPr>
              <w:t xml:space="preserve">Purpose</w:t>
            </w:r>
          </w:p>
        </w:tc>
      </w:tr>
      <w:tr>
        <w:trPr>
          <w:tblHeader w:val="false"/>
        </w:trPr>
        <w:tc>
          <w:tcPr>
            <w:tcW w:type="dxa" w:w="43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nslookup -type=ns tvetcdacc.go.ke 8.8.8.8</w:t>
            </w:r>
          </w:p>
        </w:tc>
        <w:tc>
          <w:tcPr>
            <w:tcW w:type="dxa" w:w="47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Name servers</w:t>
            </w:r>
          </w:p>
        </w:tc>
      </w:tr>
      <w:tr>
        <w:trPr>
          <w:tblHeader w:val="false"/>
        </w:trPr>
        <w:tc>
          <w:tcPr>
            <w:tcW w:type="dxa" w:w="43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nslookup www.tvetcdacc.go.ke 8.8.8.8</w:t>
            </w:r>
          </w:p>
        </w:tc>
        <w:tc>
          <w:tcPr>
            <w:tcW w:type="dxa" w:w="47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IP address of the website (A record)</w:t>
            </w:r>
          </w:p>
        </w:tc>
      </w:tr>
      <w:tr>
        <w:trPr>
          <w:tblHeader w:val="false"/>
        </w:trPr>
        <w:tc>
          <w:tcPr>
            <w:tcW w:type="dxa" w:w="43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nslookup -type=mx tvetcdacc.go.ke 8.8.8.8</w:t>
            </w:r>
          </w:p>
        </w:tc>
        <w:tc>
          <w:tcPr>
            <w:tcW w:type="dxa" w:w="47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Mail servers</w:t>
            </w:r>
          </w:p>
        </w:tc>
      </w:tr>
      <w:tr>
        <w:trPr>
          <w:tblHeader w:val="false"/>
        </w:trPr>
        <w:tc>
          <w:tcPr>
            <w:tcW w:type="dxa" w:w="4300"/>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nslookup -type=txt tvetcdacc.go.ke 8.8.8.8</w:t>
            </w:r>
          </w:p>
        </w:tc>
        <w:tc>
          <w:tcPr>
            <w:tcW w:type="dxa" w:w="4726"/>
            <w:tcBorders>
              <w:top w:val="single" w:color="B7C4BD" w:sz="4"/>
              <w:left w:val="single" w:color="B7C4BD" w:sz="4"/>
              <w:bottom w:val="single" w:color="B7C4BD" w:sz="4"/>
              <w:right w:val="single" w:color="B7C4BD" w:sz="4"/>
            </w:tcBorders>
            <w:tcMar>
              <w:top w:type="dxa" w:w="70"/>
              <w:left w:type="dxa" w:w="110"/>
              <w:bottom w:type="dxa" w:w="70"/>
              <w:right w:type="dxa" w:w="110"/>
            </w:tcMar>
          </w:tcPr>
          <w:p>
            <w:r>
              <w:rPr>
                <w:rFonts w:ascii="Calibri" w:cs="Calibri" w:eastAsia="Calibri" w:hAnsi="Calibri"/>
                <w:b w:val="false"/>
                <w:bCs w:val="false"/>
                <w:sz w:val="21"/>
                <w:szCs w:val="21"/>
              </w:rPr>
              <w:t xml:space="preserve">Text records</w:t>
            </w:r>
          </w:p>
        </w:tc>
      </w:tr>
    </w:tbl>
    <w:p>
      <w:pPr>
        <w:spacing w:after="60" w:before="120"/>
      </w:pPr>
      <w:r>
        <w:drawing>
          <wp:inline distT="0" distB="0" distL="0" distR="0">
            <wp:extent cx="5334000" cy="3629025"/>
            <wp:effectExtent t="0" r="0" b="0" l="0"/>
            <wp:docPr id="1" name="Figure 3: NS, A and MX lookups for tvetcdacc.go.ke" descr="Figure 3: NS, A and MX lookups for tvetcdacc.go.ke" title="Figure 3: NS, A and MX lookups for tvetcdacc.g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29025"/>
                    </a:xfrm>
                    <a:prstGeom prst="rect">
                      <a:avLst/>
                    </a:prstGeom>
                  </pic:spPr>
                </pic:pic>
              </a:graphicData>
            </a:graphic>
          </wp:inline>
        </w:drawing>
      </w:r>
    </w:p>
    <w:p>
      <w:pPr>
        <w:spacing w:after="200"/>
      </w:pPr>
      <w:r>
        <w:rPr>
          <w:rFonts w:ascii="Calibri" w:cs="Calibri" w:eastAsia="Calibri" w:hAnsi="Calibri"/>
          <w:i/>
          <w:iCs/>
          <w:color w:val="555555"/>
          <w:sz w:val="19"/>
          <w:szCs w:val="19"/>
        </w:rPr>
        <w:t xml:space="preserve">Figure 3: NS, A and MX lookups for tvetcdacc.go.ke</w:t>
      </w:r>
    </w:p>
    <w:p>
      <w:pPr>
        <w:spacing w:after="60" w:before="120"/>
      </w:pPr>
      <w:r>
        <w:drawing>
          <wp:inline distT="0" distB="0" distL="0" distR="0">
            <wp:extent cx="5334000" cy="2533650"/>
            <wp:effectExtent t="0" r="0" b="0" l="0"/>
            <wp:docPr id="1" name="Figure 4: TXT lookup for tvetcdacc.go.ke" descr="Figure 4: TXT lookup for tvetcdacc.go.ke" title="Figure 4: TXT lookup for tvetcdacc.g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33650"/>
                    </a:xfrm>
                    <a:prstGeom prst="rect">
                      <a:avLst/>
                    </a:prstGeom>
                  </pic:spPr>
                </pic:pic>
              </a:graphicData>
            </a:graphic>
          </wp:inline>
        </w:drawing>
      </w:r>
    </w:p>
    <w:p>
      <w:pPr>
        <w:spacing w:after="200"/>
      </w:pPr>
      <w:r>
        <w:rPr>
          <w:rFonts w:ascii="Calibri" w:cs="Calibri" w:eastAsia="Calibri" w:hAnsi="Calibri"/>
          <w:i/>
          <w:iCs/>
          <w:color w:val="555555"/>
          <w:sz w:val="19"/>
          <w:szCs w:val="19"/>
        </w:rPr>
        <w:t xml:space="preserve">Figure 4: TXT lookup for tvetcdacc.go.ke</w:t>
      </w:r>
    </w:p>
    <w:p>
      <w:pPr>
        <w:pStyle w:val="Heading2"/>
        <w:spacing w:after="100" w:before="200"/>
      </w:pPr>
      <w:r>
        <w:rPr>
          <w:rFonts w:ascii="Calibri" w:cs="Calibri" w:eastAsia="Calibri" w:hAnsi="Calibri"/>
          <w:b/>
          <w:bCs/>
          <w:color w:val="1F4E3D"/>
          <w:sz w:val="25"/>
          <w:szCs w:val="25"/>
        </w:rPr>
        <w:t xml:space="preserve">What the records show</w:t>
      </w:r>
    </w:p>
    <w:p>
      <w:pPr>
        <w:pStyle w:val="ListParagraph"/>
        <w:numPr>
          <w:ilvl w:val="0"/>
          <w:numId w:val="2"/>
        </w:numPr>
        <w:spacing w:after="80"/>
      </w:pPr>
      <w:r>
        <w:rPr>
          <w:rFonts w:ascii="Calibri" w:cs="Calibri" w:eastAsia="Calibri" w:hAnsi="Calibri"/>
          <w:sz w:val="22"/>
          <w:szCs w:val="22"/>
        </w:rPr>
        <w:t xml:space="preserve">The name servers belong to KENET (the Kenya Education Network), which hosts the domain’s DNS.</w:t>
      </w:r>
    </w:p>
    <w:p>
      <w:pPr>
        <w:pStyle w:val="ListParagraph"/>
        <w:numPr>
          <w:ilvl w:val="0"/>
          <w:numId w:val="2"/>
        </w:numPr>
        <w:spacing w:after="80"/>
      </w:pPr>
      <w:r>
        <w:rPr>
          <w:rFonts w:ascii="Calibri" w:cs="Calibri" w:eastAsia="Calibri" w:hAnsi="Calibri"/>
          <w:sz w:val="22"/>
          <w:szCs w:val="22"/>
        </w:rPr>
        <w:t xml:space="preserve">The website address resolves to 197.136.12.4; www is an alias of the main domain.</w:t>
      </w:r>
    </w:p>
    <w:p>
      <w:pPr>
        <w:pStyle w:val="ListParagraph"/>
        <w:numPr>
          <w:ilvl w:val="0"/>
          <w:numId w:val="2"/>
        </w:numPr>
        <w:spacing w:after="80"/>
      </w:pPr>
      <w:r>
        <w:rPr>
          <w:rFonts w:ascii="Calibri" w:cs="Calibri" w:eastAsia="Calibri" w:hAnsi="Calibri"/>
          <w:sz w:val="22"/>
          <w:szCs w:val="22"/>
        </w:rPr>
        <w:t xml:space="preserve">Email is handled by Microsoft 365 (Outlook mail protection).</w:t>
      </w:r>
    </w:p>
    <w:p>
      <w:pPr>
        <w:pStyle w:val="ListParagraph"/>
        <w:numPr>
          <w:ilvl w:val="0"/>
          <w:numId w:val="2"/>
        </w:numPr>
        <w:spacing w:after="80"/>
      </w:pPr>
      <w:r>
        <w:rPr>
          <w:rFonts w:ascii="Calibri" w:cs="Calibri" w:eastAsia="Calibri" w:hAnsi="Calibri"/>
          <w:sz w:val="22"/>
          <w:szCs w:val="22"/>
        </w:rPr>
        <w:t xml:space="preserve">The SPF record allows only Microsoft 365 servers to send mail for the domain, and -all tells receivers to reject mail from any other source, which helps prevent email spoofing.</w:t>
      </w:r>
    </w:p>
    <w:p>
      <w:pPr>
        <w:pStyle w:val="ListParagraph"/>
        <w:numPr>
          <w:ilvl w:val="0"/>
          <w:numId w:val="2"/>
        </w:numPr>
        <w:spacing w:after="80"/>
      </w:pPr>
      <w:r>
        <w:rPr>
          <w:rFonts w:ascii="Calibri" w:cs="Calibri" w:eastAsia="Calibri" w:hAnsi="Calibri"/>
          <w:sz w:val="22"/>
          <w:szCs w:val="22"/>
        </w:rPr>
        <w:t xml:space="preserve">MS=ms42129984 is a Microsoft domain verification code showing the domain was added to Microsoft 365.</w:t>
      </w:r>
    </w:p>
    <w:p>
      <w:pPr>
        <w:pStyle w:val="Heading1"/>
        <w:spacing w:after="120" w:before="320"/>
      </w:pPr>
      <w:r>
        <w:rPr>
          <w:rFonts w:ascii="Calibri" w:cs="Calibri" w:eastAsia="Calibri" w:hAnsi="Calibri"/>
          <w:b/>
          <w:bCs/>
          <w:color w:val="1F4E3D"/>
          <w:sz w:val="30"/>
          <w:szCs w:val="30"/>
        </w:rPr>
        <w:t xml:space="preserve">5. Lookup of cdacc.go.ke</w:t>
      </w:r>
    </w:p>
    <w:p>
      <w:pPr>
        <w:spacing w:after="120"/>
      </w:pPr>
      <w:r>
        <w:rPr>
          <w:rFonts w:ascii="Calibri" w:cs="Calibri" w:eastAsia="Calibri" w:hAnsi="Calibri"/>
          <w:sz w:val="22"/>
          <w:szCs w:val="22"/>
        </w:rPr>
        <w:t xml:space="preserve">The domain written in the assessment, www.cdacc.go.ke, was looked up first. Both the local network DNS server and Google DNS (8.8.8.8) returned “Non-existent domain”, so the name does not exist. The council’s domain was then found to be tvetcdacc.go.ke and looked up as shown above.</w:t>
      </w:r>
    </w:p>
    <w:p>
      <w:pPr>
        <w:spacing w:after="60" w:before="120"/>
      </w:pPr>
      <w:r>
        <w:drawing>
          <wp:inline distT="0" distB="0" distL="0" distR="0">
            <wp:extent cx="5334000" cy="3581400"/>
            <wp:effectExtent t="0" r="0" b="0" l="0"/>
            <wp:docPr id="1" name="Figure 5: Lookups of cdacc.go.ke on the local network DNS server (non-existent domain)" descr="Figure 5: Lookups of cdacc.go.ke on the local network DNS server (non-existent domain)" title="Figure 5: Lookups of cdacc.go.ke on the local network DNS server (non-existent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81400"/>
                    </a:xfrm>
                    <a:prstGeom prst="rect">
                      <a:avLst/>
                    </a:prstGeom>
                  </pic:spPr>
                </pic:pic>
              </a:graphicData>
            </a:graphic>
          </wp:inline>
        </w:drawing>
      </w:r>
    </w:p>
    <w:p>
      <w:pPr>
        <w:spacing w:after="200"/>
      </w:pPr>
      <w:r>
        <w:rPr>
          <w:rFonts w:ascii="Calibri" w:cs="Calibri" w:eastAsia="Calibri" w:hAnsi="Calibri"/>
          <w:i/>
          <w:iCs/>
          <w:color w:val="555555"/>
          <w:sz w:val="19"/>
          <w:szCs w:val="19"/>
        </w:rPr>
        <w:t xml:space="preserve">Figure 5: Lookups of cdacc.go.ke on the local network DNS server (non-existent domain)</w:t>
      </w:r>
    </w:p>
    <w:p>
      <w:pPr>
        <w:spacing w:after="60" w:before="120"/>
      </w:pPr>
      <w:r>
        <w:drawing>
          <wp:inline distT="0" distB="0" distL="0" distR="0">
            <wp:extent cx="5334000" cy="1743075"/>
            <wp:effectExtent t="0" r="0" b="0" l="0"/>
            <wp:docPr id="1" name="Figure 6: Lookup of cdacc.go.ke on Google DNS 8.8.8.8 (non-existent domain)" descr="Figure 6: Lookup of cdacc.go.ke on Google DNS 8.8.8.8 (non-existent domain)" title="Figure 6: Lookup of cdacc.go.ke on Google DNS 8.8.8.8 (non-existent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43075"/>
                    </a:xfrm>
                    <a:prstGeom prst="rect">
                      <a:avLst/>
                    </a:prstGeom>
                  </pic:spPr>
                </pic:pic>
              </a:graphicData>
            </a:graphic>
          </wp:inline>
        </w:drawing>
      </w:r>
    </w:p>
    <w:p>
      <w:pPr>
        <w:spacing w:after="200"/>
      </w:pPr>
      <w:r>
        <w:rPr>
          <w:rFonts w:ascii="Calibri" w:cs="Calibri" w:eastAsia="Calibri" w:hAnsi="Calibri"/>
          <w:i/>
          <w:iCs/>
          <w:color w:val="555555"/>
          <w:sz w:val="19"/>
          <w:szCs w:val="19"/>
        </w:rPr>
        <w:t xml:space="preserve">Figure 6: Lookup of cdacc.go.ke on Google DNS 8.8.8.8 (non-existent domain)</w:t>
      </w:r>
    </w:p>
    <w:p>
      <w:pPr>
        <w:pStyle w:val="Heading1"/>
        <w:spacing w:after="120" w:before="320"/>
      </w:pPr>
      <w:r>
        <w:rPr>
          <w:rFonts w:ascii="Calibri" w:cs="Calibri" w:eastAsia="Calibri" w:hAnsi="Calibri"/>
          <w:b/>
          <w:bCs/>
          <w:color w:val="1F4E3D"/>
          <w:sz w:val="30"/>
          <w:szCs w:val="30"/>
        </w:rPr>
        <w:t xml:space="preserve">6. Observations</w:t>
      </w:r>
    </w:p>
    <w:p>
      <w:pPr>
        <w:pStyle w:val="ListParagraph"/>
        <w:numPr>
          <w:ilvl w:val="0"/>
          <w:numId w:val="2"/>
        </w:numPr>
        <w:spacing w:after="80"/>
      </w:pPr>
      <w:r>
        <w:rPr>
          <w:rFonts w:ascii="Calibri" w:cs="Calibri" w:eastAsia="Calibri" w:hAnsi="Calibri"/>
          <w:sz w:val="22"/>
          <w:szCs w:val="22"/>
        </w:rPr>
        <w:t xml:space="preserve">Expiry: the domain expires on 22 February 2027, so it needs renewing soon to avoid losing the website and email.</w:t>
      </w:r>
    </w:p>
    <w:p>
      <w:pPr>
        <w:pStyle w:val="ListParagraph"/>
        <w:numPr>
          <w:ilvl w:val="0"/>
          <w:numId w:val="2"/>
        </w:numPr>
        <w:spacing w:after="80"/>
      </w:pPr>
      <w:r>
        <w:rPr>
          <w:rFonts w:ascii="Calibri" w:cs="Calibri" w:eastAsia="Calibri" w:hAnsi="Calibri"/>
          <w:sz w:val="22"/>
          <w:szCs w:val="22"/>
        </w:rPr>
        <w:t xml:space="preserve">DNSSEC is unsigned, so DNS answers for this domain are not cryptographically signed. Enabling DNSSEC would be a security improvement.</w:t>
      </w:r>
    </w:p>
    <w:p>
      <w:pPr>
        <w:pStyle w:val="ListParagraph"/>
        <w:numPr>
          <w:ilvl w:val="0"/>
          <w:numId w:val="2"/>
        </w:numPr>
        <w:spacing w:after="80"/>
      </w:pPr>
      <w:r>
        <w:rPr>
          <w:rFonts w:ascii="Calibri" w:cs="Calibri" w:eastAsia="Calibri" w:hAnsi="Calibri"/>
          <w:sz w:val="22"/>
          <w:szCs w:val="22"/>
        </w:rPr>
        <w:t xml:space="preserve">The domain is active and the name servers, website address and mail records all resolve correctly.</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fc9c3341eec31f4887bad45c2d0d7723cda14d.png"/><Relationship Id="rId8" Type="http://schemas.openxmlformats.org/officeDocument/2006/relationships/image" Target="media/1c7545b4b114d2d59ade92070a9d8b25252f3d6d.png"/><Relationship Id="rId9" Type="http://schemas.openxmlformats.org/officeDocument/2006/relationships/image" Target="media/39f02e5b1b35c756c16d5fd7b36e63fadb49cc6c.png"/><Relationship Id="rId10" Type="http://schemas.openxmlformats.org/officeDocument/2006/relationships/image" Target="media/fe32433da137300e403f47744fd06605ed20a9e3.png"/><Relationship Id="rId11" Type="http://schemas.openxmlformats.org/officeDocument/2006/relationships/image" Target="media/eabdabb17a2c99b02321c3d9803402b7e73001ee.png"/><Relationship Id="rId12" Type="http://schemas.openxmlformats.org/officeDocument/2006/relationships/image" Target="media/4c3c6a0f1060238c8152ac9a9fc9d062d071e8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Lookup Report - tvetcdacc.go.ke</dc:title>
  <cp:lastModifiedBy>Un-named</cp:lastModifiedBy>
  <cp:revision>1</cp:revision>
  <dcterms:created xsi:type="dcterms:W3CDTF">2026-10-29T06:24:39.057Z</dcterms:created>
  <dcterms:modified xsi:type="dcterms:W3CDTF">2026-10-29T06:24:39.062Z</dcterms:modified>
</cp:coreProperties>
</file>

<file path=docProps/custom.xml><?xml version="1.0" encoding="utf-8"?>
<Properties xmlns="http://schemas.openxmlformats.org/officeDocument/2006/custom-properties" xmlns:vt="http://schemas.openxmlformats.org/officeDocument/2006/docPropsVTypes"/>
</file>