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0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2130"/>
        <w:gridCol w:w="1290"/>
        <w:gridCol w:w="1395"/>
        <w:gridCol w:w="1560"/>
        <w:gridCol w:w="2910"/>
        <w:gridCol w:w="2265"/>
        <w:tblGridChange w:id="0">
          <w:tblGrid>
            <w:gridCol w:w="2655"/>
            <w:gridCol w:w="2130"/>
            <w:gridCol w:w="1290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03.04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NOTIFICADO POR BACTERIOLOGÍA (+) BACILOS GRAM NEGATIVO SE COMUNICA A DR. SANHUEZA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2 NEGATIVO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21.03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07/03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OK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CX OK EN ESPERA DE HORA URO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1.9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CON CX EN 7 DÍAS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03.04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SE PRESENTA A REUNIÓN CLÍNICA 06.04, MANTENER CURACIONES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EXAMENES  05-04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04.04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+ RX 02.04 </w:t>
            </w: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(AMB APS CONFIRMADA)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2651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MEDICO OK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02.04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04.04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02-04 SACRA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+ CANDIDA ALBICANS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Y 2, CULTIVO GTT, CSB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6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GONZALEZ CANDIA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88 / FX CADERA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02-04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RETIRO GRAPAS 09.04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NEGATIVO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LUZMENIA SOTO ROMÁN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IRA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 X APS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ENTREGAR MEDICAMENTOS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91/ HDA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02-04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OKI 31-03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CONSULTAR HORA TMT PROX SEMANA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FX FÉMUR/ OTITIS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02-04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DIABETES 15 DÍAS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NEUMONÍA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SNY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30.03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RESULTADO CSB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SEPULVEDA RODRIGUEZ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EPA / IRA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MIDLINE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29.03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CECILIA LEON GALLEGOS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 / ITU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7/10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30.03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ELISA GARCIA MOLINA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95 /  FX CADERA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02-04 EVALUAR PRERIODICIDAD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01-04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ORDEN DE CONTROL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NELSON SEPULVEDA SEPULVEDA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 / FX PIERNA I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03-04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31-03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ORDEN DE CONTROL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CORREA ROJAS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81 /  ACV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ECOCARDIO Y HOLTER 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SYLVIA PALACIOS MORALES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INSUF. RESPIRATORIA 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31-03-2026 CURACIONES APS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CORREA ROJAS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31-03-26 ACV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SYLVIA PALACIOS MORALES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31-03-2026  / INSF. RESPIRATORIA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01-04-2026 CURACIONES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ORREGO ROMERO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01-04-2026 ACV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ZOILA QUEZADA JAQUE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01-04-2026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CRISTIAN RAMIREZ SEPULVEDA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01-04-2026 FX TIBIA</w:t>
            </w:r>
          </w:p>
        </w:tc>
      </w:tr>
      <w:tr>
        <w:trPr>
          <w:cantSplit w:val="0"/>
          <w:trHeight w:val="21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SONIA CRISOSTOMO MAUREIRA 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01-04-2026 ENTREGAR MEDICAMENTOS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31 MARZO 01 ABRIL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mltuxGbgfHDVytx7leBJyiZdOQ==">CgMxLjA4AHIhMW9nc1ByTjFXT3VCaHhEVWxicm15MC1jTnpCZ0t2RGhR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