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color w:val="202020"/>
          <w:sz w:val="46"/>
          <w:szCs w:val="46"/>
        </w:rPr>
      </w:pPr>
      <w:bookmarkStart w:colFirst="0" w:colLast="0" w:name="_233t5bbxd3j5" w:id="0"/>
      <w:bookmarkEnd w:id="0"/>
      <w:r w:rsidDel="00000000" w:rsidR="00000000" w:rsidRPr="00000000">
        <w:rPr>
          <w:b w:val="1"/>
          <w:bCs w:val="1"/>
          <w:color w:val="202020"/>
          <w:sz w:val="46"/>
          <w:szCs w:val="46"/>
          <w:rtl w:val="0"/>
        </w:rPr>
        <w:t xml:space="preserve">Análisis de Datos Legacy — HODOM HSC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202020"/>
          <w:sz w:val="34"/>
          <w:szCs w:val="34"/>
        </w:rPr>
      </w:pPr>
      <w:bookmarkStart w:colFirst="0" w:colLast="0" w:name="_kxjqeoeypfgh" w:id="1"/>
      <w:bookmarkEnd w:id="1"/>
      <w:r w:rsidDel="00000000" w:rsidR="00000000" w:rsidRPr="00000000">
        <w:rPr>
          <w:b w:val="1"/>
          <w:bCs w:val="1"/>
          <w:color w:val="202020"/>
          <w:sz w:val="34"/>
          <w:szCs w:val="34"/>
          <w:rtl w:val="0"/>
        </w:rPr>
        <w:t xml:space="preserve">5.186 archivos procesados | Paquete documental inicio Félix Sanhueza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202020"/>
          <w:sz w:val="33"/>
          <w:szCs w:val="33"/>
        </w:rPr>
      </w:pPr>
      <w:bookmarkStart w:colFirst="0" w:colLast="0" w:name="_oeta1p5cg1nd" w:id="2"/>
      <w:bookmarkEnd w:id="2"/>
      <w:r w:rsidDel="00000000" w:rsidR="00000000" w:rsidRPr="00000000">
        <w:rPr>
          <w:b w:val="1"/>
          <w:bCs w:val="1"/>
          <w:color w:val="202020"/>
          <w:sz w:val="33"/>
          <w:szCs w:val="33"/>
          <w:rtl w:val="0"/>
        </w:rPr>
        <w:t xml:space="preserve">Fecha de análisis: 24 marzo 2026 con data 5 Marzo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202020"/>
          <w:sz w:val="34"/>
          <w:szCs w:val="34"/>
        </w:rPr>
      </w:pPr>
      <w:bookmarkStart w:colFirst="0" w:colLast="0" w:name="_b697q2dg1tt" w:id="3"/>
      <w:bookmarkEnd w:id="3"/>
      <w:r w:rsidDel="00000000" w:rsidR="00000000" w:rsidRPr="00000000">
        <w:rPr>
          <w:b w:val="1"/>
          <w:bCs w:val="1"/>
          <w:color w:val="202020"/>
          <w:sz w:val="34"/>
          <w:szCs w:val="34"/>
          <w:rtl w:val="0"/>
        </w:rPr>
        <w:t xml:space="preserve">1. INVENTARIO DEL PAQUETE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0"/>
        <w:gridCol w:w="1905"/>
        <w:gridCol w:w="4290"/>
        <w:tblGridChange w:id="0">
          <w:tblGrid>
            <w:gridCol w:w="2670"/>
            <w:gridCol w:w="1905"/>
            <w:gridCol w:w="429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Carpeta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Archivos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Formulario sin título / DAU-Epicrisis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1.942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PDFs de epicrisis individuales por paciente (nombrados por nombre del paciente)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Epicrisis Enfermería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288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Epicrisis de enfermería (PDF/DOCX)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Entrega Turno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92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Informes de entrega de turno (DOCX) — Ago 2025 a Mar 2026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Registro Diario Pacientes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82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Registros diarios de pacientes activos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Epicrisis Antiguas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47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Epicrisis previas (2023-2024)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Rutas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Planillas de visitas mensuales (XLSX) — 2024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Educaciones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Material educativo para pacientes (PDF folletos)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Estadísticas por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Planillas individuales por enfermera/TENS — Jun-Sep 2023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Curaciones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Registros fotográficos de curaciones avanzadas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HODOM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Documentación campaña 2023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Fonoaudiología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Registros fonoaudiológicos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Archivos raíz (Excel)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Formularios de ingreso, programación, satisfacción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2.572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(sin __MACOSX)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240" w:before="360" w:line="300" w:lineRule="auto"/>
        <w:rPr>
          <w:rFonts w:ascii="Courier New" w:cs="Courier New" w:eastAsia="Courier New" w:hAnsi="Courier New"/>
          <w:b w:val="1"/>
          <w:bCs w:val="1"/>
          <w:color w:val="606060"/>
          <w:sz w:val="33"/>
          <w:szCs w:val="33"/>
          <w:shd w:fill="ececec" w:val="clear"/>
        </w:rPr>
      </w:pPr>
      <w:bookmarkStart w:colFirst="0" w:colLast="0" w:name="_54k9zdhyw0ri" w:id="4"/>
      <w:bookmarkEnd w:id="4"/>
      <w:r w:rsidDel="00000000" w:rsidR="00000000" w:rsidRPr="00000000">
        <w:rPr>
          <w:b w:val="1"/>
          <w:bCs w:val="1"/>
          <w:color w:val="202020"/>
          <w:sz w:val="33"/>
          <w:szCs w:val="33"/>
          <w:rtl w:val="0"/>
        </w:rPr>
        <w:t xml:space="preserve">Base de datos principal: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6060"/>
          <w:sz w:val="33"/>
          <w:szCs w:val="33"/>
          <w:shd w:fill="ececec" w:val="clear"/>
          <w:rtl w:val="0"/>
        </w:rPr>
        <w:t xml:space="preserve">2025 FORMULARIO HODOM.xlsx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1.795 registros de pacientes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(después de limpieza de filas vacías)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26 columnas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: datos demográficos, diagnóstico, servicio origen, CESFAM, prestaciones, COVID, aislamiento, gestor responsable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Período cubierto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: 2023-2025 (acumulado)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202020"/>
          <w:sz w:val="34"/>
          <w:szCs w:val="34"/>
        </w:rPr>
      </w:pPr>
      <w:bookmarkStart w:colFirst="0" w:colLast="0" w:name="_s1stbiqm1b44" w:id="5"/>
      <w:bookmarkEnd w:id="5"/>
      <w:r w:rsidDel="00000000" w:rsidR="00000000" w:rsidRPr="00000000">
        <w:rPr>
          <w:b w:val="1"/>
          <w:bCs w:val="1"/>
          <w:color w:val="202020"/>
          <w:sz w:val="34"/>
          <w:szCs w:val="34"/>
          <w:rtl w:val="0"/>
        </w:rPr>
        <w:t xml:space="preserve">2. PERFIL EPIDEMIOLÓGICO DE LA POBLACIÓN HODOM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202020"/>
          <w:sz w:val="33"/>
          <w:szCs w:val="33"/>
        </w:rPr>
      </w:pPr>
      <w:bookmarkStart w:colFirst="0" w:colLast="0" w:name="_tkmrmpc6t9rb" w:id="6"/>
      <w:bookmarkEnd w:id="6"/>
      <w:r w:rsidDel="00000000" w:rsidR="00000000" w:rsidRPr="00000000">
        <w:rPr>
          <w:b w:val="1"/>
          <w:bCs w:val="1"/>
          <w:color w:val="202020"/>
          <w:sz w:val="33"/>
          <w:szCs w:val="33"/>
          <w:rtl w:val="0"/>
        </w:rPr>
        <w:t xml:space="preserve">2.1 Demografía</w:t>
      </w:r>
    </w:p>
    <w:tbl>
      <w:tblPr>
        <w:tblStyle w:val="Table2"/>
        <w:tblW w:w="3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1530"/>
        <w:tblGridChange w:id="0">
          <w:tblGrid>
            <w:gridCol w:w="1860"/>
            <w:gridCol w:w="153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N total registros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1.795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Edad promedio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70.1 años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Mujeres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977 (54.4%)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Hombres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808 (45.0%)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Otros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2 (0.1%)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Sin dato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8 (0.4%)</w:t>
            </w:r>
          </w:p>
        </w:tc>
      </w:tr>
    </w:tbl>
    <w:p w:rsidR="00000000" w:rsidDel="00000000" w:rsidP="00000000" w:rsidRDefault="00000000" w:rsidRPr="00000000" w14:paraId="00000045">
      <w:pPr>
        <w:spacing w:after="240" w:lineRule="auto"/>
        <w:rPr>
          <w:b w:val="1"/>
          <w:bCs w:val="1"/>
          <w:color w:val="202020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Distribución etaria:</w:t>
      </w:r>
    </w:p>
    <w:tbl>
      <w:tblPr>
        <w:tblStyle w:val="Table3"/>
        <w:tblW w:w="7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720"/>
        <w:gridCol w:w="990"/>
        <w:gridCol w:w="4755"/>
        <w:tblGridChange w:id="0">
          <w:tblGrid>
            <w:gridCol w:w="1215"/>
            <w:gridCol w:w="720"/>
            <w:gridCol w:w="990"/>
            <w:gridCol w:w="475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&lt;40 años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7.0%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Pacientes jóvenes con patología aguda simple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40-59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283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15.8%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Adultos con comorbilidades incipientes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60-69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326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18.2%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Adultos mayores jóvenes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70-79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433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24.2%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Grupo más grande por década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80-89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480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26.8%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Mayor grupo — fragilidad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020"/>
                <w:sz w:val="21"/>
                <w:szCs w:val="21"/>
                <w:rtl w:val="0"/>
              </w:rPr>
              <w:t xml:space="preserve">≥90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143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8.0%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Nonagenarios — máxima fragilidad</w:t>
            </w:r>
          </w:p>
        </w:tc>
      </w:tr>
    </w:tbl>
    <w:p w:rsidR="00000000" w:rsidDel="00000000" w:rsidP="00000000" w:rsidRDefault="00000000" w:rsidRPr="00000000" w14:paraId="00000062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Insight clave:</w:t>
      </w:r>
      <w:r w:rsidDel="00000000" w:rsidR="00000000" w:rsidRPr="00000000">
        <w:rPr>
          <w:rFonts w:ascii="Arial Unicode MS" w:cs="Arial Unicode MS" w:eastAsia="Arial Unicode MS" w:hAnsi="Arial Unicode MS"/>
          <w:color w:val="202020"/>
          <w:sz w:val="21"/>
          <w:szCs w:val="21"/>
          <w:rtl w:val="0"/>
        </w:rPr>
        <w:t xml:space="preserve"> El 59% de los pacientes tiene ≥70 años y el 35% tiene ≥80. Esta es exactamente la población que más se beneficia del modelo HaH según la evidencia (Shepperd 2022: reducción de delirium 62%, reducción de institucionalización 42% en ≥65 años).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202020"/>
          <w:sz w:val="33"/>
          <w:szCs w:val="33"/>
        </w:rPr>
      </w:pPr>
      <w:bookmarkStart w:colFirst="0" w:colLast="0" w:name="_h8ozsqcf16py" w:id="7"/>
      <w:bookmarkEnd w:id="7"/>
      <w:r w:rsidDel="00000000" w:rsidR="00000000" w:rsidRPr="00000000">
        <w:rPr>
          <w:b w:val="1"/>
          <w:bCs w:val="1"/>
          <w:color w:val="202020"/>
          <w:sz w:val="33"/>
          <w:szCs w:val="33"/>
          <w:rtl w:val="0"/>
        </w:rPr>
        <w:t xml:space="preserve">2.2 Previsión</w:t>
      </w:r>
    </w:p>
    <w:tbl>
      <w:tblPr>
        <w:tblStyle w:val="Table4"/>
        <w:tblW w:w="3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840"/>
        <w:gridCol w:w="915"/>
        <w:tblGridChange w:id="0">
          <w:tblGrid>
            <w:gridCol w:w="1350"/>
            <w:gridCol w:w="840"/>
            <w:gridCol w:w="91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Previsión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FONASA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1.408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78.4%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FONASA 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166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9.2%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FONASA C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92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5.1%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FONASA 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4.5%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PRAIS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2.2%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Sin dato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0.5%</w:t>
            </w:r>
          </w:p>
        </w:tc>
      </w:tr>
    </w:tbl>
    <w:p w:rsidR="00000000" w:rsidDel="00000000" w:rsidP="00000000" w:rsidRDefault="00000000" w:rsidRPr="00000000" w14:paraId="00000079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Insight:</w:t>
      </w:r>
      <w:r w:rsidDel="00000000" w:rsidR="00000000" w:rsidRPr="00000000">
        <w:rPr>
          <w:rFonts w:ascii="Arial Unicode MS" w:cs="Arial Unicode MS" w:eastAsia="Arial Unicode MS" w:hAnsi="Arial Unicode MS"/>
          <w:color w:val="202020"/>
          <w:sz w:val="21"/>
          <w:szCs w:val="21"/>
          <w:rtl w:val="0"/>
        </w:rPr>
        <w:t xml:space="preserve"> 87.6% FONASA A+B → población predominantemente de bajos ingresos. Esto tiene implicancias para: acceso a medicamentos, condiciones de vivienda, disponibilidad de cuidador, alfabetización digital. Cualquier sistema web debe considerar esta realidad socioeconómica.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202020"/>
          <w:sz w:val="33"/>
          <w:szCs w:val="33"/>
        </w:rPr>
      </w:pPr>
      <w:bookmarkStart w:colFirst="0" w:colLast="0" w:name="_mq9cedbm5ysi" w:id="8"/>
      <w:bookmarkEnd w:id="8"/>
      <w:r w:rsidDel="00000000" w:rsidR="00000000" w:rsidRPr="00000000">
        <w:rPr>
          <w:b w:val="1"/>
          <w:bCs w:val="1"/>
          <w:color w:val="202020"/>
          <w:sz w:val="33"/>
          <w:szCs w:val="33"/>
          <w:rtl w:val="0"/>
        </w:rPr>
        <w:t xml:space="preserve">2.3 CESFAM de origen</w:t>
      </w:r>
    </w:p>
    <w:tbl>
      <w:tblPr>
        <w:tblStyle w:val="Table5"/>
        <w:tblW w:w="5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5"/>
        <w:gridCol w:w="780"/>
        <w:gridCol w:w="930"/>
        <w:tblGridChange w:id="0">
          <w:tblGrid>
            <w:gridCol w:w="3345"/>
            <w:gridCol w:w="780"/>
            <w:gridCol w:w="93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CESFAM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Teresa Baldecchi (San Carlos)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556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31.0%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Otros / fuera de red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527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29.4%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José Durán Trujillo (San Carlos)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273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15.2%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Ñiquén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167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9.3%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San Nicolás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89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5.0%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Sin dato / irregulares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~183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10.2%</w:t>
            </w:r>
          </w:p>
        </w:tc>
      </w:tr>
    </w:tbl>
    <w:p w:rsidR="00000000" w:rsidDel="00000000" w:rsidP="00000000" w:rsidRDefault="00000000" w:rsidRPr="00000000" w14:paraId="00000090">
      <w:pPr>
        <w:spacing w:after="240" w:lineRule="auto"/>
        <w:rPr>
          <w:b w:val="1"/>
          <w:bCs w:val="1"/>
          <w:color w:val="202020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Insights: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46.2% proviene de los 2 CESFAM de San Carlos</w:t>
      </w:r>
      <w:r w:rsidDel="00000000" w:rsidR="00000000" w:rsidRPr="00000000">
        <w:rPr>
          <w:rFonts w:ascii="Arial Unicode MS" w:cs="Arial Unicode MS" w:eastAsia="Arial Unicode MS" w:hAnsi="Arial Unicode MS"/>
          <w:color w:val="202020"/>
          <w:sz w:val="21"/>
          <w:szCs w:val="21"/>
          <w:rtl w:val="0"/>
        </w:rPr>
        <w:t xml:space="preserve"> → Focalizar enlace APS aquí primero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29.4% marcado como "Otro"</w:t>
      </w:r>
      <w:r w:rsidDel="00000000" w:rsidR="00000000" w:rsidRPr="00000000">
        <w:rPr>
          <w:rFonts w:ascii="Arial Unicode MS" w:cs="Arial Unicode MS" w:eastAsia="Arial Unicode MS" w:hAnsi="Arial Unicode MS"/>
          <w:color w:val="202020"/>
          <w:sz w:val="21"/>
          <w:szCs w:val="21"/>
          <w:rtl w:val="0"/>
        </w:rPr>
        <w:t xml:space="preserve"> → Pacientes de comunas fuera de la red que consultan en UEA HSC (Maule, Chillán, comunas costeras). Confirma lo reportado en el proyecto BIP.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Ñiquén y San Nicolás</w:t>
      </w:r>
      <w:r w:rsidDel="00000000" w:rsidR="00000000" w:rsidRPr="00000000">
        <w:rPr>
          <w:rFonts w:ascii="Arial Unicode MS" w:cs="Arial Unicode MS" w:eastAsia="Arial Unicode MS" w:hAnsi="Arial Unicode MS"/>
          <w:color w:val="202020"/>
          <w:sz w:val="21"/>
          <w:szCs w:val="21"/>
          <w:rtl w:val="0"/>
        </w:rPr>
        <w:t xml:space="preserve"> juntos = 14.3% → Cobertura territorial funcional fuera de San Carlos urbano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10% con dato irregular</w:t>
      </w:r>
      <w:r w:rsidDel="00000000" w:rsidR="00000000" w:rsidRPr="00000000">
        <w:rPr>
          <w:rFonts w:ascii="Arial Unicode MS" w:cs="Arial Unicode MS" w:eastAsia="Arial Unicode MS" w:hAnsi="Arial Unicode MS"/>
          <w:color w:val="202020"/>
          <w:sz w:val="21"/>
          <w:szCs w:val="21"/>
          <w:rtl w:val="0"/>
        </w:rPr>
        <w:t xml:space="preserve"> → Problema de calidad de registro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202020"/>
          <w:sz w:val="34"/>
          <w:szCs w:val="34"/>
        </w:rPr>
      </w:pPr>
      <w:bookmarkStart w:colFirst="0" w:colLast="0" w:name="_hxqfdrc8n8oq" w:id="9"/>
      <w:bookmarkEnd w:id="9"/>
      <w:r w:rsidDel="00000000" w:rsidR="00000000" w:rsidRPr="00000000">
        <w:rPr>
          <w:b w:val="1"/>
          <w:bCs w:val="1"/>
          <w:color w:val="202020"/>
          <w:sz w:val="34"/>
          <w:szCs w:val="34"/>
          <w:rtl w:val="0"/>
        </w:rPr>
        <w:t xml:space="preserve">3. PERFIL CLÍNICO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202020"/>
          <w:sz w:val="33"/>
          <w:szCs w:val="33"/>
        </w:rPr>
      </w:pPr>
      <w:bookmarkStart w:colFirst="0" w:colLast="0" w:name="_85felo7lh1ty" w:id="10"/>
      <w:bookmarkEnd w:id="10"/>
      <w:r w:rsidDel="00000000" w:rsidR="00000000" w:rsidRPr="00000000">
        <w:rPr>
          <w:b w:val="1"/>
          <w:bCs w:val="1"/>
          <w:color w:val="202020"/>
          <w:sz w:val="33"/>
          <w:szCs w:val="33"/>
          <w:rtl w:val="0"/>
        </w:rPr>
        <w:t xml:space="preserve">3.1 Diagnósticos principales (top 20)</w:t>
      </w:r>
    </w:p>
    <w:tbl>
      <w:tblPr>
        <w:tblStyle w:val="Table6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95"/>
        <w:gridCol w:w="3495"/>
        <w:gridCol w:w="960"/>
        <w:tblGridChange w:id="0">
          <w:tblGrid>
            <w:gridCol w:w="4395"/>
            <w:gridCol w:w="3495"/>
            <w:gridCol w:w="96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ITU / Infección urinaria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219 (ITU+IVU+PNA)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12.2%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Neumonía / BNM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198 (NAC+BNM+NAC bacteriana)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11.0%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ACV / Infarto cerebral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62 (ACV+AVE+infarto cerebral)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3.5%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Insuficiencia respiratoria aguda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34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1.9%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Fractura cuello fémur / pertrocanteriana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1.6%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Celulitis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0.5%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Insuficiencia cardíaca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0.6%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DM con complicación circulatoria periférica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0.5%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Bronquitis aguda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0.6%</w:t>
            </w:r>
          </w:p>
        </w:tc>
      </w:tr>
    </w:tbl>
    <w:p w:rsidR="00000000" w:rsidDel="00000000" w:rsidP="00000000" w:rsidRDefault="00000000" w:rsidRPr="00000000" w14:paraId="000000B6">
      <w:pPr>
        <w:spacing w:after="240" w:lineRule="auto"/>
        <w:rPr>
          <w:b w:val="1"/>
          <w:bCs w:val="1"/>
          <w:color w:val="202020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Insights: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ITU + Neumonía = 23.2% de todos los ingresos</w:t>
      </w:r>
      <w:r w:rsidDel="00000000" w:rsidR="00000000" w:rsidRPr="00000000">
        <w:rPr>
          <w:rFonts w:ascii="Arial Unicode MS" w:cs="Arial Unicode MS" w:eastAsia="Arial Unicode MS" w:hAnsi="Arial Unicode MS"/>
          <w:color w:val="202020"/>
          <w:sz w:val="21"/>
          <w:szCs w:val="21"/>
          <w:rtl w:val="0"/>
        </w:rPr>
        <w:t xml:space="preserve"> → Son las 2 patologías dominantes, ambas con protocolo de ATB EV c/12-24h. Alta estandarización posible.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ACV es el 3er diagnóstico</w:t>
      </w:r>
      <w:r w:rsidDel="00000000" w:rsidR="00000000" w:rsidRPr="00000000">
        <w:rPr>
          <w:rFonts w:ascii="Arial Unicode MS" w:cs="Arial Unicode MS" w:eastAsia="Arial Unicode MS" w:hAnsi="Arial Unicode MS"/>
          <w:color w:val="202020"/>
          <w:sz w:val="21"/>
          <w:szCs w:val="21"/>
          <w:rtl w:val="0"/>
        </w:rPr>
        <w:t xml:space="preserve"> → Rehabilitación motora/deglutoria intensiva domiciliaria. Requiere kinesiología + fonoaudiología diaria.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Fracturas de fémur</w:t>
      </w:r>
      <w:r w:rsidDel="00000000" w:rsidR="00000000" w:rsidRPr="00000000">
        <w:rPr>
          <w:rFonts w:ascii="Arial Unicode MS" w:cs="Arial Unicode MS" w:eastAsia="Arial Unicode MS" w:hAnsi="Arial Unicode MS"/>
          <w:color w:val="202020"/>
          <w:sz w:val="21"/>
          <w:szCs w:val="21"/>
          <w:rtl w:val="0"/>
        </w:rPr>
        <w:t xml:space="preserve"> representan un volumen significativo → Son post-quirúrgicos que requieren rehabilitación motora.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Insuficiencia respiratoria aguda aparece como diagnóstico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— esto requiere revisión: ¿son pacientes que realmente se manejan en domicilio con IRA? ¿O es el diagnóstico de ingreso hospitalario y luego se estabilizan?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La cartera real es más amplia que la protocolar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— el protocolo PRO-002 lista 7-8 patologías, pero los datos muestran &gt;50 diagnósticos distintos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202020"/>
          <w:sz w:val="33"/>
          <w:szCs w:val="33"/>
        </w:rPr>
      </w:pPr>
      <w:bookmarkStart w:colFirst="0" w:colLast="0" w:name="_avcdjfafolv0" w:id="11"/>
      <w:bookmarkEnd w:id="11"/>
      <w:r w:rsidDel="00000000" w:rsidR="00000000" w:rsidRPr="00000000">
        <w:rPr>
          <w:b w:val="1"/>
          <w:bCs w:val="1"/>
          <w:color w:val="202020"/>
          <w:sz w:val="33"/>
          <w:szCs w:val="33"/>
          <w:rtl w:val="0"/>
        </w:rPr>
        <w:t xml:space="preserve">3.2 Servicio de origen de la solicitud</w:t>
      </w:r>
    </w:p>
    <w:tbl>
      <w:tblPr>
        <w:tblStyle w:val="Table7"/>
        <w:tblW w:w="3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675"/>
        <w:gridCol w:w="990"/>
        <w:tblGridChange w:id="0">
          <w:tblGrid>
            <w:gridCol w:w="1740"/>
            <w:gridCol w:w="675"/>
            <w:gridCol w:w="99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Medicina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766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42.7%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Urgencia (UE)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574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32.0%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Traumatología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168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9.4%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Cirugía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137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7.6%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UTI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41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2.3%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Ginecología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1.2%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CMI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0.9%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CAE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0.9%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Pediatría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0.7%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UCI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0.3%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Otros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36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2.0%</w:t>
            </w:r>
          </w:p>
        </w:tc>
      </w:tr>
    </w:tbl>
    <w:p w:rsidR="00000000" w:rsidDel="00000000" w:rsidP="00000000" w:rsidRDefault="00000000" w:rsidRPr="00000000" w14:paraId="000000E1">
      <w:pPr>
        <w:spacing w:after="240" w:lineRule="auto"/>
        <w:rPr>
          <w:b w:val="1"/>
          <w:bCs w:val="1"/>
          <w:color w:val="202020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Insights: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Medicina + UE = 74.7%</w:t>
      </w:r>
      <w:r w:rsidDel="00000000" w:rsidR="00000000" w:rsidRPr="00000000">
        <w:rPr>
          <w:rFonts w:ascii="Arial Unicode MS" w:cs="Arial Unicode MS" w:eastAsia="Arial Unicode MS" w:hAnsi="Arial Unicode MS"/>
          <w:color w:val="202020"/>
          <w:sz w:val="21"/>
          <w:szCs w:val="21"/>
          <w:rtl w:val="0"/>
        </w:rPr>
        <w:t xml:space="preserve"> de todas las derivaciones → Estos 2 servicios son el motor de HODOM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Urgencia como segundo mayor derivador (32%)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confirma que HODOM está sirviendo como válvula de descompresión de la UEA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Traumatología 9.4%</w:t>
      </w:r>
      <w:r w:rsidDel="00000000" w:rsidR="00000000" w:rsidRPr="00000000">
        <w:rPr>
          <w:rFonts w:ascii="Arial Unicode MS" w:cs="Arial Unicode MS" w:eastAsia="Arial Unicode MS" w:hAnsi="Arial Unicode MS"/>
          <w:color w:val="202020"/>
          <w:sz w:val="21"/>
          <w:szCs w:val="21"/>
          <w:rtl w:val="0"/>
        </w:rPr>
        <w:t xml:space="preserve"> → Fracturados estables con rehabilitación domiciliaria, un volumen no despreciable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UTI/UCI derivan 2.6%</w:t>
      </w:r>
      <w:r w:rsidDel="00000000" w:rsidR="00000000" w:rsidRPr="00000000">
        <w:rPr>
          <w:rFonts w:ascii="Arial Unicode MS" w:cs="Arial Unicode MS" w:eastAsia="Arial Unicode MS" w:hAnsi="Arial Unicode MS"/>
          <w:color w:val="202020"/>
          <w:sz w:val="21"/>
          <w:szCs w:val="21"/>
          <w:rtl w:val="0"/>
        </w:rPr>
        <w:t xml:space="preserve"> → Pacientes de mayor complejidad que egresan a HODOM como step-down. Esto no está en el protocolo PRO-002 actual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12 pacientes pediátricos</w:t>
      </w:r>
      <w:r w:rsidDel="00000000" w:rsidR="00000000" w:rsidRPr="00000000">
        <w:rPr>
          <w:rFonts w:ascii="Arial Unicode MS" w:cs="Arial Unicode MS" w:eastAsia="Arial Unicode MS" w:hAnsi="Arial Unicode MS"/>
          <w:color w:val="202020"/>
          <w:sz w:val="21"/>
          <w:szCs w:val="21"/>
          <w:rtl w:val="0"/>
        </w:rPr>
        <w:t xml:space="preserve"> registrados → El protocolo dice "adultos de 15 años y en casos especiales pediátricos" — hay uso real pediátrico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202020"/>
          <w:sz w:val="33"/>
          <w:szCs w:val="33"/>
        </w:rPr>
      </w:pPr>
      <w:bookmarkStart w:colFirst="0" w:colLast="0" w:name="_gnkiaa3txkse" w:id="12"/>
      <w:bookmarkEnd w:id="12"/>
      <w:r w:rsidDel="00000000" w:rsidR="00000000" w:rsidRPr="00000000">
        <w:rPr>
          <w:b w:val="1"/>
          <w:bCs w:val="1"/>
          <w:color w:val="202020"/>
          <w:sz w:val="33"/>
          <w:szCs w:val="33"/>
          <w:rtl w:val="0"/>
        </w:rPr>
        <w:t xml:space="preserve">3.3 Prestaciones solicitadas (top 10)</w:t>
      </w:r>
    </w:p>
    <w:tbl>
      <w:tblPr>
        <w:tblStyle w:val="Table8"/>
        <w:tblW w:w="5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55"/>
        <w:gridCol w:w="690"/>
        <w:gridCol w:w="900"/>
        <w:tblGridChange w:id="0">
          <w:tblGrid>
            <w:gridCol w:w="4155"/>
            <w:gridCol w:w="690"/>
            <w:gridCol w:w="9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Prestación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Administración tratamiento 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340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18.9%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Tratamiento EV + KTR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170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9.5%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Exámenes sangre + tratamiento EV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118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6.6%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KTM + evaluación fonoaudióloga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83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4.6%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Curación simple + KTM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4.5%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KTM sola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64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3.6%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Evaluación médica + exámenes + tto EV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62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3.5%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KTR sola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58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3.2%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Curación avanzada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55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3.1%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Curación avanzada + KTM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52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2.9%</w:t>
            </w:r>
          </w:p>
        </w:tc>
      </w:tr>
    </w:tbl>
    <w:p w:rsidR="00000000" w:rsidDel="00000000" w:rsidP="00000000" w:rsidRDefault="00000000" w:rsidRPr="00000000" w14:paraId="00000109">
      <w:pPr>
        <w:spacing w:after="240" w:lineRule="auto"/>
        <w:rPr>
          <w:b w:val="1"/>
          <w:bCs w:val="1"/>
          <w:color w:val="202020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Insights: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Tratamiento EV es la prestación dominante</w:t>
      </w:r>
      <w:r w:rsidDel="00000000" w:rsidR="00000000" w:rsidRPr="00000000">
        <w:rPr>
          <w:rFonts w:ascii="Arial Unicode MS" w:cs="Arial Unicode MS" w:eastAsia="Arial Unicode MS" w:hAnsi="Arial Unicode MS"/>
          <w:color w:val="202020"/>
          <w:sz w:val="21"/>
          <w:szCs w:val="21"/>
          <w:rtl w:val="0"/>
        </w:rPr>
        <w:t xml:space="preserve"> (presente en ~45% de las solicitudes en alguna combinación) → Es el core operativo de HODOM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Kinesiología (motora + respiratoria)</w:t>
      </w:r>
      <w:r w:rsidDel="00000000" w:rsidR="00000000" w:rsidRPr="00000000">
        <w:rPr>
          <w:rFonts w:ascii="Arial Unicode MS" w:cs="Arial Unicode MS" w:eastAsia="Arial Unicode MS" w:hAnsi="Arial Unicode MS"/>
          <w:color w:val="202020"/>
          <w:sz w:val="21"/>
          <w:szCs w:val="21"/>
          <w:rtl w:val="0"/>
        </w:rPr>
        <w:t xml:space="preserve"> aparece en ~40% de las prestaciones → Confirma que los kinesiólogos son esenciales, no complementarios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Fonoaudiología</w:t>
      </w:r>
      <w:r w:rsidDel="00000000" w:rsidR="00000000" w:rsidRPr="00000000">
        <w:rPr>
          <w:rFonts w:ascii="Arial Unicode MS" w:cs="Arial Unicode MS" w:eastAsia="Arial Unicode MS" w:hAnsi="Arial Unicode MS"/>
          <w:color w:val="202020"/>
          <w:sz w:val="21"/>
          <w:szCs w:val="21"/>
          <w:rtl w:val="0"/>
        </w:rPr>
        <w:t xml:space="preserve"> aparece frecuentemente asociada a KTM → Pacientes post-ACV con doble necesidad rehabilitadora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Curaciones avanzadas</w:t>
      </w:r>
      <w:r w:rsidDel="00000000" w:rsidR="00000000" w:rsidRPr="00000000">
        <w:rPr>
          <w:rFonts w:ascii="Arial Unicode MS" w:cs="Arial Unicode MS" w:eastAsia="Arial Unicode MS" w:hAnsi="Arial Unicode MS"/>
          <w:color w:val="202020"/>
          <w:sz w:val="21"/>
          <w:szCs w:val="21"/>
          <w:rtl w:val="0"/>
        </w:rPr>
        <w:t xml:space="preserve"> = ~10% → Requiere enfermería especializada y stock de insumos de curación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202020"/>
          <w:sz w:val="34"/>
          <w:szCs w:val="34"/>
        </w:rPr>
      </w:pPr>
      <w:bookmarkStart w:colFirst="0" w:colLast="0" w:name="_808fc6f98nxr" w:id="13"/>
      <w:bookmarkEnd w:id="13"/>
      <w:r w:rsidDel="00000000" w:rsidR="00000000" w:rsidRPr="00000000">
        <w:rPr>
          <w:b w:val="1"/>
          <w:bCs w:val="1"/>
          <w:color w:val="202020"/>
          <w:sz w:val="34"/>
          <w:szCs w:val="34"/>
          <w:rtl w:val="0"/>
        </w:rPr>
        <w:t xml:space="preserve">4. GESTIÓN OPERATIVA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202020"/>
          <w:sz w:val="33"/>
          <w:szCs w:val="33"/>
        </w:rPr>
      </w:pPr>
      <w:bookmarkStart w:colFirst="0" w:colLast="0" w:name="_8oscz76yk1tk" w:id="14"/>
      <w:bookmarkEnd w:id="14"/>
      <w:r w:rsidDel="00000000" w:rsidR="00000000" w:rsidRPr="00000000">
        <w:rPr>
          <w:b w:val="1"/>
          <w:bCs w:val="1"/>
          <w:color w:val="202020"/>
          <w:sz w:val="33"/>
          <w:szCs w:val="33"/>
          <w:rtl w:val="0"/>
        </w:rPr>
        <w:t xml:space="preserve">4.1 Gestoras (quién ingresa pacientes al sistema)</w:t>
      </w:r>
    </w:p>
    <w:tbl>
      <w:tblPr>
        <w:tblStyle w:val="Table9"/>
        <w:tblW w:w="3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780"/>
        <w:gridCol w:w="900"/>
        <w:tblGridChange w:id="0">
          <w:tblGrid>
            <w:gridCol w:w="2175"/>
            <w:gridCol w:w="780"/>
            <w:gridCol w:w="9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Gestora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Melissa Sepúlveda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348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19.4%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Doris González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242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13.5%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Helen López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208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11.6%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Pía Vásquez M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226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12.6%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Melissa Rivera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255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14.2%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Camila Bustamante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195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10.9%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Otras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~321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17.9%</w:t>
            </w:r>
          </w:p>
        </w:tc>
      </w:tr>
    </w:tbl>
    <w:p w:rsidR="00000000" w:rsidDel="00000000" w:rsidP="00000000" w:rsidRDefault="00000000" w:rsidRPr="00000000" w14:paraId="00000129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Insight: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6 gestoras concentran el 82% de los ingresos. Son las enfermeras operativas que hacen screening, evaluación y registro. Melissa Sepúlveda (coordinadora) es la gestora más activa.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202020"/>
          <w:sz w:val="33"/>
          <w:szCs w:val="33"/>
        </w:rPr>
      </w:pPr>
      <w:bookmarkStart w:colFirst="0" w:colLast="0" w:name="_mqrxrj4e0xkk" w:id="15"/>
      <w:bookmarkEnd w:id="15"/>
      <w:r w:rsidDel="00000000" w:rsidR="00000000" w:rsidRPr="00000000">
        <w:rPr>
          <w:b w:val="1"/>
          <w:bCs w:val="1"/>
          <w:color w:val="202020"/>
          <w:sz w:val="33"/>
          <w:szCs w:val="33"/>
          <w:rtl w:val="0"/>
        </w:rPr>
        <w:t xml:space="preserve">4.2 COVID-19 y aislamiento</w:t>
      </w:r>
    </w:p>
    <w:tbl>
      <w:tblPr>
        <w:tblStyle w:val="Table10"/>
        <w:tblW w:w="3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810"/>
        <w:gridCol w:w="885"/>
        <w:tblGridChange w:id="0">
          <w:tblGrid>
            <w:gridCol w:w="1410"/>
            <w:gridCol w:w="810"/>
            <w:gridCol w:w="8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COVID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1.274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71.0%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Sin examen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497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27.7%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0.9%</w:t>
            </w:r>
          </w:p>
        </w:tc>
      </w:tr>
    </w:tbl>
    <w:p w:rsidR="00000000" w:rsidDel="00000000" w:rsidP="00000000" w:rsidRDefault="00000000" w:rsidRPr="00000000" w14:paraId="00000137">
      <w:pPr>
        <w:rPr>
          <w:color w:val="202020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795"/>
        <w:gridCol w:w="5790"/>
        <w:tblGridChange w:id="0">
          <w:tblGrid>
            <w:gridCol w:w="1530"/>
            <w:gridCol w:w="795"/>
            <w:gridCol w:w="579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Aislamiento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1.691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94.2%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Sí (diversos)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~100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Contacto, protector, Influenza, Clostridium, COVID, BLEE</w:t>
            </w:r>
          </w:p>
        </w:tc>
      </w:tr>
    </w:tbl>
    <w:p w:rsidR="00000000" w:rsidDel="00000000" w:rsidP="00000000" w:rsidRDefault="00000000" w:rsidRPr="00000000" w14:paraId="00000141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Insight: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COVID ya es marginal (0.9%). Los aislamientos relevantes son por microorganismos multirresistentes (Clostridium, BLEE, Klebsiella) y virus respiratorios estacionales (Influenza). Esto refuerza la necesidad de protocolos de IAAS domiciliaria.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202020"/>
          <w:sz w:val="33"/>
          <w:szCs w:val="33"/>
        </w:rPr>
      </w:pPr>
      <w:bookmarkStart w:colFirst="0" w:colLast="0" w:name="_lk9ja973fvhr" w:id="16"/>
      <w:bookmarkEnd w:id="16"/>
      <w:r w:rsidDel="00000000" w:rsidR="00000000" w:rsidRPr="00000000">
        <w:rPr>
          <w:b w:val="1"/>
          <w:bCs w:val="1"/>
          <w:color w:val="202020"/>
          <w:sz w:val="33"/>
          <w:szCs w:val="33"/>
          <w:rtl w:val="0"/>
        </w:rPr>
        <w:t xml:space="preserve">4.3 Documentación de entrega de turno</w:t>
      </w:r>
    </w:p>
    <w:p w:rsidR="00000000" w:rsidDel="00000000" w:rsidP="00000000" w:rsidRDefault="00000000" w:rsidRPr="00000000" w14:paraId="0000014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92 documentos de entrega de turno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(Ago 2025 a Mar 2026)</w:t>
      </w:r>
    </w:p>
    <w:p w:rsidR="00000000" w:rsidDel="00000000" w:rsidP="00000000" w:rsidRDefault="00000000" w:rsidRPr="00000000" w14:paraId="0000014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Formato: DOCX con lista de pacientes activos, estado, indicaciones pendientes</w:t>
      </w:r>
    </w:p>
    <w:p w:rsidR="00000000" w:rsidDel="00000000" w:rsidP="00000000" w:rsidRDefault="00000000" w:rsidRPr="00000000" w14:paraId="00000145">
      <w:pPr>
        <w:numPr>
          <w:ilvl w:val="0"/>
          <w:numId w:val="8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Frecuencia:</w:t>
      </w:r>
      <w:r w:rsidDel="00000000" w:rsidR="00000000" w:rsidRPr="00000000">
        <w:rPr>
          <w:rFonts w:ascii="Arial Unicode MS" w:cs="Arial Unicode MS" w:eastAsia="Arial Unicode MS" w:hAnsi="Arial Unicode MS"/>
          <w:color w:val="202020"/>
          <w:sz w:val="21"/>
          <w:szCs w:val="21"/>
          <w:rtl w:val="0"/>
        </w:rPr>
        <w:t xml:space="preserve"> cada 2 días (cuarto turno largo-largo-libre-libre) → consistente con el modelo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202020"/>
          <w:sz w:val="33"/>
          <w:szCs w:val="33"/>
        </w:rPr>
      </w:pPr>
      <w:bookmarkStart w:colFirst="0" w:colLast="0" w:name="_iek2nf5hfr5p" w:id="17"/>
      <w:bookmarkEnd w:id="17"/>
      <w:r w:rsidDel="00000000" w:rsidR="00000000" w:rsidRPr="00000000">
        <w:rPr>
          <w:b w:val="1"/>
          <w:bCs w:val="1"/>
          <w:color w:val="202020"/>
          <w:sz w:val="33"/>
          <w:szCs w:val="33"/>
          <w:rtl w:val="0"/>
        </w:rPr>
        <w:t xml:space="preserve">4.4 Planillas de rutas (2024)</w:t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12 archivos mensuales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(Ene-Dic 2024) con programación de visitas por día</w:t>
      </w:r>
    </w:p>
    <w:p w:rsidR="00000000" w:rsidDel="00000000" w:rsidP="00000000" w:rsidRDefault="00000000" w:rsidRPr="00000000" w14:paraId="0000014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Formato: XLSX con columnas fecha, hora, médico, fono, kine, enfermera, TENS, paciente</w:t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Insight de febrero 2026: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Planillas diarias con 15-25 pacientes/día, rutas de 3 móviles, asignación de profesionales por visita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202020"/>
          <w:sz w:val="34"/>
          <w:szCs w:val="34"/>
        </w:rPr>
      </w:pPr>
      <w:bookmarkStart w:colFirst="0" w:colLast="0" w:name="_rp38adsh5x0q" w:id="18"/>
      <w:bookmarkEnd w:id="18"/>
      <w:r w:rsidDel="00000000" w:rsidR="00000000" w:rsidRPr="00000000">
        <w:rPr>
          <w:b w:val="1"/>
          <w:bCs w:val="1"/>
          <w:color w:val="202020"/>
          <w:sz w:val="34"/>
          <w:szCs w:val="34"/>
          <w:rtl w:val="0"/>
        </w:rPr>
        <w:t xml:space="preserve">5. CALIDAD DEL REGISTRO — PROBLEMAS DETECTADOS</w:t>
      </w:r>
    </w:p>
    <w:tbl>
      <w:tblPr>
        <w:tblStyle w:val="Table12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2940"/>
        <w:gridCol w:w="1830"/>
        <w:gridCol w:w="2085"/>
        <w:tblGridChange w:id="0">
          <w:tblGrid>
            <w:gridCol w:w="2010"/>
            <w:gridCol w:w="2940"/>
            <w:gridCol w:w="1830"/>
            <w:gridCol w:w="20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Recomendación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Nombres de archivos inconsistentes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PDFs de epicrisis nombrados manualmente, algunos con fecha, otros sin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Difícil búsqueda retrospectiva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Sistema web con nomenclatura automática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Datos faltantes en formularios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10% CESFAM vacío, edades con formato variable, RUT con/sin puntos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Indicadores imprecisos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Validación en formulario digital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Campo "Origen solicitud" vacío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en versiones antiguas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1.795 registros con "ND" en versión anterior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Pérdida de trazabilidad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Campo obligatorio en sistema web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Duplicación de bases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06060"/>
                <w:sz w:val="21"/>
                <w:szCs w:val="21"/>
                <w:shd w:fill="ececec" w:val="clear"/>
                <w:rtl w:val="0"/>
              </w:rPr>
              <w:t xml:space="preserve">2025 FORMULARIO HODOM.xlsx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(1.795 reg) vs </w:t>
            </w:r>
            <w:r w:rsidDel="00000000" w:rsidR="00000000" w:rsidRPr="00000000">
              <w:rPr>
                <w:rFonts w:ascii="Courier New" w:cs="Courier New" w:eastAsia="Courier New" w:hAnsi="Courier New"/>
                <w:color w:val="606060"/>
                <w:sz w:val="21"/>
                <w:szCs w:val="21"/>
                <w:shd w:fill="ececec" w:val="clear"/>
                <w:rtl w:val="0"/>
              </w:rPr>
              <w:t xml:space="preserve">Copia de FORMULARIO HODOM HSC.xlsx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(1.225 reg) vs </w:t>
            </w:r>
            <w:r w:rsidDel="00000000" w:rsidR="00000000" w:rsidRPr="00000000">
              <w:rPr>
                <w:rFonts w:ascii="Courier New" w:cs="Courier New" w:eastAsia="Courier New" w:hAnsi="Courier New"/>
                <w:color w:val="606060"/>
                <w:sz w:val="21"/>
                <w:szCs w:val="21"/>
                <w:shd w:fill="ececec" w:val="clear"/>
                <w:rtl w:val="0"/>
              </w:rPr>
              <w:t xml:space="preserve">resp antiguo.xlsx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02020"/>
                <w:sz w:val="21"/>
                <w:szCs w:val="21"/>
                <w:rtl w:val="0"/>
              </w:rPr>
              <w:t xml:space="preserve"> (48 reg) → Versiones superpuestas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Riesgo de inconsistencia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Base de datos única (sistema web)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Sin identificador único de episodio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No hay ID de ingreso/egreso. Un paciente puede tener múltiples registros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No se puede calcular reingresos con precisión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ID de episodio en sistema web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Diagnósticos sin codificación estándar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Texto libre: "ITU", "INFECCION DE VIAS URINARIAS", "IVU" son el mismo diagnóstico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Indicadores diagnósticos imprecisos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Codificación CIE-10 en sistema web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Archivos sueltos en carpetas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1.942 PDFs de epicrisis como archivos individuales sin estructura de carpetas por fecha/paciente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Repositorio caótico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Repositorio digital con estructura automática</w:t>
            </w:r>
          </w:p>
        </w:tc>
      </w:tr>
    </w:tbl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202020"/>
          <w:sz w:val="34"/>
          <w:szCs w:val="34"/>
        </w:rPr>
      </w:pPr>
      <w:bookmarkStart w:colFirst="0" w:colLast="0" w:name="_rwnbhm8twbhx" w:id="19"/>
      <w:bookmarkEnd w:id="19"/>
      <w:r w:rsidDel="00000000" w:rsidR="00000000" w:rsidRPr="00000000">
        <w:rPr>
          <w:b w:val="1"/>
          <w:bCs w:val="1"/>
          <w:color w:val="202020"/>
          <w:sz w:val="34"/>
          <w:szCs w:val="34"/>
          <w:rtl w:val="0"/>
        </w:rPr>
        <w:t xml:space="preserve">6. INSIGHTS ESTRATÉGICOS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202020"/>
          <w:sz w:val="33"/>
          <w:szCs w:val="33"/>
        </w:rPr>
      </w:pPr>
      <w:bookmarkStart w:colFirst="0" w:colLast="0" w:name="_7xjaf6crojlh" w:id="20"/>
      <w:bookmarkEnd w:id="20"/>
      <w:r w:rsidDel="00000000" w:rsidR="00000000" w:rsidRPr="00000000">
        <w:rPr>
          <w:b w:val="1"/>
          <w:bCs w:val="1"/>
          <w:color w:val="202020"/>
          <w:sz w:val="33"/>
          <w:szCs w:val="33"/>
          <w:rtl w:val="0"/>
        </w:rPr>
        <w:t xml:space="preserve">🔴 Hallazgos críticos</w:t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La unidad atiende una población significativamente más frágil de lo que sugiere el protocolo.</w:t>
      </w:r>
      <w:r w:rsidDel="00000000" w:rsidR="00000000" w:rsidRPr="00000000">
        <w:rPr>
          <w:rFonts w:ascii="Arial Unicode MS" w:cs="Arial Unicode MS" w:eastAsia="Arial Unicode MS" w:hAnsi="Arial Unicode MS"/>
          <w:color w:val="202020"/>
          <w:sz w:val="21"/>
          <w:szCs w:val="21"/>
          <w:rtl w:val="0"/>
        </w:rPr>
        <w:t xml:space="preserve"> Edad promedio 70.1 años, 35% ≥80 años, 87.6% FONASA A+B. Esto es hospitalización domiciliaria geriátrica de facto.</w:t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La cartera real excede la cartera protocolar.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Se atienden &gt;50 diagnósticos diferentes, incluyendo pacientes post-UTI/UCI, fracturas, IRA, y 12 pediátricos — ninguno de estos está formalmente protocolizado.</w:t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El 29.4% de pacientes viene de "Otro" CESFAM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— son pacientes de fuera de la red que consultan espontáneamente en la UEA. HODOM los atiende pero no tiene articulación formal con sus redes de origen para el seguimiento post-alta.</w:t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No existe base de datos unificada.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Hay al menos 3 versiones del formulario Excel superpuestas, 1.942 PDFs de epicrisis sin estructura, y documentos de entrega de turno en DOCX individuales. La información existe pero es frágil y difícil de consultar.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202020"/>
          <w:sz w:val="33"/>
          <w:szCs w:val="33"/>
        </w:rPr>
      </w:pPr>
      <w:bookmarkStart w:colFirst="0" w:colLast="0" w:name="_7n9r5y6idion" w:id="21"/>
      <w:bookmarkEnd w:id="21"/>
      <w:r w:rsidDel="00000000" w:rsidR="00000000" w:rsidRPr="00000000">
        <w:rPr>
          <w:b w:val="1"/>
          <w:bCs w:val="1"/>
          <w:color w:val="202020"/>
          <w:sz w:val="33"/>
          <w:szCs w:val="33"/>
          <w:rtl w:val="0"/>
        </w:rPr>
        <w:t xml:space="preserve">🟡 Hallazgos importantes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Medicina (42.7%) y Urgencia (32%) son los motores de HODOM.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La estrategia de captación debe focalizarse en estos 2 servicios. La relación con los jefes de servicio de Medicina y UEA es crítica.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Tratamiento EV es el procedimiento core (45% de prestaciones).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La logística de insumos EV (antibióticos, soluciones, bajadas, catéteres) debe ser impecable.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La rehabilitación (KTM+KTR+Fono) está en ~40% de las prestaciones.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Los kinesiólogos y la fonoaudióloga no son "complemento" — son co-core del modelo. El plan de capacitación debe incluirlos como protagonistas.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6 gestoras concentran 82% de los ingresos.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El conocimiento operativo está en estas personas. El DT debe proteger su continuidad y formalizar su expertise en protocolos.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202020"/>
          <w:sz w:val="33"/>
          <w:szCs w:val="33"/>
        </w:rPr>
      </w:pPr>
      <w:bookmarkStart w:colFirst="0" w:colLast="0" w:name="_62sg0jo332hz" w:id="22"/>
      <w:bookmarkEnd w:id="22"/>
      <w:r w:rsidDel="00000000" w:rsidR="00000000" w:rsidRPr="00000000">
        <w:rPr>
          <w:b w:val="1"/>
          <w:bCs w:val="1"/>
          <w:color w:val="202020"/>
          <w:sz w:val="33"/>
          <w:szCs w:val="33"/>
          <w:rtl w:val="0"/>
        </w:rPr>
        <w:t xml:space="preserve">🟢 Oportunidades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El enlace APS está maduro para expandirse.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46.2% de pacientes viene de los 2 CESFAM de San Carlos. Si se formaliza la derivación directa (admission avoidance), el volumen puede crecer y la presión sobre la UEA disminuir.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Los datos existen para fundamentar todo.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Aunque están dispersos, los 1.795 registros permiten construir una línea base robusta de indicadores. El primer informe del DT puede ser demoledor en evidencia.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202020"/>
          <w:sz w:val="34"/>
          <w:szCs w:val="34"/>
        </w:rPr>
      </w:pPr>
      <w:bookmarkStart w:colFirst="0" w:colLast="0" w:name="_q1pxpl17zmus" w:id="23"/>
      <w:bookmarkEnd w:id="23"/>
      <w:r w:rsidDel="00000000" w:rsidR="00000000" w:rsidRPr="00000000">
        <w:rPr>
          <w:b w:val="1"/>
          <w:bCs w:val="1"/>
          <w:color w:val="202020"/>
          <w:sz w:val="34"/>
          <w:szCs w:val="34"/>
          <w:rtl w:val="0"/>
        </w:rPr>
        <w:t xml:space="preserve">7. ACCIONES INMEDIATAS RECOMENDADAS</w:t>
      </w:r>
    </w:p>
    <w:tbl>
      <w:tblPr>
        <w:tblStyle w:val="Table13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0"/>
        <w:gridCol w:w="1245"/>
        <w:gridCol w:w="4275"/>
        <w:tblGridChange w:id="0">
          <w:tblGrid>
            <w:gridCol w:w="3330"/>
            <w:gridCol w:w="1245"/>
            <w:gridCol w:w="427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Plazo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Fundamento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Consolidar las 3 bases Excel en una sola base limpia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Semana 1-2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Eliminar duplicados, estandarizar diagnósticos, calcular indicadores reales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Calcular indicadores 2025 con datos reales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Semana 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Tasa de reingresos precisa, estada promedio, índice ocupacional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Cruzar diagnósticos reales vs cartera protocolar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Semana 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Identificar patologías atendidas sin protocolo formal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Mapear los 29.4% de "Otro CESFAM"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Mes 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Entender de dónde vienen y qué pasa con su seguimiento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Estandarizar nomenclatura de archivos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Mes 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Antes de que crezca más el caos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Migrar a sistema web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Mes 2-3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Todo lo anterior se resuelve con el sistema</w:t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0202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0202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0202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