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bkvwvmgb490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INFORME: Análisis Producción HODOM HSC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digv947l05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Mensual — 14 meses (Diciembre 2024 – Enero 2026)</w:t>
      </w:r>
    </w:p>
    <w:p w:rsidR="00000000" w:rsidDel="00000000" w:rsidP="00000000" w:rsidRDefault="00000000" w:rsidRPr="00000000" w14:paraId="0000000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Fecha:</w:t>
      </w:r>
      <w:r w:rsidDel="00000000" w:rsidR="00000000" w:rsidRPr="00000000">
        <w:rPr>
          <w:sz w:val="21"/>
          <w:szCs w:val="21"/>
          <w:rtl w:val="0"/>
        </w:rPr>
        <w:t xml:space="preserve"> 2026-03-06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Fuente:</w:t>
      </w:r>
      <w:r w:rsidDel="00000000" w:rsidR="00000000" w:rsidRPr="00000000">
        <w:rPr>
          <w:sz w:val="21"/>
          <w:szCs w:val="21"/>
          <w:rtl w:val="0"/>
        </w:rPr>
        <w:t xml:space="preserve"> HOMOM_2025_1.xlsx (planilla Resumen Mensual HODOM)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Unidad:</w:t>
      </w:r>
      <w:r w:rsidDel="00000000" w:rsidR="00000000" w:rsidRPr="00000000">
        <w:rPr>
          <w:sz w:val="21"/>
          <w:szCs w:val="21"/>
          <w:rtl w:val="0"/>
        </w:rPr>
        <w:t xml:space="preserve"> Hospitalización Domiciliaria, Hospital de San Carlos, SSÑuble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Analista:</w:t>
      </w:r>
      <w:r w:rsidDel="00000000" w:rsidR="00000000" w:rsidRPr="00000000">
        <w:rPr>
          <w:sz w:val="21"/>
          <w:szCs w:val="21"/>
          <w:rtl w:val="0"/>
        </w:rPr>
        <w:t xml:space="preserve"> Félix Sanhueza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6jxoovdokfo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Análisis de 427 días operativos (14 meses) del HODOM HSC. La unidad opera con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16 camas dotadas</w:t>
      </w:r>
      <w:r w:rsidDel="00000000" w:rsidR="00000000" w:rsidRPr="00000000">
        <w:rPr>
          <w:sz w:val="21"/>
          <w:szCs w:val="21"/>
          <w:rtl w:val="0"/>
        </w:rPr>
        <w:t xml:space="preserve"> (20 desde septiembre 2025), registrando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726 ingresos, 747 altas y 1 fallecido</w:t>
      </w:r>
      <w:r w:rsidDel="00000000" w:rsidR="00000000" w:rsidRPr="00000000">
        <w:rPr>
          <w:sz w:val="21"/>
          <w:szCs w:val="21"/>
          <w:rtl w:val="0"/>
        </w:rPr>
        <w:t xml:space="preserve"> en el período. El índice ocupacional promedio es 89.8%, con una tendencia preocupante: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 estadía promedio subió de 7.4 a 10.8 días</w:t>
      </w:r>
      <w:r w:rsidDel="00000000" w:rsidR="00000000" w:rsidRPr="00000000">
        <w:rPr>
          <w:sz w:val="21"/>
          <w:szCs w:val="21"/>
          <w:rtl w:val="0"/>
        </w:rPr>
        <w:t xml:space="preserve"> entre febrero 2025 y enero 2026 (+46%), mientras el índice ocupacional descendió desde picos de 137% a 70%. Esto configura un patrón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estancamiento por prolongación de estadía</w:t>
      </w:r>
      <w:r w:rsidDel="00000000" w:rsidR="00000000" w:rsidRPr="00000000">
        <w:rPr>
          <w:sz w:val="21"/>
          <w:szCs w:val="21"/>
          <w:rtl w:val="0"/>
        </w:rPr>
        <w:t xml:space="preserve">, no por falta de demanda.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igrdmgelwig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INDICADORES CONSOLIDADOS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wab7ndfid4v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1.1 Tabla mensual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005"/>
        <w:gridCol w:w="1200"/>
        <w:gridCol w:w="840"/>
        <w:gridCol w:w="975"/>
        <w:gridCol w:w="1500"/>
        <w:gridCol w:w="1365"/>
        <w:gridCol w:w="915"/>
        <w:tblGridChange w:id="0">
          <w:tblGrid>
            <w:gridCol w:w="1125"/>
            <w:gridCol w:w="1005"/>
            <w:gridCol w:w="1200"/>
            <w:gridCol w:w="840"/>
            <w:gridCol w:w="975"/>
            <w:gridCol w:w="1500"/>
            <w:gridCol w:w="1365"/>
            <w:gridCol w:w="9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Fallec.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IO%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PDE (días)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Dic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137.1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425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Ene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136.9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372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Feb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~14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73.7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349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97.6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382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88.3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404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63.9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483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Jun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83.1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398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Jul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95.0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492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Ago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85.9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434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Sep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Oct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74.4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Nov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77.2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478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Dic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70.2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562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Ene 2026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71.5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494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89.8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(prom)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8.7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(prom)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6.263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Leyenda:</w:t>
      </w:r>
      <w:r w:rsidDel="00000000" w:rsidR="00000000" w:rsidRPr="00000000">
        <w:rPr>
          <w:sz w:val="21"/>
          <w:szCs w:val="21"/>
          <w:rtl w:val="0"/>
        </w:rPr>
        <w:t xml:space="preserve"> IO% = Índice Ocupacional; PDE = Promedio Días Estada; DPA = Días Personas Atendidas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hshr0z41kzf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1.2 Ratios clave del período</w:t>
      </w:r>
    </w:p>
    <w:tbl>
      <w:tblPr>
        <w:tblStyle w:val="Table2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155"/>
        <w:gridCol w:w="3225"/>
        <w:tblGridChange w:id="0">
          <w:tblGrid>
            <w:gridCol w:w="2580"/>
            <w:gridCol w:w="1155"/>
            <w:gridCol w:w="3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Ingresos promedio/mes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Rango: 44–62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IO promedio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89.8%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Óptimo MINSAL: 80–95%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IO máximo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137.1%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Dic 2024 — sobrecarga crítica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IO mínimo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63.9%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2025 — subutilización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PDE promedio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8.7 días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Tendencia ascendente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PDE máximo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10.8 días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Dic 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PDE mínimo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7.4 días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Feb 2025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Tasa mortalidad bruta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0.14%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1/726 — excelente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Altas &gt; Ingresos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+21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Período redujo stock (67→13)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8jgnpk3ubtq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ANÁLISIS DE TENDENCIAS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rey2e9rjw8i3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2.1 Índice Ocupacional — Tendencia descendente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Dic24  ████████████████████████████ 137.1%  ← SOBRECARGA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Ene25  ████████████████████████████ 136.9%  ← SOBRECARGA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Feb25  ███████████████              73.7%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Mar25  ████████████████████         97.6%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Abr25  ██████████████████           88.3%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May25  █████████████                63.9%  ← MÍNIMO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Jun25  █████████████████            83.1%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Jul25  ███████████████████          95.0%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Ago25  █████████████████            85.9%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Sep25  █████████████████████       102.7%  ← Aumento camas a 20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Oct25  ███████████████              74.4%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Nov25  ████████████████             77.2%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Dic25  ██████████████               70.2%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Ene26  ██████████████               71.5%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Interpretación:</w:t>
      </w:r>
      <w:r w:rsidDel="00000000" w:rsidR="00000000" w:rsidRPr="00000000">
        <w:rPr>
          <w:sz w:val="21"/>
          <w:szCs w:val="21"/>
          <w:rtl w:val="0"/>
        </w:rPr>
        <w:t xml:space="preserve"> La caída del IO no se explica por menor demanda (los ingresos se mantienen en ~50/mes). Se explica por: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Aumento de camas de 16→20</w:t>
      </w:r>
      <w:r w:rsidDel="00000000" w:rsidR="00000000" w:rsidRPr="00000000">
        <w:rPr>
          <w:sz w:val="21"/>
          <w:szCs w:val="21"/>
          <w:rtl w:val="0"/>
        </w:rPr>
        <w:t xml:space="preserve"> en septiembre 2025 (denominador crece 25%)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Aumento del PDE</w:t>
      </w:r>
      <w:r w:rsidDel="00000000" w:rsidR="00000000" w:rsidRPr="00000000">
        <w:rPr>
          <w:sz w:val="21"/>
          <w:szCs w:val="21"/>
          <w:rtl w:val="0"/>
        </w:rPr>
        <w:t xml:space="preserve"> (los pacientes se quedan más tiempo, bloqueando camas)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q5wb5coqdn67" w:id="8"/>
      <w:bookmarkEnd w:id="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2.2 Promedio Días Estada — Tendencia ascendente 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Feb25  ███████           7.4d  ← MÍNIMO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Mar25  ████████          7.5d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Jun25  ████████          7.5d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Ene25  ████████          7.9d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Abr25  ████████          7.9d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Ago25  ████████          8.0d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Dic24  █████████         8.5d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Oct25  █████████         8.5d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Sep25  █████████         8.7d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May25  █████████         8.8d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Jul25  █████████         8.9d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Nov25  ██████████       10.0d  ← ALERTA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Ene26  ███████████      10.7d  ← ALERTA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Dic25  ███████████      10.8d  ← MÁXIMO</w:t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Cambio estructural detectado:</w:t>
      </w:r>
      <w:r w:rsidDel="00000000" w:rsidR="00000000" w:rsidRPr="00000000">
        <w:rPr>
          <w:sz w:val="21"/>
          <w:szCs w:val="21"/>
          <w:rtl w:val="0"/>
        </w:rPr>
        <w:t xml:space="preserve"> A partir de noviembre 2025, el PDE salta de ~8.5 a ~10.5 días (+24%). Esto NO es estacional (el año anterior dic-ene tenía PDE 7.9–8.5).</w:t>
      </w:r>
    </w:p>
    <w:p w:rsidR="00000000" w:rsidDel="00000000" w:rsidP="00000000" w:rsidRDefault="00000000" w:rsidRPr="00000000" w14:paraId="000000D0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Hipótesis a investigar: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Cambio en case-mix (mayor complejidad, más crónicos reagudizados)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Demora en gestión de egreso (interconsultas, exámenes pendientes)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Factores sociales (red de apoyo insuficiente para alta)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Menor presión por camas al aumentar dotación (efecto Roemer: la oferta genera su propia demanda)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TTO EV prolongados (&gt;40 días documentados en Drive)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dod05sq750n" w:id="9"/>
      <w:bookmarkEnd w:id="9"/>
      <w:commentRangeStart w:id="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2.3 Ingresos — Estables con estacionalidad leve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Dic24  ██████████████████████       44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Ene26  ████████████████████████     47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Nov25  ████████████████████████     47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Feb25  █████████████████████████    48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Dic25  █████████████████████████    50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Mar25  ██████████████████████████   51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Ago25  ██████████████████████████   51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Jun25  ███████████████████████████  52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Jul25  ███████████████████████████  52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Ene25  ███████████████████████████  52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May25  ████████████████████████████ 55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Abr25  ████████████████████████████ 56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Sep25  █████████████████████████████ 59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sz w:val="21"/>
          <w:szCs w:val="21"/>
          <w:rtl w:val="0"/>
        </w:rPr>
        <w:t xml:space="preserve">Oct25  ██████████████████████████████ 62 ← MÁXIMO</w:t>
      </w:r>
    </w:p>
    <w:p w:rsidR="00000000" w:rsidDel="00000000" w:rsidP="00000000" w:rsidRDefault="00000000" w:rsidRPr="00000000" w14:paraId="000000E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Promedio:</w:t>
      </w:r>
      <w:r w:rsidDel="00000000" w:rsidR="00000000" w:rsidRPr="00000000">
        <w:rPr>
          <w:sz w:val="21"/>
          <w:szCs w:val="21"/>
          <w:rtl w:val="0"/>
        </w:rPr>
        <w:t xml:space="preserve"> 51.9 ingresos/mes. Rango estrecho (44–62). La demanda es sostenida.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flemf53x4fg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ANÁLISIS DE FLUJO DIARIO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sdwsmqzoy9y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3.1 Variabilidad de ingresos</w:t>
      </w:r>
    </w:p>
    <w:tbl>
      <w:tblPr>
        <w:tblStyle w:val="Table3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275"/>
        <w:tblGridChange w:id="0">
          <w:tblGrid>
            <w:gridCol w:w="2325"/>
            <w:gridCol w:w="12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 ingresos/día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Días sin ingresos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101 (24%)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Días con ≥5 ingresos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 (6%)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Máximo en un día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F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Distribución: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0 ingresos: 101 días (24%) — fines de semana + feriados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1 ingreso: 118 días (28%) — modal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2 ingresos: 101 días (24%)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3+ ingresos: 107 días (25%)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ctxlpu55qfa" w:id="12"/>
      <w:bookmarkEnd w:id="1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3.2 Variabilidad de egresos</w:t>
      </w:r>
    </w:p>
    <w:tbl>
      <w:tblPr>
        <w:tblStyle w:val="Table4"/>
        <w:tblW w:w="3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1305"/>
        <w:tblGridChange w:id="0">
          <w:tblGrid>
            <w:gridCol w:w="2280"/>
            <w:gridCol w:w="13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 egresos/día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Días sin egresos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123 (29%)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Días con ≥5 egresos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 (6%)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tbbpfnskwbc" w:id="13"/>
      <w:bookmarkEnd w:id="13"/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3"/>
          <w:szCs w:val="33"/>
          <w:rtl w:val="0"/>
        </w:rPr>
        <w:t xml:space="preserve">3.3 Egresos masivos (≥5 en un día)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detectaron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27 eventos de egreso masivo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(≥5 egresos/día) en 14 meses. Esto implica un patrón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“descarga batch”</w:t>
      </w:r>
      <w:r w:rsidDel="00000000" w:rsidR="00000000" w:rsidRPr="00000000">
        <w:rPr>
          <w:sz w:val="21"/>
          <w:szCs w:val="21"/>
          <w:rtl w:val="0"/>
        </w:rPr>
        <w:t xml:space="preserve"> — acumulación de pacientes seguida de egreso simultáneo.</w:t>
      </w:r>
    </w:p>
    <w:p w:rsidR="00000000" w:rsidDel="00000000" w:rsidP="00000000" w:rsidRDefault="00000000" w:rsidRPr="00000000" w14:paraId="0000010C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Top 5 eventos:</w:t>
      </w:r>
    </w:p>
    <w:tbl>
      <w:tblPr>
        <w:tblStyle w:val="Table5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140"/>
        <w:gridCol w:w="2235"/>
        <w:gridCol w:w="2460"/>
        <w:tblGridChange w:id="0">
          <w:tblGrid>
            <w:gridCol w:w="1665"/>
            <w:gridCol w:w="1140"/>
            <w:gridCol w:w="2235"/>
            <w:gridCol w:w="24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Egresos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Días-estada acum.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Prom. estada/egreso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Oct 25 día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10.0 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Oct 25 día 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8.6 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25 día 23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4.7 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Nov 25 día 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9.6 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Jun 25 día 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8.4 d</w:t>
            </w:r>
          </w:p>
        </w:tc>
      </w:tr>
    </w:tbl>
    <w:p w:rsidR="00000000" w:rsidDel="00000000" w:rsidP="00000000" w:rsidRDefault="00000000" w:rsidRPr="00000000" w14:paraId="0000012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Riesgo operacional:</w:t>
      </w:r>
      <w:r w:rsidDel="00000000" w:rsidR="00000000" w:rsidRPr="00000000">
        <w:rPr>
          <w:sz w:val="21"/>
          <w:szCs w:val="21"/>
          <w:rtl w:val="0"/>
        </w:rPr>
        <w:t xml:space="preserve"> Los egresos masivos generan: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Sobrecarga administrativa (epicrisis, contrarreferencia APS, entrega insumos)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Riesgo de errores en documentación de alta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Desbalance en ocupación (caída brusca seguida de picos de ingreso)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hqed1bnr3b4" w:id="14"/>
      <w:bookmarkEnd w:id="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3.4 Flujo neto diario</w:t>
      </w:r>
    </w:p>
    <w:tbl>
      <w:tblPr>
        <w:tblStyle w:val="Table6"/>
        <w:tblW w:w="4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115"/>
        <w:tblGridChange w:id="0">
          <w:tblGrid>
            <w:gridCol w:w="2160"/>
            <w:gridCol w:w="2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 flujo neto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+0.01 (equilibrado)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 flujo neto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1.92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Días crecimiento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157 (37%)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Días neutros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124 (29%)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Días decrecimiento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146 (34%)</w:t>
            </w:r>
          </w:p>
        </w:tc>
      </w:tr>
    </w:tbl>
    <w:p w:rsidR="00000000" w:rsidDel="00000000" w:rsidP="00000000" w:rsidRDefault="00000000" w:rsidRPr="00000000" w14:paraId="0000013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está 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equilibrio dinámico</w:t>
      </w:r>
      <w:r w:rsidDel="00000000" w:rsidR="00000000" w:rsidRPr="00000000">
        <w:rPr>
          <w:sz w:val="21"/>
          <w:szCs w:val="21"/>
          <w:rtl w:val="0"/>
        </w:rPr>
        <w:t xml:space="preserve"> — el flujo neto promedio es ~0, pero con alta variabilidad diaria (DE 1.9).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65piu1q3fvz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ANÁLISIS DE OCUPACIÓN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5su82gbugmn" w:id="16"/>
      <w:bookmarkEnd w:id="1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4.1 Ocupación diaria</w:t>
      </w:r>
    </w:p>
    <w:tbl>
      <w:tblPr>
        <w:tblStyle w:val="Table7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3285"/>
        <w:tblGridChange w:id="0">
          <w:tblGrid>
            <w:gridCol w:w="1125"/>
            <w:gridCol w:w="32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15.5 pacientes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Mediana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15.0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Mínimo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(May 25 días 23-24)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Máximo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(May 25 día 31 — anomalía)</w:t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5y9rnu93xxga" w:id="17"/>
      <w:bookmarkEnd w:id="1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4.2 Sobrecapacidad</w:t>
      </w:r>
    </w:p>
    <w:tbl>
      <w:tblPr>
        <w:tblStyle w:val="Table8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505"/>
        <w:gridCol w:w="1365"/>
        <w:gridCol w:w="1005"/>
        <w:tblGridChange w:id="0">
          <w:tblGrid>
            <w:gridCol w:w="1245"/>
            <w:gridCol w:w="2505"/>
            <w:gridCol w:w="1365"/>
            <w:gridCol w:w="1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Días sobre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del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Dic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31/31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Ene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31/31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Sep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29/30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97%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15/31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Oct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11/31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Nov 2025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8/30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6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Dos períodos de sobrecarga sostenida: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Dic 2024 – Ene 2025:</w:t>
      </w:r>
      <w:r w:rsidDel="00000000" w:rsidR="00000000" w:rsidRPr="00000000">
        <w:rPr>
          <w:sz w:val="21"/>
          <w:szCs w:val="21"/>
          <w:rtl w:val="0"/>
        </w:rPr>
        <w:t xml:space="preserve"> 62 días consecutivos sobre capacidad, con ocupación 131–162%. Pico: 26 pacientes en 16 camas (162%).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Sep 2025:</w:t>
      </w:r>
      <w:r w:rsidDel="00000000" w:rsidR="00000000" w:rsidRPr="00000000">
        <w:rPr>
          <w:sz w:val="21"/>
          <w:szCs w:val="21"/>
          <w:rtl w:val="0"/>
        </w:rPr>
        <w:t xml:space="preserve"> 29 de 30 días sobre 20 camas, con ocupación 131–156%. Coincide con el aumento de dotación.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fwlevx1f089" w:id="18"/>
      <w:bookmarkEnd w:id="1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4.3 Subutilización</w:t>
      </w:r>
    </w:p>
    <w:p w:rsidR="00000000" w:rsidDel="00000000" w:rsidP="00000000" w:rsidRDefault="00000000" w:rsidRPr="00000000" w14:paraId="0000016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Mayo 2025</w:t>
      </w:r>
      <w:r w:rsidDel="00000000" w:rsidR="00000000" w:rsidRPr="00000000">
        <w:rPr>
          <w:sz w:val="21"/>
          <w:szCs w:val="21"/>
          <w:rtl w:val="0"/>
        </w:rPr>
        <w:t xml:space="preserve"> presenta el valle más profundo: 3 pacientes en 16 camas (19%) los días 23-24. Este valle fue precedido por 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egreso masivo de 9 pacientes</w:t>
      </w:r>
      <w:r w:rsidDel="00000000" w:rsidR="00000000" w:rsidRPr="00000000">
        <w:rPr>
          <w:sz w:val="21"/>
          <w:szCs w:val="21"/>
          <w:rtl w:val="0"/>
        </w:rPr>
        <w:t xml:space="preserve"> el día 23.</w:t>
      </w:r>
    </w:p>
    <w:p w:rsidR="00000000" w:rsidDel="00000000" w:rsidP="00000000" w:rsidRDefault="00000000" w:rsidRPr="00000000" w14:paraId="0000016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Febrero 2025</w:t>
      </w:r>
      <w:r w:rsidDel="00000000" w:rsidR="00000000" w:rsidRPr="00000000">
        <w:rPr>
          <w:sz w:val="21"/>
          <w:szCs w:val="21"/>
          <w:rtl w:val="0"/>
        </w:rPr>
        <w:t xml:space="preserve"> también muestra un período bajo: 6 pacientes (42%) los días 7-8.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elv0ujl9ox4g" w:id="19"/>
      <w:bookmarkEnd w:id="1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4.4 Anomalía detectada</w:t>
      </w:r>
    </w:p>
    <w:p w:rsidR="00000000" w:rsidDel="00000000" w:rsidP="00000000" w:rsidRDefault="00000000" w:rsidRPr="00000000" w14:paraId="0000016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Mayo 2025 día 31: 50 camas ocupadas</w:t>
      </w:r>
      <w:r w:rsidDel="00000000" w:rsidR="00000000" w:rsidRPr="00000000">
        <w:rPr>
          <w:sz w:val="21"/>
          <w:szCs w:val="21"/>
          <w:rtl w:val="0"/>
        </w:rPr>
        <w:t xml:space="preserve"> con 16 camas dotadas (312%). Esto 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inequívocamente un error de registro</w:t>
      </w:r>
      <w:r w:rsidDel="00000000" w:rsidR="00000000" w:rsidRPr="00000000">
        <w:rPr>
          <w:sz w:val="21"/>
          <w:szCs w:val="21"/>
          <w:rtl w:val="0"/>
        </w:rPr>
        <w:t xml:space="preserve">. Probablemente un error de fórmula o digitación en la planilla.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ndzr9qlj7cv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CAMBIO ESTRUCTURAL: AUMENTO DE CAMAS</w:t>
      </w:r>
    </w:p>
    <w:tbl>
      <w:tblPr>
        <w:tblStyle w:val="Table9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3375"/>
        <w:gridCol w:w="3555"/>
        <w:tblGridChange w:id="0">
          <w:tblGrid>
            <w:gridCol w:w="1680"/>
            <w:gridCol w:w="3375"/>
            <w:gridCol w:w="35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 (Dic24–Ago25, 16 camas)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 (Sep25–Ene26, 20 camas)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Ingresos/mes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51.2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53.0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IO% promedio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96.9%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79.2%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PDE promedio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8.1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9.7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Altas/mes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51.4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56.8</w:t>
            </w:r>
          </w:p>
        </w:tc>
      </w:tr>
    </w:tbl>
    <w:p w:rsidR="00000000" w:rsidDel="00000000" w:rsidP="00000000" w:rsidRDefault="00000000" w:rsidRPr="00000000" w14:paraId="0000017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Hallazgo: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El aumento de 16→20 camas (+25%)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generó un aumento proporcional de ingresos</w:t>
      </w:r>
      <w:r w:rsidDel="00000000" w:rsidR="00000000" w:rsidRPr="00000000">
        <w:rPr>
          <w:sz w:val="21"/>
          <w:szCs w:val="21"/>
          <w:rtl w:val="0"/>
        </w:rPr>
        <w:t xml:space="preserve"> (solo +3.5%). En cambio, el PDE subió +20%. Esto sugiere un posible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efecto Roemer</w:t>
      </w:r>
      <w:r w:rsidDel="00000000" w:rsidR="00000000" w:rsidRPr="00000000">
        <w:rPr>
          <w:sz w:val="21"/>
          <w:szCs w:val="21"/>
          <w:rtl w:val="0"/>
        </w:rPr>
        <w:t xml:space="preserve"> (oferta genera su propia demanda de permanencia) o un cambio en el case-mix hacia pacientes más complejos.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xr5j9678ipj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ESTACIONALIDAD</w:t>
      </w:r>
    </w:p>
    <w:tbl>
      <w:tblPr>
        <w:tblStyle w:val="Table10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930"/>
        <w:gridCol w:w="795"/>
        <w:gridCol w:w="1695"/>
        <w:tblGridChange w:id="0">
          <w:tblGrid>
            <w:gridCol w:w="2340"/>
            <w:gridCol w:w="930"/>
            <w:gridCol w:w="795"/>
            <w:gridCol w:w="16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IO%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Ingresos/mes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Verano (Dic-Feb)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97.9%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9.1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Otoño (Mar-May)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83.3%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8.1 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Invierno (Jun-Ago)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88.0%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8.2 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Primavera (Sep-Nov)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84.7%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9.1 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56</w:t>
            </w:r>
          </w:p>
        </w:tc>
      </w:tr>
    </w:tbl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Verano:</w:t>
      </w:r>
      <w:r w:rsidDel="00000000" w:rsidR="00000000" w:rsidRPr="00000000">
        <w:rPr>
          <w:sz w:val="21"/>
          <w:szCs w:val="21"/>
          <w:rtl w:val="0"/>
        </w:rPr>
        <w:t xml:space="preserve"> IO más alto pero ingresos más bajos — los pacientes permanecen más (¿dificultad de alta por vacaciones de equipos APS/especialistas?)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Primavera:</w:t>
      </w:r>
      <w:r w:rsidDel="00000000" w:rsidR="00000000" w:rsidRPr="00000000">
        <w:rPr>
          <w:sz w:val="21"/>
          <w:szCs w:val="21"/>
          <w:rtl w:val="0"/>
        </w:rPr>
        <w:t xml:space="preserve"> mayor volumen de ingresos, estadía alta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Otoño:</w:t>
      </w:r>
      <w:r w:rsidDel="00000000" w:rsidR="00000000" w:rsidRPr="00000000">
        <w:rPr>
          <w:sz w:val="21"/>
          <w:szCs w:val="21"/>
          <w:rtl w:val="0"/>
        </w:rPr>
        <w:t xml:space="preserve"> mejor equilibrio IO/PDE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kgugiz28w90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MORTALIDAD</w:t>
      </w:r>
    </w:p>
    <w:p w:rsidR="00000000" w:rsidDel="00000000" w:rsidP="00000000" w:rsidRDefault="00000000" w:rsidRPr="00000000" w14:paraId="0000019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 fallecido en 726 ingresos</w:t>
      </w:r>
      <w:r w:rsidDel="00000000" w:rsidR="00000000" w:rsidRPr="00000000">
        <w:rPr>
          <w:sz w:val="21"/>
          <w:szCs w:val="21"/>
          <w:rtl w:val="0"/>
        </w:rPr>
        <w:t xml:space="preserve"> (tasa bruta 0.14%). Ocurrió 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mayo 2025</w:t>
      </w:r>
      <w:r w:rsidDel="00000000" w:rsidR="00000000" w:rsidRPr="00000000">
        <w:rPr>
          <w:sz w:val="21"/>
          <w:szCs w:val="21"/>
          <w:rtl w:val="0"/>
        </w:rPr>
        <w:t xml:space="preserve"> (día 7). Dato destacable: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Tasa inferior al benchmark Johns Hopkins HaH (~2% mortalidad intrahospitalaria equivalente)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Tasa inferior al promedio hospitalario nacional Chile (~3-4%)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Compatible con criterios de ingreso conservadores (pacientes con condición clínica estable)</w:t>
      </w:r>
    </w:p>
    <w:p w:rsidR="00000000" w:rsidDel="00000000" w:rsidP="00000000" w:rsidRDefault="00000000" w:rsidRPr="00000000" w14:paraId="0000019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Nota:</w:t>
      </w:r>
      <w:r w:rsidDel="00000000" w:rsidR="00000000" w:rsidRPr="00000000">
        <w:rPr>
          <w:sz w:val="21"/>
          <w:szCs w:val="21"/>
          <w:rtl w:val="0"/>
        </w:rPr>
        <w:t xml:space="preserve"> Esta tasa solo refleja mortalidad durante la hospitalización domiciliaria, no mortalidad post-egreso. No se dispone de datos de reingreso ni mortalidad a 30 días.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k8att7hcqzp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CALIDAD DEL DATO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dboavh3z1bf0" w:id="24"/>
      <w:bookmarkEnd w:id="24"/>
      <w:commentRangeStart w:id="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Problemas detectados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2835"/>
        <w:gridCol w:w="1335"/>
        <w:gridCol w:w="4290"/>
        <w:tblGridChange w:id="0">
          <w:tblGrid>
            <w:gridCol w:w="435"/>
            <w:gridCol w:w="2835"/>
            <w:gridCol w:w="1335"/>
            <w:gridCol w:w="42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Anomalía May 25 día 31 (50 ocupadas)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evidente de registro/fórmula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Promedio camas Feb 25 = 14.45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Debería ser entero (¿fórmula?)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Encabezado Feb 25 dice “ENERO”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Leve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de copiar hoja anterior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Procedencia no desglosada (Feb–Ene26)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Solo Dic24 y May25 tienen desglose urgencia/hospitalización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 H (“Total” ingr.) a menudo =0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Los totales están en J pero no en H — inconsistencia de fórmulas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Layout cambia entre hojas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Leve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Ago-Ene26 empiezan en fila 7 vs fila 10 en meses anteriores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Días estada (col R) vacíos en días sin egresos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Leve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Correcto conceptualmente pero dificulta análisis automatizado</w:t>
            </w:r>
          </w:p>
        </w:tc>
      </w:tr>
    </w:tbl>
    <w:p w:rsidR="00000000" w:rsidDel="00000000" w:rsidP="00000000" w:rsidRDefault="00000000" w:rsidRPr="00000000" w14:paraId="000001C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jnlfkaud5ee" w:id="25"/>
      <w:bookmarkEnd w:id="2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Recomendaciones para mejorar registro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Estandarizar layout</w:t>
      </w:r>
      <w:r w:rsidDel="00000000" w:rsidR="00000000" w:rsidRPr="00000000">
        <w:rPr>
          <w:sz w:val="21"/>
          <w:szCs w:val="21"/>
          <w:rtl w:val="0"/>
        </w:rPr>
        <w:t xml:space="preserve"> — una sola plantilla bloqueada para todos los meses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Validación de datos</w:t>
      </w:r>
      <w:r w:rsidDel="00000000" w:rsidR="00000000" w:rsidRPr="00000000">
        <w:rPr>
          <w:sz w:val="21"/>
          <w:szCs w:val="21"/>
          <w:rtl w:val="0"/>
        </w:rPr>
        <w:t xml:space="preserve"> — agregar validación Excel (enteros, rangos, no &gt;camas sin flag)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Desglosar procedencia siempre</w:t>
      </w:r>
      <w:r w:rsidDel="00000000" w:rsidR="00000000" w:rsidRPr="00000000">
        <w:rPr>
          <w:sz w:val="21"/>
          <w:szCs w:val="21"/>
          <w:rtl w:val="0"/>
        </w:rPr>
        <w:t xml:space="preserve"> — urgencia, hospitalización, ambulatorio, UGCC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Agregar columna tipo egreso</w:t>
      </w:r>
      <w:r w:rsidDel="00000000" w:rsidR="00000000" w:rsidRPr="00000000">
        <w:rPr>
          <w:sz w:val="21"/>
          <w:szCs w:val="21"/>
          <w:rtl w:val="0"/>
        </w:rPr>
        <w:t xml:space="preserve"> — alta médica, traslado, defunción, alta voluntaria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Registrar diagnóstico principal</w:t>
      </w:r>
      <w:r w:rsidDel="00000000" w:rsidR="00000000" w:rsidRPr="00000000">
        <w:rPr>
          <w:sz w:val="21"/>
          <w:szCs w:val="21"/>
          <w:rtl w:val="0"/>
        </w:rPr>
        <w:t xml:space="preserve"> o GRD para análisis de case-mix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Dashboard automático</w:t>
      </w:r>
      <w:r w:rsidDel="00000000" w:rsidR="00000000" w:rsidRPr="00000000">
        <w:rPr>
          <w:sz w:val="21"/>
          <w:szCs w:val="21"/>
          <w:rtl w:val="0"/>
        </w:rPr>
        <w:t xml:space="preserve"> — fórmulas de resumen que calculen IO, PDE, tendencias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nxpwp3vhls6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HALLAZGOS CLAVE Y RECOMENDACIONES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097sqsyqnfs" w:id="27"/>
      <w:bookmarkEnd w:id="2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🔴 Hallazgos Críticos</w:t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2820"/>
        <w:gridCol w:w="2145"/>
        <w:gridCol w:w="3510"/>
        <w:tblGridChange w:id="0">
          <w:tblGrid>
            <w:gridCol w:w="435"/>
            <w:gridCol w:w="2820"/>
            <w:gridCol w:w="2145"/>
            <w:gridCol w:w="35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PDE en ascenso sostenido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(+46% en 12 meses)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Bloqueo de camas, menor rotación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Auditar case-mix Nov25-Ene26 vs Feb-Jun25. Identificar pacientes &gt;15 días estada y causa de permanencia prolongada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Sobrecarga Dic24-Ene25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(100% días sobre capacidad, hasta 162%)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Riesgo clínico, burnout equipo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Protocolo de gestión de sobrecarga. Criterio de derivación cuando &gt;120% IO sostenido &gt;3 días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Egresos batch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(27 eventos ≥5 egresos/día)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Riesgo errores documentales, desbalance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Distribuir egresos programados. Criterio: máx. 3 egresos programados/día</w:t>
            </w:r>
          </w:p>
        </w:tc>
      </w:tr>
    </w:tbl>
    <w:p w:rsidR="00000000" w:rsidDel="00000000" w:rsidP="00000000" w:rsidRDefault="00000000" w:rsidRPr="00000000" w14:paraId="000001D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5xb2rqsz2q1" w:id="28"/>
      <w:bookmarkEnd w:id="2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🟡 Hallazgos Moderados</w:t>
      </w:r>
    </w:p>
    <w:tbl>
      <w:tblPr>
        <w:tblStyle w:val="Table1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2520"/>
        <w:gridCol w:w="2400"/>
        <w:gridCol w:w="3555"/>
        <w:tblGridChange w:id="0">
          <w:tblGrid>
            <w:gridCol w:w="435"/>
            <w:gridCol w:w="2520"/>
            <w:gridCol w:w="2400"/>
            <w:gridCol w:w="35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Aumento camas no aumentó ingresos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Eficiencia cuestionable de expansión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Evaluar si la dotación 20 camas se justifica con IO actual (70-75%)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Subutilización May25 (3 pacientes, 19%)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Capacidad ociosa, costo fijo sin retorno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Investigar causa. ¿Reducción derivaciones? ¿Período especial?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de registro (50 pacientes May31)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Datos poco confiables para gestión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Corregir dato. Implementar validación en planilla</w:t>
            </w:r>
          </w:p>
        </w:tc>
      </w:tr>
    </w:tbl>
    <w:p w:rsidR="00000000" w:rsidDel="00000000" w:rsidP="00000000" w:rsidRDefault="00000000" w:rsidRPr="00000000" w14:paraId="000001E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itm23di8z51m" w:id="29"/>
      <w:bookmarkEnd w:id="2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🟢 Hallazgos Positivos</w:t>
      </w:r>
    </w:p>
    <w:tbl>
      <w:tblPr>
        <w:tblStyle w:val="Table14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3270"/>
        <w:gridCol w:w="4860"/>
        <w:tblGridChange w:id="0">
          <w:tblGrid>
            <w:gridCol w:w="525"/>
            <w:gridCol w:w="3270"/>
            <w:gridCol w:w="48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Mortalidad 0.14% (1/726)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Excelente seguridad clínica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Ingresos sostenidos ~52/mes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Demanda estable, programa consolidado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Equilibrio flujo neto (media ~0)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hay acumulación ni vaciamiento sistemático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Operación 365 días/año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Continuidad asistencial completa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tqr4hvnwcj6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KPIs PROPUESTOS (Dashboard HD)</w:t>
      </w:r>
    </w:p>
    <w:tbl>
      <w:tblPr>
        <w:tblStyle w:val="Table1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680"/>
        <w:gridCol w:w="885"/>
        <w:gridCol w:w="1590"/>
        <w:gridCol w:w="1200"/>
        <w:gridCol w:w="1605"/>
        <w:tblGridChange w:id="0">
          <w:tblGrid>
            <w:gridCol w:w="1950"/>
            <w:gridCol w:w="1680"/>
            <w:gridCol w:w="885"/>
            <w:gridCol w:w="1590"/>
            <w:gridCol w:w="1200"/>
            <w:gridCol w:w="16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Periodicidad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Índice Ocupacional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Camas ocupadas / Camas dotadas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80–95%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85% (MINSAL)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Planilla HODOM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Mensual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Promedio Días Estada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Σ días estada egresados / N° egresos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≤8.5 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7–10 d (HaH intl.)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Planilla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Mensual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Tasa de Egresos Batch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Días ≥5 egresos / Días operativos × 100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&lt;5%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Planilla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Mensual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Tasa Mortalidad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Fallecidos / Ingresos × 100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&lt;1%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&lt;2% (Johns Hopkins)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Planilla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Mensual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Sobrecapacidad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Días &gt;100% IO / Días mes × 100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&lt;10%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Planilla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Mensual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Ingresos/mes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≥48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52 (histórico)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Planilla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Mensual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Rotación cama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Ingresos / Camas dotadas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≥3.0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3.25 (histórico)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Planilla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Mensual</w:t>
            </w:r>
          </w:p>
        </w:tc>
      </w:tr>
    </w:tbl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3-06T13:47:33Z"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reacción en total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HODOM HSC ha reaccionado con 😁 a las 2026-03-06 13:47 p. m.</w:t>
      </w:r>
    </w:p>
  </w:comment>
  <w:comment w:id="1" w:date="2026-03-06T13:48:12Z"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reacción en total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HODOM HSC ha reaccionado con 🥴 a las 2026-03-06 13:48 p. m.</w:t>
      </w:r>
    </w:p>
  </w:comment>
  <w:comment w:id="2" w:date="2026-03-06T13:58:16Z"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reacción en total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HODOM HSC ha reaccionado con 😫 a las 2026-03-06 13:58 p. m.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