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-415280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6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ENFERMERIA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VALORACION FINAL DE HERIDAS Y PLAN DE CONTRAREFERENCIA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MIGUEL MERINO CANDIA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52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11.769.747-9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ab/>
        <w:t xml:space="preserve">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CESFAM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TERESA BALDECHI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20/03/2024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02/04/2024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PARAPLEJIA/</w:t>
      </w:r>
      <w:r w:rsidDel="00000000" w:rsidR="00000000" w:rsidRPr="00000000">
        <w:rPr>
          <w:sz w:val="24"/>
          <w:szCs w:val="24"/>
          <w:rtl w:val="0"/>
        </w:rPr>
        <w:t xml:space="preserve">ULCERA DE DECÚBITO ETAPA IV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Usuari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ingresa a HODOM HSC</w:t>
      </w:r>
      <w:r w:rsidDel="00000000" w:rsidR="00000000" w:rsidRPr="00000000">
        <w:rPr>
          <w:sz w:val="24"/>
          <w:szCs w:val="24"/>
          <w:rtl w:val="0"/>
        </w:rPr>
        <w:t xml:space="preserve"> derivado desde servicio de UE con Dg antes descrito para curaciones avanzadas y tratamiento antibiótico por 14 días. Usuario con LPP isquiòn izquierdo G IV de larga data. Lesión con abundante exudado seroso, tejido 100% granulatorio, bordes macerados, diámetro de aprox 10 cm, cavitada. Se mantiene con curaciones c/48 hrs, lesión manejada principalmente con DACC absorbente, buena respuesta. Se sugiere curación 3 veces por semana.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NO           ...………………………………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 SNG SI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1536700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6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3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NO:          ...…………………………………………………… DRENAJES: SI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3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4102100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5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4635500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4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         NO: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ULCERA VENOSA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6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660400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6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1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5232400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5753100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5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1282700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2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</w:t>
      </w:r>
      <w:r w:rsidDel="00000000" w:rsidR="00000000" w:rsidRPr="00000000">
        <w:rPr>
          <w:rtl w:val="0"/>
        </w:rPr>
        <w:t xml:space="preserve">SACRA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II           III           IV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1168400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9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1587500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2044700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3289300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II           III           IV          V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0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2730500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3606800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NO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NO          ESPECIFICAR:…………………………………………………………….………………………………………………….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762000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4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1231900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4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DERIVACION: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5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7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314325" cy="200025"/>
                <wp:effectExtent b="0" l="0" r="0" t="0"/>
                <wp:wrapNone/>
                <wp:docPr id="67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00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18.png"/><Relationship Id="rId22" Type="http://schemas.openxmlformats.org/officeDocument/2006/relationships/image" Target="media/image29.png"/><Relationship Id="rId21" Type="http://schemas.openxmlformats.org/officeDocument/2006/relationships/image" Target="media/image1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19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1.png"/><Relationship Id="rId37" Type="http://schemas.openxmlformats.org/officeDocument/2006/relationships/image" Target="media/image16.png"/><Relationship Id="rId14" Type="http://schemas.openxmlformats.org/officeDocument/2006/relationships/image" Target="media/image22.png"/><Relationship Id="rId36" Type="http://schemas.openxmlformats.org/officeDocument/2006/relationships/image" Target="media/image15.png"/><Relationship Id="rId17" Type="http://schemas.openxmlformats.org/officeDocument/2006/relationships/image" Target="media/image24.png"/><Relationship Id="rId39" Type="http://schemas.openxmlformats.org/officeDocument/2006/relationships/image" Target="media/image32.png"/><Relationship Id="rId16" Type="http://schemas.openxmlformats.org/officeDocument/2006/relationships/image" Target="media/image33.png"/><Relationship Id="rId38" Type="http://schemas.openxmlformats.org/officeDocument/2006/relationships/image" Target="media/image31.png"/><Relationship Id="rId19" Type="http://schemas.openxmlformats.org/officeDocument/2006/relationships/image" Target="media/image27.png"/><Relationship Id="rId18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TkXJOitdfDV0vmjg3SBx4kx8w==">CgMxLjA4AHIhMWdsN2FGSlpDX2lvYUVQYXNOaFByU3F3XzNTQmdRUFlI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