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8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ALVARO AREL VANDER STELT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57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10234282-3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20/01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27/01/2026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ABSCESO CUTÁNEO 1ER ORTEJO Dº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POR DIAGNÓSTICO ANTES DESCRITO PARA ANTIBIOTICOTERAPIA (COMPLETA 7 DÍAS CON CEFTRIAXONA EV) Y CURACIONES. MANTIENE LESIÓN 1ER ORTEJO Dº 3X0.5 CM CAVITADO EN UN PRINCIPIO, FAVORABLE EVOLUCIÓN CON DACC SIN SALIDA DE CONTENIDO. SE DERIVA PARA CURACIONES LUNES, MIÉRCOLES Y VIERNES.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3509963</wp:posOffset>
                </wp:positionH>
                <wp:positionV relativeFrom="paragraph">
                  <wp:posOffset>100014</wp:posOffset>
                </wp:positionV>
                <wp:extent cx="847725" cy="733425"/>
                <wp:effectExtent b="0" l="0" r="0" t="0"/>
                <wp:wrapNone/>
                <wp:docPr id="48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3509963</wp:posOffset>
                </wp:positionH>
                <wp:positionV relativeFrom="paragraph">
                  <wp:posOffset>100014</wp:posOffset>
                </wp:positionV>
                <wp:extent cx="847725" cy="733425"/>
                <wp:effectExtent b="0" l="0" r="0" t="0"/>
                <wp:wrapNone/>
                <wp:docPr id="48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1681163</wp:posOffset>
                </wp:positionH>
                <wp:positionV relativeFrom="paragraph">
                  <wp:posOffset>100014</wp:posOffset>
                </wp:positionV>
                <wp:extent cx="847725" cy="733425"/>
                <wp:effectExtent b="0" l="0" r="0" t="0"/>
                <wp:wrapNone/>
                <wp:docPr id="48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1681163</wp:posOffset>
                </wp:positionH>
                <wp:positionV relativeFrom="paragraph">
                  <wp:posOffset>100014</wp:posOffset>
                </wp:positionV>
                <wp:extent cx="847725" cy="733425"/>
                <wp:effectExtent b="0" l="0" r="0" t="0"/>
                <wp:wrapNone/>
                <wp:docPr id="4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6KcfkILZJRD4SCtcn4dW10lhCw==">CgMxLjA4AHIhMUZCQjNWQThhOVNwUjlpMndrQ1dJZEdoUkdCTDl3M0Zm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