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CRISTINA MOLINA SAN MARTIN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15.809.528-9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28/07/2024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CELULITIS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CURACIONES. EN VISITA DE INGRESO SE PESQUIS LESIÓN EN MALEOLO INTERNO DE LA EID DE 5X3.5CM, 70% TEJIDO ESFACELADO Y UN 30% TEJIDO GRANULATORIO. EDEMA Y CALOR LOCAL EN EII, EXUDADO MODERADO ASPECTO SEROSO. SE RECOMIENDA SEGUIR EN CURACIONES C/48 HRS Y/O SEGÚN NECESIDAD.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25400</wp:posOffset>
                </wp:positionV>
                <wp:extent cx="485775" cy="371475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25400</wp:posOffset>
                </wp:positionV>
                <wp:extent cx="485775" cy="371475"/>
                <wp:effectExtent b="0" l="0" r="0" t="0"/>
                <wp:wrapNone/>
                <wp:docPr id="3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25400</wp:posOffset>
                </wp:positionV>
                <wp:extent cx="485775" cy="371475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25400</wp:posOffset>
                </wp:positionV>
                <wp:extent cx="485775" cy="371475"/>
                <wp:effectExtent b="0" l="0" r="0" t="0"/>
                <wp:wrapNone/>
                <wp:docPr id="3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ZP2kqPj68YgvkEB8NJehUgttg==">CgMxLjA4AHIhMVJMaXhLV0RTdXVaUkV2TzdEWE1OREpwYTgtMzFjS0d1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