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-415246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9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PEDRO MONTECINOS HERRERA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89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3.916.996-7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10/09/2024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17/09/2024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SD FEBRIL / NEUMONÍA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ADMINISTRACIÓN DE TRATAMIENTO ANTIBIÓTICO, CURACIONES POR ENFERMERÍA Y KTR. EN VISITA DE INGRESO SE PESQUISA: </w:t>
      </w:r>
      <w:r w:rsidDel="00000000" w:rsidR="00000000" w:rsidRPr="00000000">
        <w:rPr>
          <w:b w:val="1"/>
          <w:sz w:val="24"/>
          <w:szCs w:val="24"/>
          <w:rtl w:val="0"/>
        </w:rPr>
        <w:t xml:space="preserve">LESIÓN DE 2X4 CM APROX </w:t>
      </w:r>
      <w:r w:rsidDel="00000000" w:rsidR="00000000" w:rsidRPr="00000000">
        <w:rPr>
          <w:sz w:val="24"/>
          <w:szCs w:val="24"/>
          <w:rtl w:val="0"/>
        </w:rPr>
        <w:t xml:space="preserve">EN EII,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ACTUALMENTE CON ESCASO EXUDADO SEROSO, TEJIDO ESFACELO 30% GRANULATORIO 70%. SE DERIVA PARA CONTINUAR CURACIONES 2-3 VECES POR SEMANA SEGÚN EVOLUCIÓN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EII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12700</wp:posOffset>
                </wp:positionV>
                <wp:extent cx="561975" cy="447675"/>
                <wp:effectExtent b="0" l="0" r="0" t="0"/>
                <wp:wrapNone/>
                <wp:docPr id="39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12700</wp:posOffset>
                </wp:positionV>
                <wp:extent cx="561975" cy="447675"/>
                <wp:effectExtent b="0" l="0" r="0" t="0"/>
                <wp:wrapNone/>
                <wp:docPr id="39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44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12700</wp:posOffset>
                </wp:positionV>
                <wp:extent cx="561975" cy="447675"/>
                <wp:effectExtent b="0" l="0" r="0" t="0"/>
                <wp:wrapNone/>
                <wp:docPr id="39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12700</wp:posOffset>
                </wp:positionV>
                <wp:extent cx="561975" cy="447675"/>
                <wp:effectExtent b="0" l="0" r="0" t="0"/>
                <wp:wrapNone/>
                <wp:docPr id="39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44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wdjm9xpnmEFlrNiZKEbUEc6KtQ==">CgMxLjA4AHIhMWVsbDFmSE1lM2VNSlRPc0N0a1JUQ1AteXJFTGZTOWlr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