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5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DOMINGO VALENZUELA BADILLA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76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sz w:val="24"/>
          <w:szCs w:val="24"/>
          <w:rtl w:val="0"/>
        </w:rPr>
        <w:t xml:space="preserve"> 5.911.837-4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08-07-2024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17-07-2024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ITU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POR DIAGNÓSTICO DE ITU, SE DERIVA PARA TTO. EV + CURACIONES AVANZADAS + FONOAUDIÓLOGO KINESIOTERAPIA. PACIENTE MULTIESCARADO CON LESIONES: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SACRAS (CONTENIDO SEROSO ABUNDANTE, 80% GRANULATORIO 20% ESFACELO, HERIDA 9 X 10 CM.)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CADERA DERECHA SUPERIOR (CONTENIDO MODERADO SEROSO. 70%GRANULATORIO Y 30% ESFACELO. 9X6 CM APROX)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CADERA DERECHA INFERIOR (CONTENIDO MODERADO SEROSO, 90% NECRÓTICO Y 10% ESFACELADO, 10X10 CM. APROX)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CADERA IZQUIERDA SUPERIOR (CONTENIDO MODERADO SEROSO. 80% ESFACELO 10% GRANULATORIO 10% NECROTICO. 7X5 CM)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CADERA IZQUIER INFERIOR (CONTENIDO MODERADO SEROSO. 80% NECROTICO 20% ESFACELADO. 10X11 CM APROX)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AMBOS PIES CON LPP (TALÓN, MALEOLO, ORTEJOS)</w:t>
      </w:r>
    </w:p>
    <w:p w:rsidR="00000000" w:rsidDel="00000000" w:rsidP="00000000" w:rsidRDefault="00000000" w:rsidRPr="00000000" w14:paraId="00000012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DERIVA PARA CURACIONES DIARIAS O SEGÙN EVOLUCIÒN. 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ZONA SACRA. CADERAS, AMBOS PIES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</w:t>
      </w:r>
      <w:r w:rsidDel="00000000" w:rsidR="00000000" w:rsidRPr="00000000">
        <w:rPr>
          <w:rtl w:val="0"/>
        </w:rPr>
        <w:t xml:space="preserve"> III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76200</wp:posOffset>
                </wp:positionV>
                <wp:extent cx="447675" cy="333375"/>
                <wp:effectExtent b="0" l="0" r="0" t="0"/>
                <wp:wrapNone/>
                <wp:docPr id="35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76200</wp:posOffset>
                </wp:positionV>
                <wp:extent cx="447675" cy="333375"/>
                <wp:effectExtent b="0" l="0" r="0" t="0"/>
                <wp:wrapNone/>
                <wp:docPr id="35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76200</wp:posOffset>
                </wp:positionV>
                <wp:extent cx="447675" cy="333375"/>
                <wp:effectExtent b="0" l="0" r="0" t="0"/>
                <wp:wrapNone/>
                <wp:docPr id="35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76200</wp:posOffset>
                </wp:positionV>
                <wp:extent cx="447675" cy="333375"/>
                <wp:effectExtent b="0" l="0" r="0" t="0"/>
                <wp:wrapNone/>
                <wp:docPr id="35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3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c/ZmZ+n5Egcwy6Z98wpzeRo2Ng==">CgMxLjA4AHIhMTE1b3BuNHNUVGZiWC00SHAzeW9lNl84SmdDX2xMVTJK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