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FLOCELIA</w:t>
      </w:r>
      <w:r w:rsidDel="00000000" w:rsidR="00000000" w:rsidRPr="00000000">
        <w:rPr>
          <w:sz w:val="24"/>
          <w:szCs w:val="24"/>
          <w:rtl w:val="0"/>
        </w:rPr>
        <w:t xml:space="preserve"> SEPÚLVEDA VÁSQUEZ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86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5.539.927-1</w:t>
      </w: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05-08-2025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15-08-2025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FX SUBTROCANTERIANA I°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HODOM PARA SEGUIMIENTO REHABILITACIÓN Y  CURACIONES POR  DIAGNÓSTICO ANTES DESCRITO,  EN VISITA DE INGRESO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HO CADERA I°:  </w:t>
      </w:r>
      <w:r w:rsidDel="00000000" w:rsidR="00000000" w:rsidRPr="00000000">
        <w:rPr>
          <w:sz w:val="24"/>
          <w:szCs w:val="24"/>
          <w:rtl w:val="0"/>
        </w:rPr>
        <w:t xml:space="preserve">LINEAL 5 CM / 3 CM/ 2 CM, AFRONTADOS CON GRAPAS CON ESCASA CANTIDAD DE EXUDADO SEROSO SIN SIGNOS DE INFECCIÓN. SE DERIVA PARA CURACIÓN SEGÚN EVOLUCIÓN, HASTA RETIRO DE GRAPAS (22/08/2025)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0</wp:posOffset>
                </wp:positionV>
                <wp:extent cx="1015465" cy="914400"/>
                <wp:effectExtent b="0" l="0" r="0" t="0"/>
                <wp:wrapNone/>
                <wp:docPr id="53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0</wp:posOffset>
                </wp:positionV>
                <wp:extent cx="1015465" cy="914400"/>
                <wp:effectExtent b="0" l="0" r="0" t="0"/>
                <wp:wrapNone/>
                <wp:docPr id="53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5465" cy="9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0</wp:posOffset>
                </wp:positionV>
                <wp:extent cx="1011998" cy="911322"/>
                <wp:effectExtent b="0" l="0" r="0" t="0"/>
                <wp:wrapNone/>
                <wp:docPr id="53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0</wp:posOffset>
                </wp:positionV>
                <wp:extent cx="1011998" cy="911322"/>
                <wp:effectExtent b="0" l="0" r="0" t="0"/>
                <wp:wrapNone/>
                <wp:docPr id="53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1998" cy="9113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Yj+ySOWQ5RKnz4FTS1hhDq+jFA==">CgMxLjA4AHIhMWVRaG4yQ2UyUWg1ZXlNSWZ1UjhTQllLYnQyUnc4QkRn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