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34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GABRIEL CONTRERAS CARO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71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6731987-7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ab/>
        <w:t xml:space="preserve">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CESFAM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DURÁN TRUJILLO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20/032/2024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23/02/2024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ITU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derivada desde medicina para completar tratamiento antibiotico. En visita se constata lpp sacra grado II, de 1x1 cm y 0.5x0.5 cm, superficial, con 30% de tejido esfacelado y 70% granulatorio, escasa cantidad de exudado seroso. Sin signos de infección.  Se realizan curaciones cada 48 horas. Se recomienda periodicidad cada 48 horas. </w:t>
      </w:r>
    </w:p>
    <w:p w:rsidR="00000000" w:rsidDel="00000000" w:rsidP="00000000" w:rsidRDefault="00000000" w:rsidRPr="00000000" w14:paraId="0000000C">
      <w:pPr>
        <w:spacing w:after="0" w:lineRule="auto"/>
        <w:ind w:left="36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4394200</wp:posOffset>
                </wp:positionH>
                <wp:positionV relativeFrom="paragraph">
                  <wp:posOffset>152400</wp:posOffset>
                </wp:positionV>
                <wp:extent cx="361950" cy="247650"/>
                <wp:effectExtent b="0" l="0" r="0" t="0"/>
                <wp:wrapNone/>
                <wp:docPr id="330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4394200</wp:posOffset>
                </wp:positionH>
                <wp:positionV relativeFrom="paragraph">
                  <wp:posOffset>152400</wp:posOffset>
                </wp:positionV>
                <wp:extent cx="361950" cy="247650"/>
                <wp:effectExtent b="0" l="0" r="0" t="0"/>
                <wp:wrapNone/>
                <wp:docPr id="33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8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927100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5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1524000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5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3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3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...…………………………………………………… DRENAJES: SI            NO:         ….…………………………………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5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5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4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977900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4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7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6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190500</wp:posOffset>
                </wp:positionV>
                <wp:extent cx="361950" cy="247650"/>
                <wp:effectExtent b="0" l="0" r="0" t="0"/>
                <wp:wrapNone/>
                <wp:docPr id="323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190500</wp:posOffset>
                </wp:positionV>
                <wp:extent cx="361950" cy="247650"/>
                <wp:effectExtent b="0" l="0" r="0" t="0"/>
                <wp:wrapNone/>
                <wp:docPr id="323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8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8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9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5257800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1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5829300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1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2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2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2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4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4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HO MUÑON I°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0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2070100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3225800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1841500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2222500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3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2222500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4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9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1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2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6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1295400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6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7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7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9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339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7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33.png"/><Relationship Id="rId39" Type="http://schemas.openxmlformats.org/officeDocument/2006/relationships/image" Target="media/image32.png"/><Relationship Id="rId16" Type="http://schemas.openxmlformats.org/officeDocument/2006/relationships/image" Target="media/image18.png"/><Relationship Id="rId38" Type="http://schemas.openxmlformats.org/officeDocument/2006/relationships/image" Target="media/image31.png"/><Relationship Id="rId19" Type="http://schemas.openxmlformats.org/officeDocument/2006/relationships/image" Target="media/image26.png"/><Relationship Id="rId18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Q05mk17cI+MvEJ1lJ5rCC/fvjg==">CgMxLjA4AHIhMXk2cW9ZYlRjLUJmVFRCMS1Sckt6Y0NMRWZmckdiVWl0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