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118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GRACIELA BUCAREY CANALES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79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8.140.037-7    </w:t>
        <w:tab/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DURAN TRUJILLO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b w:val="1"/>
          <w:sz w:val="24"/>
          <w:szCs w:val="24"/>
          <w:rtl w:val="0"/>
        </w:rPr>
        <w:t xml:space="preserve"> 31</w:t>
      </w:r>
      <w:r w:rsidDel="00000000" w:rsidR="00000000" w:rsidRPr="00000000">
        <w:rPr>
          <w:sz w:val="24"/>
          <w:szCs w:val="24"/>
          <w:rtl w:val="0"/>
        </w:rPr>
        <w:t xml:space="preserve">/10/2023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08/11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sz w:val="24"/>
          <w:szCs w:val="24"/>
          <w:rtl w:val="0"/>
        </w:rPr>
        <w:t xml:space="preserve"> ULCERA VENOSA CON CULTIVO (+)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derivada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HODOM</w:t>
      </w:r>
      <w:r w:rsidDel="00000000" w:rsidR="00000000" w:rsidRPr="00000000">
        <w:rPr>
          <w:sz w:val="24"/>
          <w:szCs w:val="24"/>
          <w:rtl w:val="0"/>
        </w:rPr>
        <w:t xml:space="preserve"> desde unidad de emergencia, por presentar infección de úlcera venosa, para administrar tratamiento endovenoso (finalizado) y realizar curaciones avanzadas.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Úlcera venosa de extremidades inferiores bilateral: Úlcera de aproximadamente 15x12 cm cada una, con bordes irregulares de abundante exudado seroso. Tejido 90% esfacelado y 10% granulatorio. Tratada con apósito primario Cutimed sorbact absorbente, cubierta con apósito tradicional, fijada con elastomul.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 derivación a CESFAM para continuidad de curaciones avanzadas por término de tratamiento en HODOM.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2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0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7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7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5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7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9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8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80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80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1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3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4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4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5194300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5194300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6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PIE DERECHO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4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4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5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6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8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8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9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79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81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13431181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NWQApdIS7J8OJNGlF5L4cEX/A+Q==">AMUW2mXsHubPReGUYx2IJW5a/xiGD1pkpHhpHHkmrq9b2cF8aktZoPWMM6Jgawzp3W7L7ghVmYBGeblreJvnsh/gW4iWdM+v/b/GiIbWUaEMJvZwRkYKzS4=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2023-08-30T00:44:00Z</dcterms:created>
  <dc:creator>ecasanova</dc:creator>
</cp:coreProperties>
</file>