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-415202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49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NOMBRE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HÉCTOR ACUÑA ROMERO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89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3.961.192-9</w:t>
      </w:r>
      <w:r w:rsidDel="00000000" w:rsidR="00000000" w:rsidRPr="00000000">
        <w:rPr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01/03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/202</w:t>
      </w:r>
      <w:r w:rsidDel="00000000" w:rsidR="00000000" w:rsidRPr="00000000">
        <w:rPr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FECHA EGRESO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07/03/2026</w:t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LPP SACRA G IV</w:t>
      </w:r>
    </w:p>
    <w:p w:rsidR="00000000" w:rsidDel="00000000" w:rsidP="00000000" w:rsidRDefault="00000000" w:rsidRPr="00000000" w14:paraId="000000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POR DIAGNÓSTICO ANTES DESCRITO PARA CURACIONES + TTO ATB EV POR CULTIVO CORRIENTE DE LESIÓN (+) </w:t>
      </w:r>
      <w:r w:rsidDel="00000000" w:rsidR="00000000" w:rsidRPr="00000000">
        <w:rPr>
          <w:sz w:val="24"/>
          <w:szCs w:val="24"/>
          <w:rtl w:val="0"/>
        </w:rPr>
        <w:t xml:space="preserve">A E</w:t>
      </w:r>
      <w:r w:rsidDel="00000000" w:rsidR="00000000" w:rsidRPr="00000000">
        <w:rPr>
          <w:sz w:val="24"/>
          <w:szCs w:val="24"/>
          <w:rtl w:val="0"/>
        </w:rPr>
        <w:t xml:space="preserve">. COLI BLEE CUMPLIENDO 7 DÍAS CON ERTAPENEM. EN VISITA DE INGRESO SE OBSERVA LESIÓN SACRA DE 8X5 CM CON 3 CM DE PROFUNDIDAD APROX, 80% </w:t>
      </w:r>
      <w:r w:rsidDel="00000000" w:rsidR="00000000" w:rsidRPr="00000000">
        <w:rPr>
          <w:sz w:val="24"/>
          <w:szCs w:val="24"/>
          <w:rtl w:val="0"/>
        </w:rPr>
        <w:t xml:space="preserve">GRANULATORIA</w:t>
      </w:r>
      <w:r w:rsidDel="00000000" w:rsidR="00000000" w:rsidRPr="00000000">
        <w:rPr>
          <w:sz w:val="24"/>
          <w:szCs w:val="24"/>
          <w:rtl w:val="0"/>
        </w:rPr>
        <w:t xml:space="preserve">, 10% ESFACELO Y 10% EXPOSICIÓN ÓSEA, SE DERIVA PARA CONTINUAR CURACIONES 3 VECES POR SEMANA. 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  </w: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           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PLAN DE ENFERMERIA: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3705225</wp:posOffset>
                </wp:positionH>
                <wp:positionV relativeFrom="paragraph">
                  <wp:posOffset>85725</wp:posOffset>
                </wp:positionV>
                <wp:extent cx="876300" cy="762000"/>
                <wp:effectExtent b="0" l="0" r="0" t="0"/>
                <wp:wrapNone/>
                <wp:docPr id="49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3705225</wp:posOffset>
                </wp:positionH>
                <wp:positionV relativeFrom="paragraph">
                  <wp:posOffset>85725</wp:posOffset>
                </wp:positionV>
                <wp:extent cx="876300" cy="762000"/>
                <wp:effectExtent b="0" l="0" r="0" t="0"/>
                <wp:wrapNone/>
                <wp:docPr id="49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6300" cy="762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1733550</wp:posOffset>
                </wp:positionH>
                <wp:positionV relativeFrom="paragraph">
                  <wp:posOffset>85725</wp:posOffset>
                </wp:positionV>
                <wp:extent cx="876300" cy="762000"/>
                <wp:effectExtent b="0" l="0" r="0" t="0"/>
                <wp:wrapNone/>
                <wp:docPr id="49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1733550</wp:posOffset>
                </wp:positionH>
                <wp:positionV relativeFrom="paragraph">
                  <wp:posOffset>85725</wp:posOffset>
                </wp:positionV>
                <wp:extent cx="876300" cy="762000"/>
                <wp:effectExtent b="0" l="0" r="0" t="0"/>
                <wp:wrapNone/>
                <wp:docPr id="49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6300" cy="762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             </w:t>
      </w:r>
      <w:r w:rsidDel="00000000" w:rsidR="00000000" w:rsidRPr="00000000">
        <w:rPr>
          <w:rtl w:val="0"/>
        </w:rPr>
        <w:t xml:space="preserve">    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PS CURACIONES:            </w:t>
      </w:r>
    </w:p>
    <w:p w:rsidR="00000000" w:rsidDel="00000000" w:rsidP="00000000" w:rsidRDefault="00000000" w:rsidRPr="00000000" w14:paraId="0000001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Iqjnp2R7pjzmXdNQLQ0eMM+sFA==">CgMxLjA4AHIhMWdweGhzdFN4aE83cEtqZk5pZkFNX09lX21RbHFPcm9l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