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HECTOR PARRA SALINAS</w:t>
        <w:tab/>
        <w:t xml:space="preserve">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6.711.173-7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07--05-2024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14/05/2024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PIE DIABETICO/ HALLUX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realizar seguimiento DEcuraciones avanzadas por enfermería. En visita de ingreso se pesquisa POP HALLUX DERECHO, lesión de 10X5 cm tejido  granulatorio 100%, exudado moderado serohematico, sin signos de infección. </w:t>
        <w:tab/>
        <w:t xml:space="preserve">Se sugiere continuar con curaciones 2-3 veces por semana,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171927</wp:posOffset>
                </wp:positionV>
                <wp:extent cx="419100" cy="304800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1743075</wp:posOffset>
                </wp:positionH>
                <wp:positionV relativeFrom="paragraph">
                  <wp:posOffset>171927</wp:posOffset>
                </wp:positionV>
                <wp:extent cx="419100" cy="304800"/>
                <wp:effectExtent b="0" l="0" r="0" t="0"/>
                <wp:wrapNone/>
                <wp:docPr id="43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3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2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3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3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3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EII°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1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1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63500</wp:posOffset>
                </wp:positionV>
                <wp:extent cx="419100" cy="304800"/>
                <wp:effectExtent b="0" l="0" r="0" t="0"/>
                <wp:wrapNone/>
                <wp:docPr id="4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5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4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3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3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27.png"/><Relationship Id="rId41" Type="http://schemas.openxmlformats.org/officeDocument/2006/relationships/image" Target="media/image25.png"/><Relationship Id="rId22" Type="http://schemas.openxmlformats.org/officeDocument/2006/relationships/image" Target="media/image30.png"/><Relationship Id="rId21" Type="http://schemas.openxmlformats.org/officeDocument/2006/relationships/image" Target="media/image2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3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34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3.png"/><Relationship Id="rId16" Type="http://schemas.openxmlformats.org/officeDocument/2006/relationships/image" Target="media/image21.png"/><Relationship Id="rId38" Type="http://schemas.openxmlformats.org/officeDocument/2006/relationships/image" Target="media/image32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m4B9JB170gij99URZv71Db9Hw==">CgMxLjA4AHIhMWRlQVR2SEFyMjJYdm9QLXJJN1lHRXNiVXRTSzR1UmU4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