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-415280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17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MAFALDA FUENTES ROMERO                   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6.689.205-0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ab/>
        <w:t xml:space="preserve">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TERESA BALDECCHI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HODOM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09/02/2024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 </w:t>
      </w:r>
      <w:r w:rsidDel="00000000" w:rsidR="00000000" w:rsidRPr="00000000">
        <w:rPr>
          <w:sz w:val="24"/>
          <w:szCs w:val="24"/>
          <w:rtl w:val="0"/>
        </w:rPr>
        <w:t xml:space="preserve">13/02/2024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ULCERA DE DECÚBITO Y POR ÁREA DE PRESIÓN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ingresa a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HODOM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HSC</w:t>
      </w:r>
      <w:r w:rsidDel="00000000" w:rsidR="00000000" w:rsidRPr="00000000">
        <w:rPr>
          <w:sz w:val="24"/>
          <w:szCs w:val="24"/>
          <w:rtl w:val="0"/>
        </w:rPr>
        <w:t xml:space="preserve"> derivado desde cirugía para continuar curaciones avanzadas de múltiples LPP (sacra post aseo quirúrgico) y curación simple del muñón Dº tras amputación supracondilea 28.01.  En domicilio se pesquisa induraciones de 20cm de diámetro periférico. Lesión de 4x2 cm de extensión , borde irregular, no cavitada, con 100% esfacelo. Salida de moderado exudado seroso. Se inician curaciones con prontosan gel + DACC o Telfa con buena respuesta. Actualmente, de 2 x 1 cm, 70% granulado resto esfacelo, sin signos de infección con salida de escaso exudado seroso. Induración perilesional en regresión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sugiere continuar curación 2- 3 veces por semana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Paciente con indicación de adm SC de eritropoyetina 1 amp, LUN- MIER- VIER, hasta control con hematooncología.</w:t>
      </w:r>
    </w:p>
    <w:p w:rsidR="00000000" w:rsidDel="00000000" w:rsidP="00000000" w:rsidRDefault="00000000" w:rsidRPr="00000000" w14:paraId="0000000F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990600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60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990600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60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1536700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58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1536700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58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3721100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65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3721100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65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63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63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55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55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990600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54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990600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54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4102100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57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4102100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57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56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56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68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68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59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59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2832100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61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2832100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61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4038600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62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4038600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62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5283200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53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5283200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5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5829300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52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5829300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5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64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64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2527300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3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2527300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3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3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3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LPP SACRA-CALCÁNEA Iº, DORSAL Dº GRADO III, LPP MUSLO Dº GRADO II, AMPUTACIÒN SUPRACONDILEA Dº.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40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4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41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4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3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3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2095500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46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2095500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4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3289300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47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3289300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4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42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4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43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4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2730500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44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2730500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4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45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4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48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4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49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4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50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50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51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5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66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66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B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67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67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3086100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69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3086100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69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zsCAG7+Fu6gFAAWlIrtEBqEc1Q==">CgMxLjA4AHIhMV9QQk03aERVRVJWenhlRmJydVBtNVdGRXphMHE1QTk5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