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-415281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13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LEONARDO SOTO ZAPATA    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38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15.984.601-6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ab/>
        <w:tab/>
        <w:t xml:space="preserve">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TERESA BALDECCHI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22/01/2024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sz w:val="24"/>
          <w:szCs w:val="24"/>
          <w:rtl w:val="0"/>
        </w:rPr>
        <w:t xml:space="preserve">04/02/2024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ITU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ingresa a HODOM HSC</w:t>
      </w:r>
      <w:r w:rsidDel="00000000" w:rsidR="00000000" w:rsidRPr="00000000">
        <w:rPr>
          <w:sz w:val="24"/>
          <w:szCs w:val="24"/>
          <w:rtl w:val="0"/>
        </w:rPr>
        <w:t xml:space="preserve"> derivado desde UE con Dg antes descrito para administración de tratamiento antibiótico endovenoso y curaciones de LPP sacra grado II.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Inicialmente se observa lesión por presión de 5x4 cm de diámetro, cavitada de 2 cm de profundidad. Con 100% tejido granulatorio, bordes muy macerados, moderada cantidad de exudado seroso fètido al retiro de apòsito. 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Actualmente mantiene características, destacando desminuciòn de profundidad a 1.5cm </w:t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realiza manejo con alginato de plata y calcio. Se sugiere continuar el manejo con curaciones avanzadas 3 veces por semana.</w:t>
      </w:r>
    </w:p>
    <w:p w:rsidR="00000000" w:rsidDel="00000000" w:rsidP="00000000" w:rsidRDefault="00000000" w:rsidRPr="00000000" w14:paraId="0000000F">
      <w:pPr>
        <w:spacing w:after="0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1047750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26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1047750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26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1549400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24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1549400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24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31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31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29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29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21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21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901700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20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901700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20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4114800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23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4114800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23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4648200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22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4648200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22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5276850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34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5276850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34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5819775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25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5819775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25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676275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27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676275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27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1209675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28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1209675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28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19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19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3995738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18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3995738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18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1352550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30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1352550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30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2552700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0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2552700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0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533400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0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533400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0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ZONA SACRA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06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0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1209675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07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1209675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07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1657350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0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1657350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0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2105025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12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2105025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1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3448050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13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3448050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1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08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08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2343150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09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2343150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09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2771775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10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2771775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10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3233738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11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3233738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1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3695700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14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3695700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1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15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15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1247775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16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1247775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16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17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17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1209675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32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1209675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32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33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33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3098800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35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3098800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35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18.png"/><Relationship Id="rId22" Type="http://schemas.openxmlformats.org/officeDocument/2006/relationships/image" Target="media/image29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fSb9CYtuLCjx0esTUAmst+yAqw==">CgMxLjA4AHIhMVl6dmtmaG1wNGlfMmVyMUZDRkZRTFhveTVudDdwdVVy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